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 references.ris.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core analytical section of Chapter Two, </w:t>
      </w:r>
      <w:r w:rsidDel="00000000" w:rsidR="00000000" w:rsidRPr="00000000">
        <w:rPr>
          <w:b w:val="1"/>
          <w:bCs w:val="1"/>
          <w:rtl w:val="0"/>
        </w:rPr>
        <w:t xml:space="preserve">"Kırâatlerde Rivâyet Sened ve Otorite Ekseni"</w:t>
      </w:r>
      <w:r w:rsidDel="00000000" w:rsidR="00000000" w:rsidRPr="00000000">
        <w:rPr>
          <w:rtl w:val="0"/>
        </w:rPr>
        <w:t xml:space="preserve">, has been systematically analyzed, verified, structurally streamlined, and entirely rewritten to align with strict academic prose and text-critical standards.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 Key Technical and Academic Adjustments Made: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Fact-Checking &amp; Biographical Alignment:</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Biographical profiles have been verified and introduced with precise metrics at their first meaningful occurrence in this chapter: </w:t>
      </w:r>
      <w:r w:rsidDel="00000000" w:rsidR="00000000" w:rsidRPr="00000000">
        <w:rPr>
          <w:b w:val="1"/>
          <w:bCs w:val="1"/>
          <w:rtl w:val="0"/>
        </w:rPr>
        <w:t xml:space="preserve">Âsım b. Behdele (ö. 127/745)</w:t>
      </w:r>
      <w:r w:rsidDel="00000000" w:rsidR="00000000" w:rsidRPr="00000000">
        <w:rPr>
          <w:rtl w:val="0"/>
        </w:rPr>
        <w:t xml:space="preserve">, </w:t>
      </w:r>
      <w:r w:rsidDel="00000000" w:rsidR="00000000" w:rsidRPr="00000000">
        <w:rPr>
          <w:b w:val="1"/>
          <w:bCs w:val="1"/>
          <w:rtl w:val="0"/>
        </w:rPr>
        <w:t xml:space="preserve">Hafs b. Süleymân (ö. 180/796)</w:t>
      </w:r>
      <w:r w:rsidDel="00000000" w:rsidR="00000000" w:rsidRPr="00000000">
        <w:rPr>
          <w:rtl w:val="0"/>
        </w:rPr>
        <w:t xml:space="preserve">, </w:t>
      </w:r>
      <w:r w:rsidDel="00000000" w:rsidR="00000000" w:rsidRPr="00000000">
        <w:rPr>
          <w:b w:val="1"/>
          <w:bCs w:val="1"/>
          <w:rtl w:val="0"/>
        </w:rPr>
        <w:t xml:space="preserve">Ebû Bekir Şu‘be b. Ayyâş (ö. 193/809)</w:t>
      </w:r>
      <w:r w:rsidDel="00000000" w:rsidR="00000000" w:rsidRPr="00000000">
        <w:rPr>
          <w:rtl w:val="0"/>
        </w:rPr>
        <w:t xml:space="preserve">, </w:t>
      </w:r>
      <w:r w:rsidDel="00000000" w:rsidR="00000000" w:rsidRPr="00000000">
        <w:rPr>
          <w:b w:val="1"/>
          <w:bCs w:val="1"/>
          <w:rtl w:val="0"/>
        </w:rPr>
        <w:t xml:space="preserve">Tâceddîn es-Subkî (ö. 771/1369)</w:t>
      </w:r>
      <w:r w:rsidDel="00000000" w:rsidR="00000000" w:rsidRPr="00000000">
        <w:rPr>
          <w:rtl w:val="0"/>
        </w:rPr>
        <w:t xml:space="preserve">, </w:t>
      </w:r>
      <w:r w:rsidDel="00000000" w:rsidR="00000000" w:rsidRPr="00000000">
        <w:rPr>
          <w:b w:val="1"/>
          <w:bCs w:val="1"/>
          <w:rtl w:val="0"/>
        </w:rPr>
        <w:t xml:space="preserve">İbn Âmir el-Yahsûbî (ö. 118/736)</w:t>
      </w:r>
      <w:r w:rsidDel="00000000" w:rsidR="00000000" w:rsidRPr="00000000">
        <w:rPr>
          <w:rtl w:val="0"/>
        </w:rPr>
        <w:t xml:space="preserve">, </w:t>
      </w:r>
      <w:r w:rsidDel="00000000" w:rsidR="00000000" w:rsidRPr="00000000">
        <w:rPr>
          <w:b w:val="1"/>
          <w:bCs w:val="1"/>
          <w:rtl w:val="0"/>
        </w:rPr>
        <w:t xml:space="preserve">İbn Kesîr el-Mekkî (ö. 120/738)</w:t>
      </w:r>
      <w:r w:rsidDel="00000000" w:rsidR="00000000" w:rsidRPr="00000000">
        <w:rPr>
          <w:rtl w:val="0"/>
        </w:rPr>
        <w:t xml:space="preserve">, </w:t>
      </w:r>
      <w:r w:rsidDel="00000000" w:rsidR="00000000" w:rsidRPr="00000000">
        <w:rPr>
          <w:b w:val="1"/>
          <w:bCs w:val="1"/>
          <w:rtl w:val="0"/>
        </w:rPr>
        <w:t xml:space="preserve">Ebû Amr b. el-Alâ (ö. 154/771)</w:t>
      </w:r>
      <w:r w:rsidDel="00000000" w:rsidR="00000000" w:rsidRPr="00000000">
        <w:rPr>
          <w:rtl w:val="0"/>
        </w:rPr>
        <w:t xml:space="preserve">, </w:t>
      </w:r>
      <w:r w:rsidDel="00000000" w:rsidR="00000000" w:rsidRPr="00000000">
        <w:rPr>
          <w:b w:val="1"/>
          <w:bCs w:val="1"/>
          <w:rtl w:val="0"/>
        </w:rPr>
        <w:t xml:space="preserve">Hamza b. Habîb ez-Zeyyât (ö. 156/773)</w:t>
      </w:r>
      <w:r w:rsidDel="00000000" w:rsidR="00000000" w:rsidRPr="00000000">
        <w:rPr>
          <w:rtl w:val="0"/>
        </w:rPr>
        <w:t xml:space="preserve">, </w:t>
      </w:r>
      <w:r w:rsidDel="00000000" w:rsidR="00000000" w:rsidRPr="00000000">
        <w:rPr>
          <w:b w:val="1"/>
          <w:bCs w:val="1"/>
          <w:rtl w:val="0"/>
        </w:rPr>
        <w:t xml:space="preserve">Nâfi‘ b. Abdurrahmân (ö. 169/785)</w:t>
      </w:r>
      <w:r w:rsidDel="00000000" w:rsidR="00000000" w:rsidRPr="00000000">
        <w:rPr>
          <w:rtl w:val="0"/>
        </w:rPr>
        <w:t xml:space="preserve">, and </w:t>
      </w:r>
      <w:r w:rsidDel="00000000" w:rsidR="00000000" w:rsidRPr="00000000">
        <w:rPr>
          <w:b w:val="1"/>
          <w:bCs w:val="1"/>
          <w:rtl w:val="0"/>
        </w:rPr>
        <w:t xml:space="preserve">el-Kisâî (ö. 189/805)</w:t>
      </w:r>
      <w:r w:rsidDel="00000000" w:rsidR="00000000" w:rsidRPr="00000000">
        <w:rPr>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Previously defined biographical entities (</w:t>
      </w:r>
      <w:r w:rsidDel="00000000" w:rsidR="00000000" w:rsidRPr="00000000">
        <w:rPr>
          <w:i w:val="1"/>
          <w:iCs w:val="1"/>
          <w:rtl w:val="0"/>
        </w:rPr>
        <w:t xml:space="preserve">İbnü'l-Cezerî, ed-Dânî, İbn Mücâhid, Mekkî b. Ebû Tâlib, Ebû Şâme, ez-Zürkânî, es-Süyûtî</w:t>
      </w:r>
      <w:r w:rsidDel="00000000" w:rsidR="00000000" w:rsidRPr="00000000">
        <w:rPr>
          <w:rtl w:val="0"/>
        </w:rPr>
        <w:t xml:space="preserve">) are cited purely via standard name attributions to avoid redundant textual clutter.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Continuity and Removal of Redundancies:</w:t>
      </w:r>
      <w:r w:rsidDel="00000000" w:rsidR="00000000" w:rsidRPr="00000000">
        <w:rPr>
          <w:rtl w:val="0"/>
        </w:rPr>
        <w:t xml:space="preserve"> Replaced meta-questions, casual phrases, and conversational commentary with dense academic formulations. The concepts of </w:t>
      </w:r>
      <w:r w:rsidDel="00000000" w:rsidR="00000000" w:rsidRPr="00000000">
        <w:rPr>
          <w:i w:val="1"/>
          <w:iCs w:val="1"/>
          <w:rtl w:val="0"/>
        </w:rPr>
        <w:t xml:space="preserve">Rivâyet</w:t>
      </w:r>
      <w:r w:rsidDel="00000000" w:rsidR="00000000" w:rsidRPr="00000000">
        <w:rPr>
          <w:rtl w:val="0"/>
        </w:rPr>
        <w:t xml:space="preserve">, </w:t>
      </w:r>
      <w:r w:rsidDel="00000000" w:rsidR="00000000" w:rsidRPr="00000000">
        <w:rPr>
          <w:i w:val="1"/>
          <w:iCs w:val="1"/>
          <w:rtl w:val="0"/>
        </w:rPr>
        <w:t xml:space="preserve">Sened</w:t>
      </w:r>
      <w:r w:rsidDel="00000000" w:rsidR="00000000" w:rsidRPr="00000000">
        <w:rPr>
          <w:rtl w:val="0"/>
        </w:rPr>
        <w:t xml:space="preserve">, and </w:t>
      </w:r>
      <w:r w:rsidDel="00000000" w:rsidR="00000000" w:rsidRPr="00000000">
        <w:rPr>
          <w:i w:val="1"/>
          <w:iCs w:val="1"/>
          <w:rtl w:val="0"/>
        </w:rPr>
        <w:t xml:space="preserve">Otorite Ekseni</w:t>
      </w:r>
      <w:r w:rsidDel="00000000" w:rsidR="00000000" w:rsidRPr="00000000">
        <w:rPr>
          <w:rtl w:val="0"/>
        </w:rPr>
        <w:t xml:space="preserve"> are explicitly distinguished yet logically integrated to explain the transmission infrastructure (</w:t>
      </w:r>
      <w:r w:rsidDel="00000000" w:rsidR="00000000" w:rsidRPr="00000000">
        <w:rPr>
          <w:i w:val="1"/>
          <w:iCs w:val="1"/>
          <w:rtl w:val="0"/>
        </w:rPr>
        <w:t xml:space="preserve">isnad mekanizması</w:t>
      </w:r>
      <w:r w:rsidDel="00000000" w:rsidR="00000000" w:rsidRPr="00000000">
        <w:rPr>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Linguistic Polish:</w:t>
      </w:r>
      <w:r w:rsidDel="00000000" w:rsidR="00000000" w:rsidRPr="00000000">
        <w:rPr>
          <w:rtl w:val="0"/>
        </w:rPr>
        <w:t xml:space="preserve"> Upgraded vocabulary to match standard codicological and text-critical paradigms (</w:t>
      </w:r>
      <w:r w:rsidDel="00000000" w:rsidR="00000000" w:rsidRPr="00000000">
        <w:rPr>
          <w:i w:val="1"/>
          <w:iCs w:val="1"/>
          <w:rtl w:val="0"/>
        </w:rPr>
        <w:t xml:space="preserve">transmission lineage, formal stemma, vocalic modulation, morpho-phonetic stabilization, epistemolojik süzgeç</w:t>
      </w:r>
      <w:r w:rsidDel="00000000" w:rsidR="00000000" w:rsidRPr="00000000">
        <w:rPr>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Citations &amp; Bibliography:</w:t>
      </w:r>
      <w:r w:rsidDel="00000000" w:rsidR="00000000" w:rsidRPr="00000000">
        <w:rPr>
          <w:rtl w:val="0"/>
        </w:rPr>
        <w:t xml:space="preserve"> Formatted entirely with precise </w:t>
      </w:r>
      <w:r w:rsidDel="00000000" w:rsidR="00000000" w:rsidRPr="00000000">
        <w:rPr>
          <w:b w:val="1"/>
          <w:bCs w:val="1"/>
          <w:rtl w:val="0"/>
        </w:rPr>
        <w:t xml:space="preserve">APA 7 in-text citations</w:t>
      </w:r>
      <w:r w:rsidDel="00000000" w:rsidR="00000000" w:rsidRPr="00000000">
        <w:rPr>
          <w:rtl w:val="0"/>
        </w:rPr>
        <w:t xml:space="preserve"> coupled with a comprehensive master bibliography at the conclusion of the entry.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Kırâatlerde Rivâyet Sened ve Otorite Ekseni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metodolojik yapısını ve metin koruma stratejilerini doğru tahlil etmenin yegane bilimsel yolu; bu alanı sadece ampirik "okuyuş farklılıklarının" listelendiği sığ bir malzeme yığını olarak görmek yerine; bütünüyle rivayet, sened ve kurumsal otorite sacayağı üzerine inşa edilmiş muazzam bir bilgi aktarım mimarisi olarak ele almaktır. Zira kırâatler, Arap dilinin kuramsal imkanları dahilinde her kabilenin veya dil dâhisinin icat edebileceği serbest fonetik varyasyonların toplamından ibaret kesinlikle değildir; bilakis resmi ortografik denetimden geçmiş, sened zinciriyle tahkim edilmiş ve ilim akademileri tarafından onaylanmış meşru seslendirme formlarıdır. Bu sebepten ötürü, kırâat disiplininde sorulması gereken asıl soru "Bir ayet kelimesi dil bilgisi kurallarına göre nasıl okunabilir?" sığ sorusu değil; "Bu kelimenin fonetik ve lafzi icrası bize hangi sened zinciriyle, hangi muallimler kanalıyla intikal etmiş ve hangi kurumsal ölçütlerle kanonize edilmiştir?" text-critical sorusudur. Kırâat ilmi, metnin sadece grafik düzeyde seslendirilmesiyle değil, o seslendirmenin nesnel ve güvenilir bir dini bilgi (</w:t>
      </w:r>
      <w:r w:rsidDel="00000000" w:rsidR="00000000" w:rsidRPr="00000000">
        <w:rPr>
          <w:i w:val="1"/>
          <w:iCs w:val="1"/>
          <w:rtl w:val="0"/>
        </w:rPr>
        <w:t xml:space="preserve">episteme</w:t>
      </w:r>
      <w:r w:rsidDel="00000000" w:rsidR="00000000" w:rsidRPr="00000000">
        <w:rPr>
          <w:rtl w:val="0"/>
        </w:rPr>
        <w:t xml:space="preserve">) haline gelmesini sağlayan epistemolojik süzgeçlerle de ilgilenir.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Rivâyet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disiplininde "rivayet" mekanizması, sistemin ontolojik bel kemiğini oluşturur. Çünkü kırâat; ilahi kelâmın sadece lafzi ve morfolojik varyantlarını kaydeden mekanik bir arşiv çalışması olmanın ötesinde, bu varyantların kimden, hangi kurumsal ve sözlü kanallarla tevarüs edildiğini konu edinen dinamik bir disiplindir. Bu kuramsal zemin sebebiyle, kırâat akademisinde bir okuyuş formunun meşruiyet değeri, öncelikle onun dil kurallarına (sarf ve nahiv kıyaslarına) zahiren uygun olmasına değil; mutlak surette kopuksuz ve güvenilir bir nakil zinciriyle intikal etmesine bağlıdır (Ünal, 2023). İslâm metin uleması kırâati tanımlarken de bu rivayet karakterini özellikle merkeze almışlardır.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kırâati, Kur’an lafızlarının edâ biçimlerini ve bu edâ farklılıklarını nakleden imam ve râvilerin sened zincirleri vasıtasıyla bilmeyi sağlayan kurumsal bir uzmanlık alanı olarak formüle etmiştir (İbnü’l-Cezerî, 1999). Bu tanımda "edâ keyfiyeti" kadar "nakleden şahsiyetler" unsuruna da kurucu bir vurgu yapılması tesadüfi değildir; zira kırâat, sadece kitap sayfalarından mekanik olarak kopyalanan statik bir imla yapısı değil, bizzat işitilerek (</w:t>
      </w:r>
      <w:r w:rsidDel="00000000" w:rsidR="00000000" w:rsidRPr="00000000">
        <w:rPr>
          <w:i w:val="1"/>
          <w:iCs w:val="1"/>
          <w:rtl w:val="0"/>
        </w:rPr>
        <w:t xml:space="preserve">semâ</w:t>
      </w:r>
      <w:r w:rsidDel="00000000" w:rsidR="00000000" w:rsidRPr="00000000">
        <w:rPr>
          <w:rtl w:val="0"/>
        </w:rPr>
        <w:t xml:space="preserve">) tevarüs edilen şifahî bir ilimdir. Mekkî b. Ebû Tâlib de kırâatlerin şahsi re'y, akıl yürütme veya filolojik rasyonalizasyonla ihdas edilemeyeceğini; bu alanın yegane meşru kaynağının telakki, şifahî aktarım (</w:t>
      </w:r>
      <w:r w:rsidDel="00000000" w:rsidR="00000000" w:rsidRPr="00000000">
        <w:rPr>
          <w:i w:val="1"/>
          <w:iCs w:val="1"/>
          <w:rtl w:val="0"/>
        </w:rPr>
        <w:t xml:space="preserve">müşâfehe</w:t>
      </w:r>
      <w:r w:rsidDel="00000000" w:rsidR="00000000" w:rsidRPr="00000000">
        <w:rPr>
          <w:rtl w:val="0"/>
        </w:rPr>
        <w:t xml:space="preserve">) ve semâ olduğunu önemle tescil etmektedir (Kaysî, 1979). Bu yönüyle kırâat ilmi, nakle dayalı İslâm ilimleri içinde hadis metodolojisiyle en güçlü yapısal akrabalığı kuran kurucu alandır (Aydınlı, 2016).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Rivayetin kırâat ilmindeki bu kurucu önceliği tahlil edildiğinde, onun diğer tüm filolojik ve gramatikal ölçütlerden önce işletilen mutlak bir filtre olduğu görülür: Bir okuyuş formu, Arap edebiyatı ve dil kuralları bakımından ne kadar kusursuz, fasih ve göz kamaştırıcı görünürse görününsün; eğer sened zinciriyle doğrulanmış resmi bir rivayete dayanmıyorsa, kırâat uleması nezdinde hiçbir meşruiyet değerine sahip olamaz ve şâzz ilan edilerek sistemin dışına itilir. Ebû Şâme el-Makdisî, kırâatlerin şahsi dil zevklerine, gramer kıyaslarına veya teorik imkanlara göre inşa edilemeyeceğini, bu alanın sarsılmaz sınırlarının ancak güvenilir nakil otoriteleriyle çizileceğini açıkça beyan eder (Ebû Şâme, 1993).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Mücâhid’in yedi meşhur kırâat imamını ve imla çevrelerini öne çıkaran anıtsal tasnif faaliyetinin temelinde de bu rivayet bilinci yatmaktadır; o, dilde teorik olarak mümkün olan yüzlerce okuma varyasyonunu değil, sadece güvenilir rivayet zincirleriyle yerleşmiş ve ilim merkezlerinde icma ile kabul görmüş kurumsal okuyuşları merkeze almıştır (İbn Mücâhid, 1982). Dilciler bir kelimenin morfolojik olarak çok farklı kalıplarda okunabileceğini iddia edebilirler, ancak kırâat uzmanı için bu filolojik iddia tek başına hükümsüzdür; zira kırâat uzmanı için bir okuyuşun meşruiyet kazanması, onun tarihsel süreçte gerçekten yetkin ağızlar tarafından tilavet edilip nakledilmiş olması şartına bağlıdır. Bu kuramsal ayrım, kırâat ilmini genel dilbilim çalışmalarından ayıran en temel kurumsal sınırdır.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Kur’an-ı Kerim metni, nüzul ortamından itibaren Hz. Peygamber tarafından ashabın hafızasına bizzat tilavet edilerek nakşedilmiş; ashab nesli de bu ilahi emaneti hem ezberleyerek hem de sened zinciri kurarak sonraki kuşaklara tam bir otantiklikle devretmiştir. Bu tarihi süreklilik, kırâat ilminin baştan itibaren yazılı parşömenlerin ötesinde, birebir üstattan talebeye geçen canlı bir öğretim geleneği (</w:t>
      </w:r>
      <w:r w:rsidDel="00000000" w:rsidR="00000000" w:rsidRPr="00000000">
        <w:rPr>
          <w:i w:val="1"/>
          <w:iCs w:val="1"/>
          <w:rtl w:val="0"/>
        </w:rPr>
        <w:t xml:space="preserve">telakki</w:t>
      </w:r>
      <w:r w:rsidDel="00000000" w:rsidR="00000000" w:rsidRPr="00000000">
        <w:rPr>
          <w:rtl w:val="0"/>
        </w:rPr>
        <w:t xml:space="preserve">) içinde tekâmül ettiğini belgeler. İbn Mücâhid, kırâat imamlarının bölgesel ekollerini tahlil ettiği eserinde, okuyuş tarzlarının farklı coğrafi merkezlere (Mekke, Medine, Kûfe, Basra, Şam) nasıl taşındığını kronolojik olarak aktarırken; bu kaligrafik ve fonetik farklılıkların şahsi ve keyfî tercihlerden değil, nesilden nesle aktarılan sened zincirlerinin birer doğal neticesi olduğunu ortaya koymaktadır (İbn Mücâhid, 1982). Kırâatler kitap sayfalarında donmuş statik teoriler değil; hocanın ağzından titizlikle alınan, talebenin yüzlerce kez tekrar ederek meleke haline getirdiği ve aynı kutsal muhafazakarlıkla bir sonraki nesle devrettiği yaşayan bir canlı gelenektir.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bağlamında rivayet, bir okuyuş biçiminin sened zinciri içerisinde zamana karşı süreklilik ve homojenlik kazanması eylemidir. Bu süreçte nakledilen şey, sadece kelimenin sessiz harflerden oluşan konsonantal iskeleti değil; aynı zamanda o iskelete hayat veren ses değerleri, tonlamalar ve fonetik nüanslardır. Çünkü bir kelimenin </w:t>
      </w:r>
      <w:r w:rsidDel="00000000" w:rsidR="00000000" w:rsidRPr="00000000">
        <w:rPr>
          <w:i w:val="1"/>
          <w:iCs w:val="1"/>
          <w:rtl w:val="0"/>
        </w:rPr>
        <w:t xml:space="preserve">medli</w:t>
      </w:r>
      <w:r w:rsidDel="00000000" w:rsidR="00000000" w:rsidRPr="00000000">
        <w:rPr>
          <w:rtl w:val="0"/>
        </w:rPr>
        <w:t xml:space="preserve"> mi </w:t>
      </w:r>
      <w:r w:rsidDel="00000000" w:rsidR="00000000" w:rsidRPr="00000000">
        <w:rPr>
          <w:i w:val="1"/>
          <w:iCs w:val="1"/>
          <w:rtl w:val="0"/>
        </w:rPr>
        <w:t xml:space="preserve">medsiz</w:t>
      </w:r>
      <w:r w:rsidDel="00000000" w:rsidR="00000000" w:rsidRPr="00000000">
        <w:rPr>
          <w:rtl w:val="0"/>
        </w:rPr>
        <w:t xml:space="preserve"> mi, hemzeli mi hemzesiz mi, </w:t>
      </w:r>
      <w:r w:rsidDel="00000000" w:rsidR="00000000" w:rsidRPr="00000000">
        <w:rPr>
          <w:i w:val="1"/>
          <w:iCs w:val="1"/>
          <w:rtl w:val="0"/>
        </w:rPr>
        <w:t xml:space="preserve">teşdidli</w:t>
      </w:r>
      <w:r w:rsidDel="00000000" w:rsidR="00000000" w:rsidRPr="00000000">
        <w:rPr>
          <w:rtl w:val="0"/>
        </w:rPr>
        <w:t xml:space="preserve"> mi </w:t>
      </w:r>
      <w:r w:rsidDel="00000000" w:rsidR="00000000" w:rsidRPr="00000000">
        <w:rPr>
          <w:i w:val="1"/>
          <w:iCs w:val="1"/>
          <w:rtl w:val="0"/>
        </w:rPr>
        <w:t xml:space="preserve">tahfifli</w:t>
      </w:r>
      <w:r w:rsidDel="00000000" w:rsidR="00000000" w:rsidRPr="00000000">
        <w:rPr>
          <w:rtl w:val="0"/>
        </w:rPr>
        <w:t xml:space="preserve"> mi, </w:t>
      </w:r>
      <w:r w:rsidDel="00000000" w:rsidR="00000000" w:rsidRPr="00000000">
        <w:rPr>
          <w:i w:val="1"/>
          <w:iCs w:val="1"/>
          <w:rtl w:val="0"/>
        </w:rPr>
        <w:t xml:space="preserve">idgamlı</w:t>
      </w:r>
      <w:r w:rsidDel="00000000" w:rsidR="00000000" w:rsidRPr="00000000">
        <w:rPr>
          <w:rtl w:val="0"/>
        </w:rPr>
        <w:t xml:space="preserve"> mi </w:t>
      </w:r>
      <w:r w:rsidDel="00000000" w:rsidR="00000000" w:rsidRPr="00000000">
        <w:rPr>
          <w:i w:val="1"/>
          <w:iCs w:val="1"/>
          <w:rtl w:val="0"/>
        </w:rPr>
        <w:t xml:space="preserve">izharlı</w:t>
      </w:r>
      <w:r w:rsidDel="00000000" w:rsidR="00000000" w:rsidRPr="00000000">
        <w:rPr>
          <w:rtl w:val="0"/>
        </w:rPr>
        <w:t xml:space="preserve"> mı okunacağı resmi Osmânî imlanın noktasız ve harekesiz arkaik yapısından (harf iskeletinden) tek başına çözümlenemez. Tüm bu hayati fonetik detaylar, ancak hocadan şifahî olarak işitilerek öğrenilebilir. Bu sebeple kırâat ilmindeki rivayet kavramı, lafzi aktarımı koruduğu kadar sesin morfolojik şeklini de güvence altına alan çift yönlü bir tescil mekanizmasıdır. Abdülfettâh el-Kâdî, kırâat öğretiminde ve icazet sürecinde </w:t>
      </w:r>
      <w:r w:rsidDel="00000000" w:rsidR="00000000" w:rsidRPr="00000000">
        <w:rPr>
          <w:i w:val="1"/>
          <w:iCs w:val="1"/>
          <w:rtl w:val="0"/>
        </w:rPr>
        <w:t xml:space="preserve">müşâfehe</w:t>
      </w:r>
      <w:r w:rsidDel="00000000" w:rsidR="00000000" w:rsidRPr="00000000">
        <w:rPr>
          <w:rtl w:val="0"/>
        </w:rPr>
        <w:t xml:space="preserve"> (yüz yüze şifahî eğitim) yönteminin şer'an ve teknik olarak zorunlu olduğunu vurgularken, yazının tek başına yetersiz kaldığı bu fonetik koruma alanına işaret etmektedir (el-Kâdî, 2002).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Sened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ilminin metin güvenliğini ve sarsılmaz otantikliğini ayakta tutan en temel yapısal unsur sened mekanizmasıdır. Çünkü kırâat; sadece kelimelerin lafzi varyasyonlarını kaydeden statik bir envanter çalışması olmayıp; bu okuyuşların tam olarak hangi hocalardan alındığını, hangi tarihsel kanallarla aktarıldığını ve bu aktarıcıların adalet ve zabt (</w:t>
      </w:r>
      <w:r w:rsidDel="00000000" w:rsidR="00000000" w:rsidRPr="00000000">
        <w:rPr>
          <w:i w:val="1"/>
          <w:iCs w:val="1"/>
          <w:rtl w:val="0"/>
        </w:rPr>
        <w:t xml:space="preserve">güvenilirlik</w:t>
      </w:r>
      <w:r w:rsidDel="00000000" w:rsidR="00000000" w:rsidRPr="00000000">
        <w:rPr>
          <w:rtl w:val="0"/>
        </w:rPr>
        <w:t xml:space="preserve">) derecelerini en katı metin tenkidi metotlarıyla sorgulayan kurumsal bir ispat disiplinidir. Bu sebepten ötürü, kırâat ilminde sened meselesi, tali ve teknik bir teferruat olmanın çok ötesinde, sistemin varlık şartını oluşturan ana omurgadır (Adıgüzel, ts.). Bir okuyuş formunun sahih, makbul ve mütevatir kabul edilebilmesi için onun sadece dil kurallarına uyması yetersiz görülmüş; mutlaka güvenilir, kopuksuz ve tescil edilmiş bir sened zinciriyle Hz. Peygamber’e ulaşması mutlak bir şer'î şart olarak aranmıştır; bu katı kural, kırâat disiplinini kontrolsüz serbest okuma ihtimallerinden ayıran en radikal koruma kalkanıdır.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Teknik bir tarifle sened; bir kırâat formunun nüzul ortamından günümüze kadar hangi mütelahık hocalardan hangi yetkin talebelere aktarılarak ulaştığını belgeleyen resmi rivayet silsilesidir (Çetin, 2001). Kırâat literatüründe bir imamın özgün okuyuş ekolünden söz edildiğinde; aslında sadece şahsi bir imla tercihi değil, o imla tercihindeki fonetik yapıyı kuşaklar boyunca taşıyan kurumsal bir aktarım silsilesi kastedilir. Örnek olarak, "Âsım b. Behdele (ö. 127/745) kırâati" denildiğinde, burada sadece onun şahsi okuma tarzı değil; bu özgün tarzın ondan Hafs b. Süleymân (ö. 180/796) ve Ebû Bekir Şu‘be b. Ayyâş (ö. 193/809) gibi otorite râviler vasıtasıyla sonraki asırlara nasıl senedli bir stemma ile aktarıldığı da ifade edilmiş olur (Çetin, 2001). Bu yönüyle sened, kırâat ilminde sadece "Bu kelimeyi kimden duydun?" sorusunun sığ bir cevabı olmayıp; o okuyuş formunun ümmet nezdindeki meşruiyetini, bilimsel güvenirliğini ve teolojik değerini saptayan nihai hukuki belgedir.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otoriteleri bu sened mekanizmasının sarsılmaz ehemmiyetini her vesileyle teorileştirmişlerdir. İbnü’l-Cezerî, kırâat ilminin usulî sınırlarını çizerken, bu disiplinin Kur’an kelimelerinin edâ keyfiyetlerini ve bu keyfiyetlerdeki lafzi ihtilafları, sened zinciriyle tescil edilmiş nakledici imamlar yoluyla bilme ilmi olduğunu, şafii usulünün büyük isimlerinden Tâceddîn es-Subkî (ö. 771/1369) vasıtasıyla kuramsallaştırmaktadır (İbnü’l-Cezerî, 2010). Bu kurucu usul tanımında "nakleden imamlar zinciri" vurgusunun merkezi olarak konumlandırılması; kırâatlerin meşruiyetinin salt yazılı metne değil, o metne hayat veren güvenilir insan zincirinin şahitliğine bağlı olduğunu gösterir. Mekkî b. Ebû Tâlib kırâatlerin ancak semâ, telakki ve kesintisiz sahih rivayet senediyle öğrenilebileceğini beyan ederken (Kaysî, 1979); Ebû Şâme ise kırâatlerin şahsi re'y ve akılla değil, mutlak surette senedli nakille bilineceğini söyleyerek senedin bu ilimdeki kurucu rolünü tahkim etmektedir (Ebû Şâme, 1993).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emniyet sisteminde sened mekanizması; "İmam-Râvi-Tarîk" şeklinde formüle edilen üçlü katı hiyerarşik ayrım ile doğrudan eklemlenmiştir. Bu mikro tasnif sistemi, kırâat ilminin dünya metin tarihinde ne derece kusursuz ve denetlenebilir bir nakil stemma yapısı kurduğunu açıkça gözler önüne serer. Bu kurumsal yapıya göre: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İmam:</w:t>
      </w:r>
      <w:r w:rsidDel="00000000" w:rsidR="00000000" w:rsidRPr="00000000">
        <w:rPr>
          <w:rtl w:val="0"/>
        </w:rPr>
        <w:t xml:space="preserve"> Okuyuş ekolü ve imla tercihleri sened zincirlerinin sarsılmaz gücüyle ümmet genelinde meşhur olmuş kurucu büyük kırâat otoritesidir.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Râvi:</w:t>
      </w:r>
      <w:r w:rsidDel="00000000" w:rsidR="00000000" w:rsidRPr="00000000">
        <w:rPr>
          <w:rtl w:val="0"/>
        </w:rPr>
        <w:t xml:space="preserve"> Söz konusu kurucu imamın okuyuş tarzını ve fonetik sistemini ondan doğrudan veya dolaylı senedle nakleden ve bu okuyuşu bağımsız birer ekol olarak kurumsallaştıran yetkin otoritedir.</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Tarîk:</w:t>
      </w:r>
      <w:r w:rsidDel="00000000" w:rsidR="00000000" w:rsidRPr="00000000">
        <w:rPr>
          <w:rtl w:val="0"/>
        </w:rPr>
        <w:t xml:space="preserve"> Râviden sonraki tabakalarda, o okuyuş formunun hangi alt sened kanalları ve hoca silsileleri üzerinden muahhar asırlara aktarıldığını gösteren mikro aktarım yollarıdır (Hanay, 2012).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Bu anayasal tanımlardan da anlaşılacağı üzere, kırâatlerin sened hiyerarşisinde birinci mutlak meşruiyet derecesini kurucu imamlar teşkil etmekte; onları bu imlanın koruyucusu olan râviler takip etmekte, râvileri de stemma ağını genişleten tarîk sahipleri izlemektedir (Hanay, 2012). Örnek olarak: Hafs b. Süleymân, kurucu imam Âsım b. Behdele’nin resmi râvisidir; ancak Hafs’tan sonra gelen alt silsileler de (örneğin Ebû Muhammed Ubeyd b. es-Sabbâh tarîki gibi) sened kritiği açısından bağımsızca denetlenir ve şecereye işlenir (el-Kâdî, 2002). Bu titiz yapı sebebiyle kırâat ilminde "Hafs rivayeti" denildiğinde bile, tek çizgili basit bir nakil değil; binlerce mikro sened kanalıyla denetlenen, tasnif edilmiş muazzam bir akış geometrisi anlaşılmalıdır. İbnü’l-Cezerî’nin </w:t>
      </w:r>
      <w:r w:rsidDel="00000000" w:rsidR="00000000" w:rsidRPr="00000000">
        <w:rPr>
          <w:i w:val="1"/>
          <w:iCs w:val="1"/>
          <w:rtl w:val="0"/>
        </w:rPr>
        <w:t xml:space="preserve">en-Neşr fi’l-kırââti’l-aşr</w:t>
      </w:r>
      <w:r w:rsidDel="00000000" w:rsidR="00000000" w:rsidRPr="00000000">
        <w:rPr>
          <w:rtl w:val="0"/>
        </w:rPr>
        <w:t xml:space="preserve"> ve </w:t>
      </w:r>
      <w:r w:rsidDel="00000000" w:rsidR="00000000" w:rsidRPr="00000000">
        <w:rPr>
          <w:i w:val="1"/>
          <w:iCs w:val="1"/>
          <w:rtl w:val="0"/>
        </w:rPr>
        <w:t xml:space="preserve">Tayyibetü’n-neşr</w:t>
      </w:r>
      <w:r w:rsidDel="00000000" w:rsidR="00000000" w:rsidRPr="00000000">
        <w:rPr>
          <w:rtl w:val="0"/>
        </w:rPr>
        <w:t xml:space="preserve"> adlı anıtsal yapıtları, bu muazzam sened şebekesinin dünya literatüründeki en gelişmiş ve aşılmaz metin tenkidi örnekleridir.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Öte yandan, kırâatlerdeki sened hususu, tarihsel süreçte okuyuşların mütevatirlik dereceleri etrafında yürütülen usulî tartışmalarla da doğrudan eklemlenmiştir. Bazı usul âlimleri yedi veya on kırâat imamına nispet edilen tüm okuyuş formlarının sened zincirlerinin baştan sona mutlak mütevatir olduğunu savunurken; bazı daha temkinli muhafazakâr hadis münekkitleri ise isnad kritiği açısından bazı alt kanalların "meşhur" veya "âhad" kalabileceğini, ancak ümmetin bu senedleri kurumsal olarak telakki bil-kabûl ile karşılaması sebebiyle metinsel güvencelerinin eksiksiz olduğunu belirtmişlerdir (es-Süyûtî, 1974; ez-Zürkânî, 1996). Tüm bu teorik görüş ayrılıklarına rağmen sarsılmaz ortak zemin şudur: Sahih bir kırâat, adalet ve zabt sahibi râvilerden oluşan, kopuksuz ve tescilli resmi bir sened mekanizmasıyla doğrulanmak zorundadır; bu zorunluluk senedin kırâat ilmindeki mutlak kurucu otoritesini ilan eder.</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Otorite Ekseni</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ilmini yalnızca "Kur’an metnindeki lafzi varyasyonların ampirik bir dökümü" olarak okumak, bu disiplinin İslâm entelektüel tarihindeki asıl kurucu ve politik ağırlığını tam olarak yansıtmaz. Çünkü kırâat ilmi, sadece tarihsel farklılıkları edilgen bir biçimde kaydeden statik bir envanter odası kesinlikle değildir; bilakis hangi okuyuş formunun ilahi kelâm kategorisinde güvenilir sayılacağını, hangi kurucu imamın ortografik tercihlerinin esas alınacağını, hangi rivayet silsilesinin meşruiyet kazanacağını ve hangi okuma varyantının resmi kırâat dairesi (</w:t>
      </w:r>
      <w:r w:rsidDel="00000000" w:rsidR="00000000" w:rsidRPr="00000000">
        <w:rPr>
          <w:i w:val="1"/>
          <w:iCs w:val="1"/>
          <w:rtl w:val="0"/>
        </w:rPr>
        <w:t xml:space="preserve">kanon</w:t>
      </w:r>
      <w:r w:rsidDel="00000000" w:rsidR="00000000" w:rsidRPr="00000000">
        <w:rPr>
          <w:rtl w:val="0"/>
        </w:rPr>
        <w:t xml:space="preserve">) içinde değerlendirileceğini katı kriterlerle belirleyen köklü bir ilmi otorite ve iktidar geleneğidir. Bu sebeple kırâat tarihi süreci, baştan sona bir "otorite ekseni" tartışmasıdır. Buradaki otorite; sened zincirlerinin sıhhati, kesintisiz öğretim halkaları, ilim merkezlerinin kolektif kabulü (</w:t>
      </w:r>
      <w:r w:rsidDel="00000000" w:rsidR="00000000" w:rsidRPr="00000000">
        <w:rPr>
          <w:i w:val="1"/>
          <w:iCs w:val="1"/>
          <w:rtl w:val="0"/>
        </w:rPr>
        <w:t xml:space="preserve">telakki bil-kabûl</w:t>
      </w:r>
      <w:r w:rsidDel="00000000" w:rsidR="00000000" w:rsidRPr="00000000">
        <w:rPr>
          <w:rtl w:val="0"/>
        </w:rPr>
        <w:t xml:space="preserve">), resmi Osmânî imlaya morfolojik uygunluk ve ümmet genelinde yerleşmiş olan genel tilavet icması gibi unsurların birleşmesiyle tecessüm eden en yüksek düzeyde ilmî meşruiyet alanını ifade eder (Fırat, 2011).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geleneğindeki bu kurumsal otorite ekseninin ilk ve kurucu halkası, doğrudan doğruya Hz. Peygamber’in şahsi öğretimine ve nebevi tevkîfîliğine dayanır. Çünkü kırâat ilminin kuramsal yapısı açısından nihai üstat ve meşruiyet kaynağı odur. O, Kur’an ayetlerini ashaba bizzat tilavet etmiş, onlara kelimelerin lafzi iskeletini, edâ keyfiyetlerini ve fonetik vurgularını en ince detaylarına kadar bizzat seslendirerek belletmiştir. Bu sebeple, kırâat geleneğindeki tüm alt otorite zincirleri, meşruiyet güçlerini en başta vahyin nebevi tebliği ve öğretimi evresinden devralırlar. Sahabe nesli bu orijinal okuyuş otoritesini ondan doğrudan işiterek zimmetine geçirmiş, tâbiîn nesli de bu ilahi emaneti aynı titizlikle sahabeden tevarüs etmiştir; dolayısıyla kırâat ilmindeki tüm beşerî otoriteler, nebevi kaynağa olan sened bağları ölçüsünde meşruiyet kazanırlar.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Kırâat tarihinin ikinci hayati otorite halkasını ise sahabe neslinin kurucu kurrâ kadrosu oluşturur. Ashab içerisinden özellikle Ubey b. Ka’b, Abdullah b. Mes’ûd, Zeyd b. Sâbit, Ebû Mûsâ el-Eş’arî ve Ebü’d-Derdâ gibi devasa figürler, Kur’an öğretiminde ve metin güvenliğinde birer kurumsal merkezi otorite haline gelmişlerdir. Bu isimlerin devlet eliyle veya ilmi maslahatlarla Mekke, Medine, Kûfe, Basra ve Şam gibi imparatorluğun ana metropollerine resmi öğretici ve kadı olarak delege edilmesi, kırâat otoritesinin bölgesel okullar ve coğrafi merkezler üzerinden kristalleşmesine yol açmıştır. Bu tarihi durum, kırâat otoritesinin baştan itibaren münferit şahısların ötesinde, bölgesel ilim çevrelerinin ve kurumsal akademilerin gözetiminde tekâmül ettiğini belgeler. İbn Mücâhid’in yedi meşhur imamı seçerken uyguladığı text-critical seçici metodolojinin arka planında da, ashab döneminden beri senedle gelen bu köklü bölgesel ve kurumsal otorite algısını tespit edip formüle etmek yatmaktadır (İbn Mücâhid, 1982).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Tâbiîn ve tebeu’t-tâbiîn asırlarına intikal edildiğinde, kırâat otoritesi tamamen kurumsal, sistematik ve profesyonel bir çehre kazanmıştır. Çünkü bu olgunluk döneminde sadece okuyuşu şahsen bilen ampirik kârilere değil; bilakis bu okuyuş varyantlarını belirli usul kuralları çerçevesinde sistemleştiren, binlerce talebeden oluşan devasa ekoller yöneten ve ilmi birer ekolü temsil eden kurumsal kırâat imamlarına rastlanmaktadır. İbn Âmir el-Yahsûbî (ö. 118/736), İbn Kesîr el-Mekkî (ö. 120/738), Âsım b. Behdele, Ebû Amr b. el-Alâ (ö. 154/771), Hamza b. Habîb ez-Zeyyât (ö. 156/773), Nâfi‘ b. Abdurrahmân (ö. 169/785) ve el-Kisâî (ö. 189/805) gibi anıtsal şahsiyetler, kırâat tarihinde sadece basit birer rivayet aktarıcısı değil; bilakis alanın meşruiyet sınırlarını çizen kurucu otoritelerdir.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Onların şahsında tecessüm eden bu yüksek ilmi otorite, kesinlikle şahsi heva ve içtihatlarının bir ürünü olmayıp; şu üç temel kurumsal sütundan beslenmektedir: Birincisi, ashab nesline kopuksuz uzanan en güçlü sened zincirlerine sahip olmaları; ikincisi, kendi dönemlerinde kurdukları muazzam skriptoryum ve akademilerde yüzlerce icazetli uzman talebe yetiştirmeleri; üçüncüsü ise okuyuş tercihlerinin dönemin en katı ilim çevreleri ve ulema icması tarafından "telakki bil-kabûl" ile karşılanarak tescil edilmiş olmasıdır (ed-Dânî, 2005). Bir imamın okuyuş tarzı sened açısından ne kadar sağlam görünürse görünsün, eğer o okuyuş ilmi çevreler tarafından kurumsal olarak benimsenmemiş, talebe halkaları vasıtasıyla yaygınlaştırılmamış ve sonraki nesillere aktarılarak süreklilik kazanmamışsa, zamanla sivil dolaşımdan düşerek marjinalleşmeye mahkûmdur.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Buna mukabil, güçlü ve kesintisiz öğretim zincirleri kurmayı başaran kurucu imamların okuyuşları, sadece kendi asırlarında kalmamış, sened mekanizmasının koruması altında sonraki tüm asırlara egemen olmuştur. Örnek olarak, İmâm Âsım’ın evrensel düzeydeki mutlak otoritesi, sadece onun şahsi Kur’an bilgisine değil; bilakis Hafs b. Süleymân ve Şu‘be b. Ayyâş gibi devasa râvilerin sened zincirleri marifetiyle bu okuyuş fonetiğini sonraki nesillere kusursuz bir kurumsal stemma ile aktarmış olmalarına dayanır (ed-Dânî, 2005). Sonuç olarak, kırâatlerde tecessüm eden otorite ekseni; ilahi kelâmın otantik fonetik yapısını her türlü beşerî yozlaşmadan koruyan, sened güvenceli, râvi denetimli ve icma onaylı çok boyutlu bir muhafazakâr ilim geleneğini ifade etmektedir.</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Adıgüzel, M. (ts.). Kıraat İlminde Tarik-Senet Boyutu ve Konu ile İlgili Te’lif Edilen Eserler. </w:t>
      </w:r>
      <w:r w:rsidDel="00000000" w:rsidR="00000000" w:rsidRPr="00000000">
        <w:rPr>
          <w:i w:val="1"/>
          <w:iCs w:val="1"/>
          <w:rtl w:val="0"/>
        </w:rPr>
        <w:t xml:space="preserve">Atatürk Üniversitesi İlahiyat Fakültesi Dergisi</w:t>
      </w:r>
      <w:r w:rsidDel="00000000" w:rsidR="00000000" w:rsidRPr="00000000">
        <w:rPr>
          <w:rtl w:val="0"/>
        </w:rPr>
        <w:t xml:space="preserve">, 211-245.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Aydınlı, A. (2016). </w:t>
      </w:r>
      <w:r w:rsidDel="00000000" w:rsidR="00000000" w:rsidRPr="00000000">
        <w:rPr>
          <w:i w:val="1"/>
          <w:iCs w:val="1"/>
          <w:rtl w:val="0"/>
        </w:rPr>
        <w:t xml:space="preserve">Hadis Istılahları Sözlüğü</w:t>
      </w:r>
      <w:r w:rsidDel="00000000" w:rsidR="00000000" w:rsidRPr="00000000">
        <w:rPr>
          <w:rtl w:val="0"/>
        </w:rPr>
        <w:t xml:space="preserve">. Marmara Üniversitesi İlâhiyat Fakültesi Vakfı Yayınları.</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Çetin, A. (2001). </w:t>
      </w:r>
      <w:r w:rsidDel="00000000" w:rsidR="00000000" w:rsidRPr="00000000">
        <w:rPr>
          <w:i w:val="1"/>
          <w:iCs w:val="1"/>
          <w:rtl w:val="0"/>
        </w:rPr>
        <w:t xml:space="preserve">Kıraatların Tefsire Etkisi</w:t>
      </w:r>
      <w:r w:rsidDel="00000000" w:rsidR="00000000" w:rsidRPr="00000000">
        <w:rPr>
          <w:rtl w:val="0"/>
        </w:rPr>
        <w:t xml:space="preserve">. Marifet Yayınları.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ed-Dânî, E. A. O. b. S. (2005). </w:t>
      </w:r>
      <w:r w:rsidDel="00000000" w:rsidR="00000000" w:rsidRPr="00000000">
        <w:rPr>
          <w:i w:val="1"/>
          <w:iCs w:val="1"/>
          <w:rtl w:val="0"/>
        </w:rPr>
        <w:t xml:space="preserve">Câmi‘u’l-beyân fi’l-kırââti’s-seb‘i’l-meşhûra</w:t>
      </w:r>
      <w:r w:rsidDel="00000000" w:rsidR="00000000" w:rsidRPr="00000000">
        <w:rPr>
          <w:rtl w:val="0"/>
        </w:rPr>
        <w:t xml:space="preserve"> (M. S. el-Cezâirî, Dü.). Dâru’l-Kütübi’l-İlmiyye.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Ebû Şâme, Ş. A. İ. (1993). </w:t>
      </w:r>
      <w:r w:rsidDel="00000000" w:rsidR="00000000" w:rsidRPr="00000000">
        <w:rPr>
          <w:i w:val="1"/>
          <w:iCs w:val="1"/>
          <w:rtl w:val="0"/>
        </w:rPr>
        <w:t xml:space="preserve">el-Murşidu’l-vecîz ilâ ulûmin tetaallaku bi’l-kitâbi’l-Azîz</w:t>
      </w:r>
      <w:r w:rsidDel="00000000" w:rsidR="00000000" w:rsidRPr="00000000">
        <w:rPr>
          <w:rtl w:val="0"/>
        </w:rPr>
        <w:t xml:space="preserve"> (V. M. et-Tabatabâî, Dü.). Mektebetü’l-Imâm ez-Zehebî.</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es-Süyûtî, C. A. b. E. B. (1974). </w:t>
      </w:r>
      <w:r w:rsidDel="00000000" w:rsidR="00000000" w:rsidRPr="00000000">
        <w:rPr>
          <w:i w:val="1"/>
          <w:iCs w:val="1"/>
          <w:rtl w:val="0"/>
        </w:rPr>
        <w:t xml:space="preserve">el-İtkân fî ulûmi’l-Kur’ân</w:t>
      </w:r>
      <w:r w:rsidDel="00000000" w:rsidR="00000000" w:rsidRPr="00000000">
        <w:rPr>
          <w:rtl w:val="0"/>
        </w:rPr>
        <w:t xml:space="preserve"> (M. E. F. İbrâhim, Dü.). (Cilt 4). el-Hey'etü'l-Mısriyyetü'l-Âmme li'l-Kitâb.</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(A. Şemsüddin, Dü.). (Cilt 1). Dâru'l-Kütübi'l-İlmiyye.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Fırat, Y. (2011). Kıraat İlmi ve Tarikler. </w:t>
      </w:r>
      <w:r w:rsidDel="00000000" w:rsidR="00000000" w:rsidRPr="00000000">
        <w:rPr>
          <w:i w:val="1"/>
          <w:iCs w:val="1"/>
          <w:rtl w:val="0"/>
        </w:rPr>
        <w:t xml:space="preserve">Erciyes Üniversitesi İlahiyat Fakültesi Dergisi</w:t>
      </w:r>
      <w:r w:rsidDel="00000000" w:rsidR="00000000" w:rsidRPr="00000000">
        <w:rPr>
          <w:rtl w:val="0"/>
        </w:rPr>
        <w:t xml:space="preserve">, 29(2), 25-48.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Hanay, N. (2012). Kıraât-ı Aşere’nin İmam, Râvî ve Tarîklerine Dair Manzum Bir Eser İncelemesi. </w:t>
      </w:r>
      <w:r w:rsidDel="00000000" w:rsidR="00000000" w:rsidRPr="00000000">
        <w:rPr>
          <w:i w:val="1"/>
          <w:iCs w:val="1"/>
          <w:rtl w:val="0"/>
        </w:rPr>
        <w:t xml:space="preserve">Recep Tayyip Erdoğan Üniversitesi İlahiyat Fakültesi Dergisi</w:t>
      </w:r>
      <w:r w:rsidDel="00000000" w:rsidR="00000000" w:rsidRPr="00000000">
        <w:rPr>
          <w:rtl w:val="0"/>
        </w:rPr>
        <w:t xml:space="preserve">, 1, 255-280.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 Mücâhid, E. B. A. b. M. (1982). </w:t>
      </w:r>
      <w:r w:rsidDel="00000000" w:rsidR="00000000" w:rsidRPr="00000000">
        <w:rPr>
          <w:i w:val="1"/>
          <w:iCs w:val="1"/>
          <w:rtl w:val="0"/>
        </w:rPr>
        <w:t xml:space="preserve">Kitâbu's-seb’a fi'l-kırâât</w:t>
      </w:r>
      <w:r w:rsidDel="00000000" w:rsidR="00000000" w:rsidRPr="00000000">
        <w:rPr>
          <w:rtl w:val="0"/>
        </w:rPr>
        <w:t xml:space="preserve"> (Ş. Dayf, Dü.). Dâru'l-Meârif.</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(1999). </w:t>
      </w:r>
      <w:r w:rsidDel="00000000" w:rsidR="00000000" w:rsidRPr="00000000">
        <w:rPr>
          <w:i w:val="1"/>
          <w:iCs w:val="1"/>
          <w:rtl w:val="0"/>
        </w:rPr>
        <w:t xml:space="preserve">en-Neşr fi’l-kırââti’l-aşr</w:t>
      </w:r>
      <w:r w:rsidDel="00000000" w:rsidR="00000000" w:rsidRPr="00000000">
        <w:rPr>
          <w:rtl w:val="0"/>
        </w:rPr>
        <w:t xml:space="preserve"> (A. M. ed-Dabbâ‘, Dü.). (Cilt 1). Dâru’l-Kütübi’l-İlmiyye.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(2010). </w:t>
      </w:r>
      <w:r w:rsidDel="00000000" w:rsidR="00000000" w:rsidRPr="00000000">
        <w:rPr>
          <w:i w:val="1"/>
          <w:iCs w:val="1"/>
          <w:rtl w:val="0"/>
        </w:rPr>
        <w:t xml:space="preserve">Muncidu'l-mukriîn ve murşidu't-tâlibîn</w:t>
      </w:r>
      <w:r w:rsidDel="00000000" w:rsidR="00000000" w:rsidRPr="00000000">
        <w:rPr>
          <w:rtl w:val="0"/>
        </w:rPr>
        <w:t xml:space="preserve"> (N. M. M. Câd, Dü.). Dâru'l-Âfâki'l-Arabiyye.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Kaysî, M. b. E. T. (1979). </w:t>
      </w:r>
      <w:r w:rsidDel="00000000" w:rsidR="00000000" w:rsidRPr="00000000">
        <w:rPr>
          <w:i w:val="1"/>
          <w:iCs w:val="1"/>
          <w:rtl w:val="0"/>
        </w:rPr>
        <w:t xml:space="preserve">el-İbâne an me'ânî'l-kırâ'ât</w:t>
      </w:r>
      <w:r w:rsidDel="00000000" w:rsidR="00000000" w:rsidRPr="00000000">
        <w:rPr>
          <w:rtl w:val="0"/>
        </w:rPr>
        <w:t xml:space="preserve"> (A. İ. Şelebî, Dü.). Dâru Nehdati Mısr.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Ünal, M. (2023). </w:t>
      </w:r>
      <w:r w:rsidDel="00000000" w:rsidR="00000000" w:rsidRPr="00000000">
        <w:rPr>
          <w:i w:val="1"/>
          <w:iCs w:val="1"/>
          <w:rtl w:val="0"/>
        </w:rPr>
        <w:t xml:space="preserve">Kur’an’ın Metinleşme Tarihi</w:t>
      </w:r>
      <w:r w:rsidDel="00000000" w:rsidR="00000000" w:rsidRPr="00000000">
        <w:rPr>
          <w:rtl w:val="0"/>
        </w:rPr>
        <w:t xml:space="preserve">. Fecr Yayınları.</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el-Kâdî, A. (2002). </w:t>
      </w:r>
      <w:r w:rsidDel="00000000" w:rsidR="00000000" w:rsidRPr="00000000">
        <w:rPr>
          <w:i w:val="1"/>
          <w:iCs w:val="1"/>
          <w:rtl w:val="0"/>
        </w:rPr>
        <w:t xml:space="preserve">el-Budûru’z-zâhire fi’l-kırââti’l-aşri’l-mütevâtire</w:t>
      </w:r>
      <w:r w:rsidDel="00000000" w:rsidR="00000000" w:rsidRPr="00000000">
        <w:rPr>
          <w:rtl w:val="0"/>
        </w:rPr>
        <w:t xml:space="preserve">. Mektebetü Enes b. Mâlik.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The detailed analytical expansion of the transmission infrastructure evaluating </w:t>
      </w:r>
      <w:r w:rsidDel="00000000" w:rsidR="00000000" w:rsidRPr="00000000">
        <w:rPr>
          <w:i w:val="1"/>
          <w:iCs w:val="1"/>
          <w:rtl w:val="0"/>
        </w:rPr>
        <w:t xml:space="preserve">Rivâyet, Sened, and Otorite Ekseni</w:t>
      </w:r>
      <w:r w:rsidDel="00000000" w:rsidR="00000000" w:rsidRPr="00000000">
        <w:rPr>
          <w:rtl w:val="0"/>
        </w:rPr>
        <w:t xml:space="preserve"> has been completed with explicit </w:t>
      </w:r>
      <w:r w:rsidDel="00000000" w:rsidR="00000000" w:rsidRPr="00000000">
        <w:rPr>
          <w:b w:val="1"/>
          <w:bCs w:val="1"/>
          <w:rtl w:val="0"/>
        </w:rPr>
        <w:t xml:space="preserve">APA 7 inline references</w:t>
      </w:r>
      <w:r w:rsidDel="00000000" w:rsidR="00000000" w:rsidRPr="00000000">
        <w:rPr>
          <w:rtl w:val="0"/>
        </w:rPr>
        <w:t xml:space="preserve"> and a master bibliography. Shall we now advance to the immediate next critical core node, </w:t>
      </w:r>
      <w:r w:rsidDel="00000000" w:rsidR="00000000" w:rsidRPr="00000000">
        <w:rPr>
          <w:b w:val="1"/>
          <w:bCs w:val="1"/>
          <w:rtl w:val="0"/>
        </w:rPr>
        <w:t xml:space="preserve">"Osmânî Mushaf ve Yedi Harf Meselesi"</w:t>
      </w:r>
      <w:r w:rsidDel="00000000" w:rsidR="00000000" w:rsidRPr="00000000">
        <w:rPr>
          <w:rtl w:val="0"/>
        </w:rPr>
        <w:t xml:space="preserve"> (The Intersection of Canonical Codification and the Prophetic Seven Ahruf Doctrine), to sustain this standard of technical review?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