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Guía maestra de la pipeline METABRIC</w:t>
      </w:r>
    </w:p>
    <w:p>
      <w:pPr>
        <w:jc w:val="center"/>
      </w:pPr>
      <w:r>
        <w:rPr>
          <w:i/>
          <w:color w:val="5A5A5A"/>
          <w:sz w:val="22"/>
        </w:rPr>
        <w:t>Arquitectura global, orden de ejecución y lógica metodológica</w:t>
      </w:r>
    </w:p>
    <w:p>
      <w:pPr>
        <w:jc w:val="center"/>
      </w:pPr>
      <w:r>
        <w:t>Repositorio técnico del pipeline METABRIC — documentación preparada para publicación en GitHub.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92"/>
          </w:tcPr>
          <w:p>
            <w:r>
              <w:t>Enfoque</w:t>
            </w:r>
          </w:p>
        </w:tc>
        <w:tc>
          <w:tcPr>
            <w:tcW w:type="dxa" w:w="6912"/>
          </w:tcPr>
          <w:p>
            <w:r>
              <w:t>Descripción técnica y metodológica del script, sus decisiones y sus salidas.</w:t>
            </w:r>
          </w:p>
        </w:tc>
      </w:tr>
      <w:tr>
        <w:tc>
          <w:tcPr>
            <w:tcW w:type="dxa" w:w="2592"/>
          </w:tcPr>
          <w:p>
            <w:r>
              <w:t>Alcance</w:t>
            </w:r>
          </w:p>
        </w:tc>
        <w:tc>
          <w:tcPr>
            <w:tcW w:type="dxa" w:w="6912"/>
          </w:tcPr>
          <w:p>
            <w:r>
              <w:t>Versión preparada para repositorio público; se omiten referencias a uso en entrevista.</w:t>
            </w:r>
          </w:p>
        </w:tc>
      </w:tr>
      <w:tr>
        <w:tc>
          <w:tcPr>
            <w:tcW w:type="dxa" w:w="2592"/>
          </w:tcPr>
          <w:p>
            <w:r>
              <w:t>Convención</w:t>
            </w:r>
          </w:p>
        </w:tc>
        <w:tc>
          <w:tcPr>
            <w:tcW w:type="dxa" w:w="6912"/>
          </w:tcPr>
          <w:p>
            <w:r>
              <w:t>Se mantiene la nomenclatura M1a/M1b/M2a/M2b/M3/M4 usada por la pipeline.</w:t>
            </w:r>
          </w:p>
        </w:tc>
      </w:tr>
    </w:tbl>
    <w:p>
      <w:r>
        <w:br w:type="page"/>
      </w:r>
    </w:p>
    <w:p>
      <w:pPr>
        <w:pStyle w:val="Heading1"/>
      </w:pPr>
      <w:r>
        <w:t>Resumen del script</w:t>
      </w:r>
    </w:p>
    <w:p>
      <w:r>
        <w:t>Presentar la arquitectura completa del proyecto, la secuencia de ejecución y las decisiones que conectan limpieza, modelado, validación y reporte final.</w:t>
      </w:r>
    </w:p>
    <w:p>
      <w:pPr>
        <w:pStyle w:val="Heading2"/>
      </w:pPr>
      <w:r>
        <w:t>Ubicación en el repositorio</w:t>
      </w:r>
    </w:p>
    <w:p>
      <w:r>
        <w:t>src / src_patched / outputs</w:t>
      </w:r>
    </w:p>
    <w:p>
      <w:pPr>
        <w:pStyle w:val="Heading2"/>
      </w:pPr>
      <w:r>
        <w:t>Decisiones metodológicas clave</w:t>
      </w:r>
    </w:p>
    <w:p>
      <w:pPr>
        <w:pStyle w:val="ListBullet"/>
      </w:pPr>
      <w:r>
        <w:t>El proyecto usa un único split compartido para que todas las tareas comparen los mismos pacientes de entrenamiento y prueba.</w:t>
      </w:r>
    </w:p>
    <w:p>
      <w:pPr>
        <w:pStyle w:val="ListBullet"/>
      </w:pPr>
      <w:r>
        <w:t>La imputación y el NMF se ajustan solo sobre entrenamiento para evitar leakage.</w:t>
      </w:r>
    </w:p>
    <w:p>
      <w:pPr>
        <w:pStyle w:val="ListBullet"/>
      </w:pPr>
      <w:r>
        <w:t>La selección de algoritmos de clasificación se hace con CV de entrenamiento; el test queda bloqueado para evaluación final.</w:t>
      </w:r>
    </w:p>
    <w:p>
      <w:pPr>
        <w:pStyle w:val="ListBullet"/>
      </w:pPr>
      <w:r>
        <w:t>Las tareas M2a y M2b usan Cox con censura explícita; M2b añade sensibilidad de competing risks en una capa separada.</w:t>
      </w:r>
    </w:p>
    <w:p>
      <w:pPr>
        <w:pStyle w:val="Heading2"/>
      </w:pPr>
      <w:r>
        <w:t>Artefactos y salidas principales</w:t>
      </w:r>
    </w:p>
    <w:p>
      <w:pPr>
        <w:pStyle w:val="ListBullet"/>
      </w:pPr>
      <w:r>
        <w:t>outputs/notebook_01 a outputs/notebook_11</w:t>
      </w:r>
    </w:p>
    <w:p>
      <w:pPr>
        <w:pStyle w:val="ListBullet"/>
      </w:pPr>
      <w:r>
        <w:t>outputs/splits/*</w:t>
      </w:r>
    </w:p>
    <w:p>
      <w:pPr>
        <w:pStyle w:val="ListBullet"/>
      </w:pPr>
      <w:r>
        <w:t>outputs/models/*</w:t>
      </w:r>
    </w:p>
    <w:p>
      <w:pPr>
        <w:pStyle w:val="ListBullet"/>
      </w:pPr>
      <w:r>
        <w:t>outputs/permutation_importance/*</w:t>
      </w:r>
    </w:p>
    <w:p>
      <w:pPr>
        <w:pStyle w:val="Heading2"/>
      </w:pPr>
      <w:r>
        <w:t>Observaciones para publicación en GitHub</w:t>
      </w:r>
    </w:p>
    <w:p>
      <w:r>
        <w:t>Para un repositorio público, este script debe mantenerse junto con su documentación técnica, pero las salidas generadas durante la corrida deben tratarse como artefactos reproducibles y no como fuente única de verdad. El código, el orden de ejecución y las decisiones metodológicas deben quedar descritos con suficiente detalle para permitir una reproducción independiente.</w:t>
      </w:r>
    </w:p>
    <w:p>
      <w:r>
        <w:br w:type="page"/>
      </w:r>
    </w:p>
    <w:p>
      <w:pPr>
        <w:pStyle w:val="Heading1"/>
      </w:pPr>
      <w:r>
        <w:t>Figuras y explicación</w:t>
      </w:r>
    </w:p>
    <w:p>
      <w:pPr>
        <w:pStyle w:val="Heading2"/>
      </w:pPr>
      <w:r>
        <w:t>30_model_summary.png</w:t>
      </w:r>
    </w:p>
    <w:p>
      <w:r>
        <w:drawing>
          <wp:inline xmlns:a="http://schemas.openxmlformats.org/drawingml/2006/main" xmlns:pic="http://schemas.openxmlformats.org/drawingml/2006/picture">
            <wp:extent cx="6035040" cy="3813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model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13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30_model_summary.png</w:t>
      </w:r>
    </w:p>
    <w:p>
      <w:pPr>
        <w:spacing w:after="160"/>
      </w:pPr>
      <w:r>
        <w:t>Resumen consolidado de ganadores finales por tarea. La figura compacta la narrativa principal de rendimiento y deja claro que clasificación y supervivencia se evalúan con métricas distintas.</w:t>
      </w:r>
    </w:p>
    <w:p>
      <w:pPr>
        <w:pStyle w:val="Heading2"/>
      </w:pPr>
      <w:r>
        <w:t>42_capability_assessment.png</w:t>
      </w:r>
    </w:p>
    <w:p>
      <w:r>
        <w:drawing>
          <wp:inline xmlns:a="http://schemas.openxmlformats.org/drawingml/2006/main" xmlns:pic="http://schemas.openxmlformats.org/drawingml/2006/picture">
            <wp:extent cx="6035040" cy="3070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_capability_assess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70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42_capability_assessment.png</w:t>
      </w:r>
    </w:p>
    <w:p>
      <w:pPr>
        <w:spacing w:after="160"/>
      </w:pPr>
      <w:r>
        <w:t>Traduce el rendimiento en capacidad práctica. No intenta vender el modelo como un sustituto clínico, sino como una herramienta de estratificación, soporte o ranking.</w:t>
      </w:r>
    </w:p>
    <w:p>
      <w:pPr>
        <w:pStyle w:val="Heading2"/>
      </w:pPr>
      <w:r>
        <w:t>43_key_findings_and_limitations.png</w:t>
      </w:r>
    </w:p>
    <w:p>
      <w:r>
        <w:drawing>
          <wp:inline xmlns:a="http://schemas.openxmlformats.org/drawingml/2006/main" xmlns:pic="http://schemas.openxmlformats.org/drawingml/2006/picture">
            <wp:extent cx="6035040" cy="29939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_key_findings_and_limita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93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43_key_findings_and_limitations.png</w:t>
      </w:r>
    </w:p>
    <w:p>
      <w:pPr>
        <w:spacing w:after="160"/>
      </w:pPr>
      <w:r>
        <w:t>Resume las decisiones centrales del proyecto y también sus límites: ausencia de validación externa y sensibilidad de competing risks separada del Cox principal.</w:t>
      </w:r>
    </w:p>
    <w:sectPr w:rsidR="00FC693F" w:rsidRPr="0006063C" w:rsidSect="00034616">
      <w:footerReference w:type="default" r:id="rId9"/>
      <w:pgSz w:w="12240" w:h="15840"/>
      <w:pgMar w:top="1080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