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01_notebook_data_understanding.py</w:t>
      </w:r>
    </w:p>
    <w:p>
      <w:pPr>
        <w:jc w:val="center"/>
      </w:pPr>
      <w:r>
        <w:rPr>
          <w:i/>
          <w:color w:val="5A5A5A"/>
          <w:sz w:val="22"/>
        </w:rPr>
        <w:t>Auditoría inicial del dataset, sesgos, faltantes y plausibilidad</w:t>
      </w:r>
    </w:p>
    <w:p>
      <w:pPr>
        <w:jc w:val="center"/>
      </w:pPr>
      <w:r>
        <w:t>Repositorio técnico del pipeline METABRIC — documentación preparada para publicación en GitHub.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968"/>
            <w:shd w:fill="1F4E79"/>
          </w:tcPr>
          <w:p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968"/>
            <w:shd w:fill="1F4E79"/>
          </w:tcPr>
          <w:p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592"/>
          </w:tcPr>
          <w:p>
            <w:r>
              <w:t>Enfoque</w:t>
            </w:r>
          </w:p>
        </w:tc>
        <w:tc>
          <w:tcPr>
            <w:tcW w:type="dxa" w:w="6912"/>
          </w:tcPr>
          <w:p>
            <w:r>
              <w:t>Descripción técnica y metodológica del script, sus decisiones y sus salidas.</w:t>
            </w:r>
          </w:p>
        </w:tc>
      </w:tr>
      <w:tr>
        <w:tc>
          <w:tcPr>
            <w:tcW w:type="dxa" w:w="2592"/>
          </w:tcPr>
          <w:p>
            <w:r>
              <w:t>Alcance</w:t>
            </w:r>
          </w:p>
        </w:tc>
        <w:tc>
          <w:tcPr>
            <w:tcW w:type="dxa" w:w="6912"/>
          </w:tcPr>
          <w:p>
            <w:r>
              <w:t>Versión preparada para repositorio público; se omiten referencias a uso en entrevista.</w:t>
            </w:r>
          </w:p>
        </w:tc>
      </w:tr>
      <w:tr>
        <w:tc>
          <w:tcPr>
            <w:tcW w:type="dxa" w:w="2592"/>
          </w:tcPr>
          <w:p>
            <w:r>
              <w:t>Convención</w:t>
            </w:r>
          </w:p>
        </w:tc>
        <w:tc>
          <w:tcPr>
            <w:tcW w:type="dxa" w:w="6912"/>
          </w:tcPr>
          <w:p>
            <w:r>
              <w:t>Se mantiene la nomenclatura M1a/M1b/M2a/M2b/M3/M4 usada por la pipeline.</w:t>
            </w:r>
          </w:p>
        </w:tc>
      </w:tr>
    </w:tbl>
    <w:p>
      <w:r>
        <w:br w:type="page"/>
      </w:r>
    </w:p>
    <w:p>
      <w:pPr>
        <w:pStyle w:val="Heading1"/>
      </w:pPr>
      <w:r>
        <w:t>Resumen del script</w:t>
      </w:r>
    </w:p>
    <w:p>
      <w:r>
        <w:t>Caracterizar la cohorte antes de cualquier transformación para justificar las decisiones de limpieza, imputación y modelado.</w:t>
      </w:r>
    </w:p>
    <w:p>
      <w:pPr>
        <w:pStyle w:val="Heading2"/>
      </w:pPr>
      <w:r>
        <w:t>Ubicación en el repositorio</w:t>
      </w:r>
    </w:p>
    <w:p>
      <w:r>
        <w:t>src/01_notebook_data_understanding.py</w:t>
      </w:r>
    </w:p>
    <w:p>
      <w:pPr>
        <w:pStyle w:val="Heading2"/>
      </w:pPr>
      <w:r>
        <w:t>Decisiones metodológicas clave</w:t>
      </w:r>
    </w:p>
    <w:p>
      <w:pPr>
        <w:pStyle w:val="ListBullet"/>
      </w:pPr>
      <w:r>
        <w:t>El script separa observaciones computadas desde datos crudos de decisiones de diseño; esto evita mezclar evidencia empírica con criterio manual.</w:t>
      </w:r>
    </w:p>
    <w:p>
      <w:pPr>
        <w:pStyle w:val="ListBullet"/>
      </w:pPr>
      <w:r>
        <w:t>El foco se pone en faltantes, codificación, valores implausibles, cohort effects y estructura de las variables objetivo.</w:t>
      </w:r>
    </w:p>
    <w:p>
      <w:pPr>
        <w:pStyle w:val="ListBullet"/>
      </w:pPr>
      <w:r>
        <w:t>Las figuras sirven como auditoría y como justificación explícita de las etapas siguientes del pipeline.</w:t>
      </w:r>
    </w:p>
    <w:p>
      <w:pPr>
        <w:pStyle w:val="Heading2"/>
      </w:pPr>
      <w:r>
        <w:t>Artefactos y salidas principales</w:t>
      </w:r>
    </w:p>
    <w:p>
      <w:pPr>
        <w:pStyle w:val="ListBullet"/>
      </w:pPr>
      <w:r>
        <w:t>8 figuras de diagnóstico en outputs/notebook_01</w:t>
      </w:r>
    </w:p>
    <w:p>
      <w:pPr>
        <w:pStyle w:val="Heading2"/>
      </w:pPr>
      <w:r>
        <w:t>Observaciones para publicación en GitHub</w:t>
      </w:r>
    </w:p>
    <w:p>
      <w:r>
        <w:t>Para un repositorio público, este script debe mantenerse junto con su documentación técnica, pero las salidas generadas durante la corrida deben tratarse como artefactos reproducibles y no como fuente única de verdad. El código, el orden de ejecución y las decisiones metodológicas deben quedar descritos con suficiente detalle para permitir una reproducción independiente.</w:t>
      </w:r>
    </w:p>
    <w:p>
      <w:r>
        <w:br w:type="page"/>
      </w:r>
    </w:p>
    <w:p>
      <w:pPr>
        <w:pStyle w:val="Heading1"/>
      </w:pPr>
      <w:r>
        <w:t>Figuras y explicación</w:t>
      </w:r>
    </w:p>
    <w:p>
      <w:pPr>
        <w:pStyle w:val="Heading2"/>
      </w:pPr>
      <w:r>
        <w:t>01_dataset_overview.png</w:t>
      </w:r>
    </w:p>
    <w:p>
      <w:r>
        <w:drawing>
          <wp:inline xmlns:a="http://schemas.openxmlformats.org/drawingml/2006/main" xmlns:pic="http://schemas.openxmlformats.org/drawingml/2006/picture">
            <wp:extent cx="6035040" cy="57181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ataset_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57181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Figura: 01_dataset_overview.png</w:t>
      </w:r>
    </w:p>
    <w:p>
      <w:pPr>
        <w:spacing w:after="160"/>
      </w:pPr>
      <w:r>
        <w:t>Sitúa el problema de modelado: tamaño de cohorte, número de variables clínicas y genes, balance de eventos y magnitud de los faltantes principales.</w:t>
      </w:r>
    </w:p>
    <w:p>
      <w:pPr>
        <w:pStyle w:val="Heading2"/>
      </w:pPr>
      <w:r>
        <w:t>02_missing_values.png</w:t>
      </w:r>
    </w:p>
    <w:p>
      <w:r>
        <w:drawing>
          <wp:inline xmlns:a="http://schemas.openxmlformats.org/drawingml/2006/main" xmlns:pic="http://schemas.openxmlformats.org/drawingml/2006/picture">
            <wp:extent cx="6035040" cy="22749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missing_valu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2749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Figura: 02_missing_values.png</w:t>
      </w:r>
    </w:p>
    <w:p>
      <w:pPr>
        <w:spacing w:after="160"/>
      </w:pPr>
      <w:r>
        <w:t>Cuantifica la magnitud y distribución de los faltantes. La asociación entre missingness de stage y cohort anticipa la necesidad de una imputación controlada y de covariables de cohorte.</w:t>
      </w:r>
    </w:p>
    <w:p>
      <w:pPr>
        <w:pStyle w:val="Heading2"/>
      </w:pPr>
      <w:r>
        <w:t>03_numeric_distributions.png</w:t>
      </w:r>
    </w:p>
    <w:p>
      <w:r>
        <w:drawing>
          <wp:inline xmlns:a="http://schemas.openxmlformats.org/drawingml/2006/main" xmlns:pic="http://schemas.openxmlformats.org/drawingml/2006/picture">
            <wp:extent cx="6035040" cy="26580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numeric_distribution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658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Figura: 03_numeric_distributions.png</w:t>
      </w:r>
    </w:p>
    <w:p>
      <w:pPr>
        <w:spacing w:after="160"/>
      </w:pPr>
      <w:r>
        <w:t>Muestra la asimetría de variables numéricas y justifica transformaciones log1p posteriores en tamaño tumoral, ganglios positivos y mutation count.</w:t>
      </w:r>
    </w:p>
    <w:p>
      <w:pPr>
        <w:pStyle w:val="Heading2"/>
      </w:pPr>
      <w:r>
        <w:t>04_cross_variable_consistency.png</w:t>
      </w:r>
    </w:p>
    <w:p>
      <w:r>
        <w:drawing>
          <wp:inline xmlns:a="http://schemas.openxmlformats.org/drawingml/2006/main" xmlns:pic="http://schemas.openxmlformats.org/drawingml/2006/picture">
            <wp:extent cx="6035040" cy="182996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ross_variable_consistenc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8299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Figura: 04_cross_variable_consistency.png</w:t>
      </w:r>
    </w:p>
    <w:p>
      <w:pPr>
        <w:spacing w:after="160"/>
      </w:pPr>
      <w:r>
        <w:t>Verifica coherencia interna entre campos relacionados. El objetivo no es solo limpiar, sino demostrar que ciertas correcciones son razonables porque el resto de variables las respalda.</w:t>
      </w:r>
    </w:p>
    <w:p>
      <w:pPr>
        <w:pStyle w:val="Heading2"/>
      </w:pPr>
      <w:r>
        <w:t>05_missingness_mechanism.png</w:t>
      </w:r>
    </w:p>
    <w:p>
      <w:r>
        <w:drawing>
          <wp:inline xmlns:a="http://schemas.openxmlformats.org/drawingml/2006/main" xmlns:pic="http://schemas.openxmlformats.org/drawingml/2006/picture">
            <wp:extent cx="6035040" cy="187416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missingness_mechanis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874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Figura: 05_missingness_mechanism.png</w:t>
      </w:r>
    </w:p>
    <w:p>
      <w:pPr>
        <w:spacing w:after="160"/>
      </w:pPr>
      <w:r>
        <w:t>Examina si los faltantes se parecen más a un mecanismo dependiente de cohorte que a un patrón puramente aleatorio. Esto apoya una imputación post-split con preservación del train-only fit.</w:t>
      </w:r>
    </w:p>
    <w:p>
      <w:pPr>
        <w:pStyle w:val="Heading2"/>
      </w:pPr>
      <w:r>
        <w:t>06_cohort_effects.png</w:t>
      </w:r>
    </w:p>
    <w:p>
      <w:r>
        <w:drawing>
          <wp:inline xmlns:a="http://schemas.openxmlformats.org/drawingml/2006/main" xmlns:pic="http://schemas.openxmlformats.org/drawingml/2006/picture">
            <wp:extent cx="6035040" cy="373948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ohort_effec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39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Figura: 06_cohort_effects.png</w:t>
      </w:r>
    </w:p>
    <w:p>
      <w:pPr>
        <w:spacing w:after="160"/>
      </w:pPr>
      <w:r>
        <w:t>Cuantifica el efecto de cohorte sobre supervivencia, seguimiento y expresión. Esta figura es central para justificar la inclusión explícita de cohort como covariable de control.</w:t>
      </w:r>
    </w:p>
    <w:p>
      <w:pPr>
        <w:pStyle w:val="Heading2"/>
      </w:pPr>
      <w:r>
        <w:t>07_target_deep_dive.png</w:t>
      </w:r>
    </w:p>
    <w:p>
      <w:r>
        <w:drawing>
          <wp:inline xmlns:a="http://schemas.openxmlformats.org/drawingml/2006/main" xmlns:pic="http://schemas.openxmlformats.org/drawingml/2006/picture">
            <wp:extent cx="6035040" cy="386619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target_deep_div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866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Figura: 07_target_deep_dive.png</w:t>
      </w:r>
    </w:p>
    <w:p>
      <w:pPr>
        <w:spacing w:after="160"/>
      </w:pPr>
      <w:r>
        <w:t>Descompone los targets y muestra por qué M1/M2 all-cause y M1/M2 cancer-specific no son preguntas idénticas. También deja claro el carácter ordinal de M4 y la estructura multiclase de M3.</w:t>
      </w:r>
    </w:p>
    <w:p>
      <w:pPr>
        <w:pStyle w:val="Heading2"/>
      </w:pPr>
      <w:r>
        <w:t>08_issues_summary_table.png</w:t>
      </w:r>
    </w:p>
    <w:p>
      <w:r>
        <w:drawing>
          <wp:inline xmlns:a="http://schemas.openxmlformats.org/drawingml/2006/main" xmlns:pic="http://schemas.openxmlformats.org/drawingml/2006/picture">
            <wp:extent cx="6035040" cy="30823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issues_summary_tabl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082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Figura: 08_issues_summary_table.png</w:t>
      </w:r>
    </w:p>
    <w:p>
      <w:pPr>
        <w:spacing w:after="160"/>
      </w:pPr>
      <w:r>
        <w:t>Cierra el notebook con un registro curado de incidencias y decisiones. Funciona como puente entre comprensión del dato y diseño de la pipeline.</w:t>
      </w:r>
    </w:p>
    <w:sectPr w:rsidR="00FC693F" w:rsidRPr="0006063C" w:rsidSect="00034616">
      <w:footerReference w:type="default" r:id="rId9"/>
      <w:pgSz w:w="12240" w:h="15840"/>
      <w:pgMar w:top="1080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