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02b_notebook_pipeline_support_plots.py</w:t>
      </w:r>
    </w:p>
    <w:p>
      <w:pPr>
        <w:jc w:val="center"/>
      </w:pPr>
      <w:r>
        <w:rPr>
          <w:i/>
          <w:color w:val="5A5A5A"/>
          <w:sz w:val="22"/>
        </w:rPr>
        <w:t>Figuras auxiliares para explicar el soporte interno de la pipeline</w:t>
      </w:r>
    </w:p>
    <w:p>
      <w:pPr>
        <w:jc w:val="center"/>
      </w:pPr>
      <w:r>
        <w:t>Repositorio técnico del pipeline METABRIC — documentación preparada para publicación en GitHub.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968"/>
            <w:shd w:fill="1F4E79"/>
          </w:tcPr>
          <w:p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t>Enfoque</w:t>
            </w:r>
          </w:p>
        </w:tc>
        <w:tc>
          <w:tcPr>
            <w:tcW w:type="dxa" w:w="6912"/>
          </w:tcPr>
          <w:p>
            <w:r>
              <w:t>Descripción técnica y metodológica del script, sus decisiones y sus salidas.</w:t>
            </w:r>
          </w:p>
        </w:tc>
      </w:tr>
      <w:tr>
        <w:tc>
          <w:tcPr>
            <w:tcW w:type="dxa" w:w="2592"/>
          </w:tcPr>
          <w:p>
            <w:r>
              <w:t>Alcance</w:t>
            </w:r>
          </w:p>
        </w:tc>
        <w:tc>
          <w:tcPr>
            <w:tcW w:type="dxa" w:w="6912"/>
          </w:tcPr>
          <w:p>
            <w:r>
              <w:t>Versión preparada para repositorio público; se omiten referencias a uso en entrevista.</w:t>
            </w:r>
          </w:p>
        </w:tc>
      </w:tr>
      <w:tr>
        <w:tc>
          <w:tcPr>
            <w:tcW w:type="dxa" w:w="2592"/>
          </w:tcPr>
          <w:p>
            <w:r>
              <w:t>Convención</w:t>
            </w:r>
          </w:p>
        </w:tc>
        <w:tc>
          <w:tcPr>
            <w:tcW w:type="dxa" w:w="6912"/>
          </w:tcPr>
          <w:p>
            <w:r>
              <w:t>Se mantiene la nomenclatura M1a/M1b/M2a/M2b/M3/M4 usada por la pipeline.</w:t>
            </w:r>
          </w:p>
        </w:tc>
      </w:tr>
    </w:tbl>
    <w:p>
      <w:r>
        <w:br w:type="page"/>
      </w:r>
    </w:p>
    <w:p>
      <w:pPr>
        <w:pStyle w:val="Heading1"/>
      </w:pPr>
      <w:r>
        <w:t>Resumen del script</w:t>
      </w:r>
    </w:p>
    <w:p>
      <w:r>
        <w:t>Generar material visual auxiliar que resume propiedades del pipeline ya construido.</w:t>
      </w:r>
    </w:p>
    <w:p>
      <w:pPr>
        <w:pStyle w:val="Heading2"/>
      </w:pPr>
      <w:r>
        <w:t>Ubicación en el repositorio</w:t>
      </w:r>
    </w:p>
    <w:p>
      <w:r>
        <w:t>src/02b_notebook_pipeline_support_plots.py</w:t>
      </w:r>
    </w:p>
    <w:p>
      <w:pPr>
        <w:pStyle w:val="Heading2"/>
      </w:pPr>
      <w:r>
        <w:t>Decisiones metodológicas clave</w:t>
      </w:r>
    </w:p>
    <w:p>
      <w:pPr>
        <w:pStyle w:val="ListBullet"/>
      </w:pPr>
      <w:r>
        <w:t>Este script no redefine el pipeline; visualiza y resume artefactos generados por 02.</w:t>
      </w:r>
    </w:p>
    <w:p>
      <w:pPr>
        <w:pStyle w:val="ListBullet"/>
      </w:pPr>
      <w:r>
        <w:t>Su valor está en hacer explícitas decisiones que, de otro modo, quedarían enterradas en los CSV de configuración.</w:t>
      </w:r>
    </w:p>
    <w:p>
      <w:pPr>
        <w:pStyle w:val="Heading2"/>
      </w:pPr>
      <w:r>
        <w:t>Artefactos y salidas principales</w:t>
      </w:r>
    </w:p>
    <w:p>
      <w:pPr>
        <w:pStyle w:val="ListBullet"/>
      </w:pPr>
      <w:r>
        <w:t>Soportes gráficos auxiliares para documentación y README</w:t>
      </w:r>
    </w:p>
    <w:p>
      <w:pPr>
        <w:pStyle w:val="Heading2"/>
      </w:pPr>
      <w:r>
        <w:t>Observaciones para publicación en GitHub</w:t>
      </w:r>
    </w:p>
    <w:p>
      <w:r>
        <w:t>Para un repositorio público, este script debe mantenerse junto con su documentación técnica, pero las salidas generadas durante la corrida deben tratarse como artefactos reproducibles y no como fuente única de verdad. El código, el orden de ejecución y las decisiones metodológicas deben quedar descritos con suficiente detalle para permitir una reproducción independiente.</w:t>
      </w:r>
    </w:p>
    <w:sectPr w:rsidR="00FC693F" w:rsidRPr="0006063C" w:rsidSect="00034616">
      <w:footerReference w:type="default" r:id="rId9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