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05_notebook_clinical_molecular_validation.biology_enhanced.fixed.py</w:t>
      </w:r>
    </w:p>
    <w:p>
      <w:pPr>
        <w:jc w:val="center"/>
      </w:pPr>
      <w:r>
        <w:rPr>
          <w:i/>
          <w:color w:val="5A5A5A"/>
          <w:sz w:val="22"/>
        </w:rPr>
        <w:t>Validación biológica de subtipos, programas NMF y firmas de vía/microambiente</w:t>
      </w:r>
    </w:p>
    <w:p>
      <w:pPr>
        <w:jc w:val="center"/>
      </w:pPr>
      <w:r>
        <w:t>Repositorio técnico del pipeline METABRIC — documentación preparada para publicación en GitHub.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</w:tcPr>
          <w:p>
            <w:r>
              <w:t>Enfoque</w:t>
            </w:r>
          </w:p>
        </w:tc>
        <w:tc>
          <w:tcPr>
            <w:tcW w:type="dxa" w:w="6912"/>
          </w:tcPr>
          <w:p>
            <w:r>
              <w:t>Descripción técnica y metodológica del script, sus decisiones y sus salidas.</w:t>
            </w:r>
          </w:p>
        </w:tc>
      </w:tr>
      <w:tr>
        <w:tc>
          <w:tcPr>
            <w:tcW w:type="dxa" w:w="2592"/>
          </w:tcPr>
          <w:p>
            <w:r>
              <w:t>Alcance</w:t>
            </w:r>
          </w:p>
        </w:tc>
        <w:tc>
          <w:tcPr>
            <w:tcW w:type="dxa" w:w="6912"/>
          </w:tcPr>
          <w:p>
            <w:r>
              <w:t>Versión preparada para repositorio público; se omiten referencias a uso en entrevista.</w:t>
            </w:r>
          </w:p>
        </w:tc>
      </w:tr>
      <w:tr>
        <w:tc>
          <w:tcPr>
            <w:tcW w:type="dxa" w:w="2592"/>
          </w:tcPr>
          <w:p>
            <w:r>
              <w:t>Convención</w:t>
            </w:r>
          </w:p>
        </w:tc>
        <w:tc>
          <w:tcPr>
            <w:tcW w:type="dxa" w:w="6912"/>
          </w:tcPr>
          <w:p>
            <w:r>
              <w:t>Se mantiene la nomenclatura M1a/M1b/M2a/M2b/M3/M4 usada por la pipeline.</w:t>
            </w:r>
          </w:p>
        </w:tc>
      </w:tr>
    </w:tbl>
    <w:p>
      <w:r>
        <w:br w:type="page"/>
      </w:r>
    </w:p>
    <w:p>
      <w:pPr>
        <w:pStyle w:val="Heading1"/>
      </w:pPr>
      <w:r>
        <w:t>Resumen del script</w:t>
      </w:r>
    </w:p>
    <w:p>
      <w:r>
        <w:t>Comprobar que la capa molecular del proyecto recupera patrones biológicos plausibles y clínicamente coherentes.</w:t>
      </w:r>
    </w:p>
    <w:p>
      <w:pPr>
        <w:pStyle w:val="Heading2"/>
      </w:pPr>
      <w:r>
        <w:t>Ubicación en el repositorio</w:t>
      </w:r>
    </w:p>
    <w:p>
      <w:r>
        <w:t>src_patched/05_notebook_clinical_molecular_validation.biology_enhanced.fixed.py</w:t>
      </w:r>
    </w:p>
    <w:p>
      <w:pPr>
        <w:pStyle w:val="Heading2"/>
      </w:pPr>
      <w:r>
        <w:t>Decisiones metodológicas clave</w:t>
      </w:r>
    </w:p>
    <w:p>
      <w:pPr>
        <w:pStyle w:val="ListBullet"/>
      </w:pPr>
      <w:r>
        <w:t>El notebook integra supervivencia por subtipo, asociaciones programa-subtipo, correlaciones clínicas y mitigación de cohorte.</w:t>
      </w:r>
    </w:p>
    <w:p>
      <w:pPr>
        <w:pStyle w:val="ListBullet"/>
      </w:pPr>
      <w:r>
        <w:t>La versión enhanced añade validación con pathway scores y scores de microambiente derivados de expresión.</w:t>
      </w:r>
    </w:p>
    <w:p>
      <w:pPr>
        <w:pStyle w:val="ListBullet"/>
      </w:pPr>
      <w:r>
        <w:t>El criterio no es solo que los programas separen clases, sino que se alineen con biología conocida de mama.</w:t>
      </w:r>
    </w:p>
    <w:p>
      <w:pPr>
        <w:pStyle w:val="Heading2"/>
      </w:pPr>
      <w:r>
        <w:t>Artefactos y salidas principales</w:t>
      </w:r>
    </w:p>
    <w:p>
      <w:pPr>
        <w:pStyle w:val="ListBullet"/>
      </w:pPr>
      <w:r>
        <w:t>Figuras 16–22 y las nuevas 20_pathway_microenvironment_heatmap / 21_programme_signature_concordance</w:t>
      </w:r>
    </w:p>
    <w:p>
      <w:pPr>
        <w:pStyle w:val="Heading2"/>
      </w:pPr>
      <w:r>
        <w:t>Observaciones para publicación en GitHub</w:t>
      </w:r>
    </w:p>
    <w:p>
      <w:r>
        <w:t>Para un repositorio público, este script debe mantenerse junto con su documentación técnica, pero las salidas generadas durante la corrida deben tratarse como artefactos reproducibles y no como fuente única de verdad. El código, el orden de ejecución y las decisiones metodológicas deben quedar descritos con suficiente detalle para permitir una reproducción independiente.</w:t>
      </w:r>
    </w:p>
    <w:p>
      <w:r>
        <w:br w:type="page"/>
      </w:r>
    </w:p>
    <w:p>
      <w:pPr>
        <w:pStyle w:val="Heading1"/>
      </w:pPr>
      <w:r>
        <w:t>Figuras y explicación</w:t>
      </w:r>
    </w:p>
    <w:p>
      <w:pPr>
        <w:pStyle w:val="Heading2"/>
      </w:pPr>
      <w:r>
        <w:t>16_km_pam50.png</w:t>
      </w:r>
    </w:p>
    <w:p>
      <w:r>
        <w:drawing>
          <wp:inline xmlns:a="http://schemas.openxmlformats.org/drawingml/2006/main" xmlns:pic="http://schemas.openxmlformats.org/drawingml/2006/picture">
            <wp:extent cx="6035040" cy="2248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km_pam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48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16_km_pam50.png</w:t>
      </w:r>
    </w:p>
    <w:p>
      <w:pPr>
        <w:spacing w:after="160"/>
      </w:pPr>
      <w:r>
        <w:t>Valida que los subtipos moleculares contienen información pronóstica. No se usa para construir M3, sino para demostrar que la estructura PAM50 en el dataset sigue siendo clínicamente coherente.</w:t>
      </w:r>
    </w:p>
    <w:p>
      <w:pPr>
        <w:pStyle w:val="Heading2"/>
      </w:pPr>
      <w:r>
        <w:t>17_km_grade_receptor.png</w:t>
      </w:r>
    </w:p>
    <w:p>
      <w:r>
        <w:drawing>
          <wp:inline xmlns:a="http://schemas.openxmlformats.org/drawingml/2006/main" xmlns:pic="http://schemas.openxmlformats.org/drawingml/2006/picture">
            <wp:extent cx="6035040" cy="1664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km_grade_recep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64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17_km_grade_receptor.png</w:t>
      </w:r>
    </w:p>
    <w:p>
      <w:pPr>
        <w:spacing w:after="160"/>
      </w:pPr>
      <w:r>
        <w:t>Muestra que receptor status y HER2 mantienen la dirección pronóstica esperada, mientras que el grado refleja señal más débil y más ruidosa.</w:t>
      </w:r>
    </w:p>
    <w:p>
      <w:pPr>
        <w:pStyle w:val="Heading2"/>
      </w:pPr>
      <w:r>
        <w:t>18_gp_pam50_heatmap.png</w:t>
      </w:r>
    </w:p>
    <w:p>
      <w:r>
        <w:drawing>
          <wp:inline xmlns:a="http://schemas.openxmlformats.org/drawingml/2006/main" xmlns:pic="http://schemas.openxmlformats.org/drawingml/2006/picture">
            <wp:extent cx="6035040" cy="2469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gp_pam50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69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18_gp_pam50_heatmap.png</w:t>
      </w:r>
    </w:p>
    <w:p>
      <w:pPr>
        <w:spacing w:after="160"/>
      </w:pPr>
      <w:r>
        <w:t>Cuantifica qué programas NMF distinguen mejor los subtipos PAM50. Aquí aparecen los programas realmente informativos, no solo los más fáciles de etiquetar manualmente.</w:t>
      </w:r>
    </w:p>
    <w:p>
      <w:pPr>
        <w:pStyle w:val="Heading2"/>
      </w:pPr>
      <w:r>
        <w:t>19_gp_spotlight.png</w:t>
      </w:r>
    </w:p>
    <w:p>
      <w:r>
        <w:drawing>
          <wp:inline xmlns:a="http://schemas.openxmlformats.org/drawingml/2006/main" xmlns:pic="http://schemas.openxmlformats.org/drawingml/2006/picture">
            <wp:extent cx="6035040" cy="29880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gp_spot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88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19_gp_spotlight.png</w:t>
      </w:r>
    </w:p>
    <w:p>
      <w:pPr>
        <w:spacing w:after="160"/>
      </w:pPr>
      <w:r>
        <w:t>Hace zoom en cuatro programas clave y cruza su interpretación con subtipo, grado y supervivencia. Es la validación más intuitiva de la capa NMF.</w:t>
      </w:r>
    </w:p>
    <w:p>
      <w:pPr>
        <w:pStyle w:val="Heading2"/>
      </w:pPr>
      <w:r>
        <w:t>20_clinical_correlations.png</w:t>
      </w:r>
    </w:p>
    <w:p>
      <w:r>
        <w:drawing>
          <wp:inline xmlns:a="http://schemas.openxmlformats.org/drawingml/2006/main" xmlns:pic="http://schemas.openxmlformats.org/drawingml/2006/picture">
            <wp:extent cx="6035040" cy="26697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clinical_correl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69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20_clinical_correlations.png</w:t>
      </w:r>
    </w:p>
    <w:p>
      <w:pPr>
        <w:spacing w:after="160"/>
      </w:pPr>
      <w:r>
        <w:t>Sitúa las correlaciones clínicas fuertes y justifica exclusiones como NPI. También ayuda a entender qué parte de la señal clínica está estructuralmente redundante.</w:t>
      </w:r>
    </w:p>
    <w:p>
      <w:pPr>
        <w:pStyle w:val="Heading2"/>
      </w:pPr>
      <w:r>
        <w:t>21_cohort_confounding_mitigation.png</w:t>
      </w:r>
    </w:p>
    <w:p>
      <w:r>
        <w:drawing>
          <wp:inline xmlns:a="http://schemas.openxmlformats.org/drawingml/2006/main" xmlns:pic="http://schemas.openxmlformats.org/drawingml/2006/picture">
            <wp:extent cx="6035040" cy="19861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cohort_confounding_mitig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8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21_cohort_confounding_mitigation.png</w:t>
      </w:r>
    </w:p>
    <w:p>
      <w:pPr>
        <w:spacing w:after="160"/>
      </w:pPr>
      <w:r>
        <w:t>Demuestra que residualizar por cohort OHE reduce drásticamente la asociación espuria entre programa y cohorte. Esta figura sostiene la decisión de incluir cohort como mitigación y no ignorarlo.</w:t>
      </w:r>
    </w:p>
    <w:p>
      <w:pPr>
        <w:pStyle w:val="Heading2"/>
      </w:pPr>
      <w:r>
        <w:t>22_research_questions.png</w:t>
      </w:r>
    </w:p>
    <w:p>
      <w:r>
        <w:drawing>
          <wp:inline xmlns:a="http://schemas.openxmlformats.org/drawingml/2006/main" xmlns:pic="http://schemas.openxmlformats.org/drawingml/2006/picture">
            <wp:extent cx="6035040" cy="29998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research_ques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99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22_research_questions.png</w:t>
      </w:r>
    </w:p>
    <w:p>
      <w:pPr>
        <w:spacing w:after="160"/>
      </w:pPr>
      <w:r>
        <w:t>Resume las preguntas de investigación que realmente sostiene el dataset y cómo cada una se traduce en un task M1/M2/M3/M4.</w:t>
      </w:r>
    </w:p>
    <w:p>
      <w:pPr>
        <w:pStyle w:val="Heading2"/>
      </w:pPr>
      <w:r>
        <w:t>20_pathway_microenvironment_heatmap.png</w:t>
      </w:r>
    </w:p>
    <w:p>
      <w:r>
        <w:drawing>
          <wp:inline xmlns:a="http://schemas.openxmlformats.org/drawingml/2006/main" xmlns:pic="http://schemas.openxmlformats.org/drawingml/2006/picture">
            <wp:extent cx="6035040" cy="26255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pathway_microenvironment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2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20_pathway_microenvironment_heatmap.png</w:t>
      </w:r>
    </w:p>
    <w:p>
      <w:pPr>
        <w:spacing w:after="160"/>
      </w:pPr>
      <w:r>
        <w:t>Introduce una capa biológica más formal: los pathway y TME scores derivados de expresión recuperan el patrón esperado por subtipo y muestran poder discriminativo alto para proliferación, luminalidad e IFN/immune.</w:t>
      </w:r>
    </w:p>
    <w:p>
      <w:pPr>
        <w:pStyle w:val="Heading2"/>
      </w:pPr>
      <w:r>
        <w:t>21_programme_signature_concordance.png</w:t>
      </w:r>
    </w:p>
    <w:p>
      <w:r>
        <w:drawing>
          <wp:inline xmlns:a="http://schemas.openxmlformats.org/drawingml/2006/main" xmlns:pic="http://schemas.openxmlformats.org/drawingml/2006/picture">
            <wp:extent cx="6035040" cy="26020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programme_signature_concord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02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21_programme_signature_concordance.png</w:t>
      </w:r>
    </w:p>
    <w:p>
      <w:pPr>
        <w:spacing w:after="160"/>
      </w:pPr>
      <w:r>
        <w:t>Corrobora que los labels manuales de los programas NMF no son arbitrarios: los programas clave se correlacionan con firmas biológicas formales en la dirección esperada.</w:t>
      </w:r>
    </w:p>
    <w:sectPr w:rsidR="00FC693F" w:rsidRPr="0006063C" w:rsidSect="00034616">
      <w:footerReference w:type="default" r:id="rId9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