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06_notebook_baseline_models.py</w:t>
      </w:r>
    </w:p>
    <w:p>
      <w:pPr>
        <w:jc w:val="center"/>
      </w:pPr>
      <w:r>
        <w:rPr>
          <w:i/>
          <w:color w:val="5A5A5A"/>
          <w:sz w:val="22"/>
        </w:rPr>
        <w:t>Modelos base y comparación contra predictores ingenuos o clínicos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Establecer puntos de referencia claros antes de la comparación final de algoritmos y antes de interpretar mejoras de rendimiento.</w:t>
      </w:r>
    </w:p>
    <w:p>
      <w:pPr>
        <w:pStyle w:val="Heading2"/>
      </w:pPr>
      <w:r>
        <w:t>Ubicación en el repositorio</w:t>
      </w:r>
    </w:p>
    <w:p>
      <w:r>
        <w:t>src/06_notebook_baseline_models.py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Se separan dos baselines: el predictor ingenuo por clase mayoritaria y los modelos clínicos simples.</w:t>
      </w:r>
    </w:p>
    <w:p>
      <w:pPr>
        <w:pStyle w:val="ListBullet"/>
      </w:pPr>
      <w:r>
        <w:t>La idea es mostrar cuánto valor añaden el resto de capas del pipeline y evitar una lectura inflada de accuracy.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23_accuracy_illusion.png</w:t>
      </w:r>
    </w:p>
    <w:p>
      <w:pPr>
        <w:pStyle w:val="ListBullet"/>
      </w:pPr>
      <w:r>
        <w:t>24_26_classification_baselines.png</w:t>
      </w:r>
    </w:p>
    <w:p>
      <w:pPr>
        <w:pStyle w:val="ListBullet"/>
      </w:pPr>
      <w:r>
        <w:t>27b_28b_m2_lifelines.png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23_accuracy_illusion.png</w:t>
      </w:r>
    </w:p>
    <w:p>
      <w:r>
        <w:drawing>
          <wp:inline xmlns:a="http://schemas.openxmlformats.org/drawingml/2006/main" xmlns:pic="http://schemas.openxmlformats.org/drawingml/2006/picture">
            <wp:extent cx="6035040" cy="18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ccuracy_ill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23_accuracy_illusion.png</w:t>
      </w:r>
    </w:p>
    <w:p>
      <w:pPr>
        <w:spacing w:after="160"/>
      </w:pPr>
      <w:r>
        <w:t>Explica por qué accuracy sola engaña en tareas desbalanceadas. En M1b, un predictor que siempre elige la clase mayoritaria ya parece “aceptable” en accuracy pero fracasa completamente en discriminación.</w:t>
      </w:r>
    </w:p>
    <w:p>
      <w:pPr>
        <w:pStyle w:val="Heading2"/>
      </w:pPr>
      <w:r>
        <w:t>24_26_classification_baselines.png</w:t>
      </w:r>
    </w:p>
    <w:p>
      <w:r>
        <w:drawing>
          <wp:inline xmlns:a="http://schemas.openxmlformats.org/drawingml/2006/main" xmlns:pic="http://schemas.openxmlformats.org/drawingml/2006/picture">
            <wp:extent cx="6035040" cy="4514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26_classification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1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24_26_classification_baselines.png</w:t>
      </w:r>
    </w:p>
    <w:p>
      <w:pPr>
        <w:spacing w:after="160"/>
      </w:pPr>
      <w:r>
        <w:t>Resume los baselines clínicos de clasificación para M1a, M1b, M3 y M4. Sirve para medir el salto entre una aproximación clínica mínima y la pipeline completa.</w:t>
      </w:r>
    </w:p>
    <w:p>
      <w:pPr>
        <w:pStyle w:val="Heading2"/>
      </w:pPr>
      <w:r>
        <w:t>27b_28b_m2_lifelines.png</w:t>
      </w:r>
    </w:p>
    <w:p>
      <w:r>
        <w:drawing>
          <wp:inline xmlns:a="http://schemas.openxmlformats.org/drawingml/2006/main" xmlns:pic="http://schemas.openxmlformats.org/drawingml/2006/picture">
            <wp:extent cx="6035040" cy="2557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b_28b_m2_life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5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27b_28b_m2_lifelines.png</w:t>
      </w:r>
    </w:p>
    <w:p>
      <w:pPr>
        <w:spacing w:after="160"/>
      </w:pPr>
      <w:r>
        <w:t>Muestra los Cox clínicos base para M2a y M2b y los coeficientes dominantes. Deja claro que parte de la señal de supervivencia ya estaba presente en covariables clínicas sencillas.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