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07_notebook_models_and_algorithm_comparison.patched.py</w:t>
      </w:r>
    </w:p>
    <w:p>
      <w:pPr>
        <w:jc w:val="center"/>
      </w:pPr>
      <w:r>
        <w:rPr>
          <w:i/>
          <w:color w:val="5A5A5A"/>
          <w:sz w:val="22"/>
        </w:rPr>
        <w:t>Comparación final de algoritmos y estabilidad del entrenamiento</w:t>
      </w:r>
    </w:p>
    <w:p>
      <w:pPr>
        <w:jc w:val="center"/>
      </w:pPr>
      <w:r>
        <w:t>Repositorio técnico del pipeline METABRIC — documentación preparada para publicación en GitHub.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</w:tcPr>
          <w:p>
            <w:r>
              <w:t>Enfoque</w:t>
            </w:r>
          </w:p>
        </w:tc>
        <w:tc>
          <w:tcPr>
            <w:tcW w:type="dxa" w:w="6912"/>
          </w:tcPr>
          <w:p>
            <w:r>
              <w:t>Descripción técnica y metodológica del script, sus decisiones y sus salidas.</w:t>
            </w:r>
          </w:p>
        </w:tc>
      </w:tr>
      <w:tr>
        <w:tc>
          <w:tcPr>
            <w:tcW w:type="dxa" w:w="2592"/>
          </w:tcPr>
          <w:p>
            <w:r>
              <w:t>Alcance</w:t>
            </w:r>
          </w:p>
        </w:tc>
        <w:tc>
          <w:tcPr>
            <w:tcW w:type="dxa" w:w="6912"/>
          </w:tcPr>
          <w:p>
            <w:r>
              <w:t>Versión preparada para repositorio público; se omiten referencias a uso en entrevista.</w:t>
            </w:r>
          </w:p>
        </w:tc>
      </w:tr>
      <w:tr>
        <w:tc>
          <w:tcPr>
            <w:tcW w:type="dxa" w:w="2592"/>
          </w:tcPr>
          <w:p>
            <w:r>
              <w:t>Convención</w:t>
            </w:r>
          </w:p>
        </w:tc>
        <w:tc>
          <w:tcPr>
            <w:tcW w:type="dxa" w:w="6912"/>
          </w:tcPr>
          <w:p>
            <w:r>
              <w:t>Se mantiene la nomenclatura M1a/M1b/M2a/M2b/M3/M4 usada por la pipeline.</w:t>
            </w:r>
          </w:p>
        </w:tc>
      </w:tr>
    </w:tbl>
    <w:p>
      <w:r>
        <w:br w:type="page"/>
      </w:r>
    </w:p>
    <w:p>
      <w:pPr>
        <w:pStyle w:val="Heading1"/>
      </w:pPr>
      <w:r>
        <w:t>Resumen del script</w:t>
      </w:r>
    </w:p>
    <w:p>
      <w:r>
        <w:t>Elegir y reportar los modelos ganadores por tarea con una disciplina compatible con evaluación bloqueada en test.</w:t>
      </w:r>
    </w:p>
    <w:p>
      <w:pPr>
        <w:pStyle w:val="Heading2"/>
      </w:pPr>
      <w:r>
        <w:t>Ubicación en el repositorio</w:t>
      </w:r>
    </w:p>
    <w:p>
      <w:r>
        <w:t>src_patched/07_notebook_models_and_algorithm_comparison.patched.py</w:t>
      </w:r>
    </w:p>
    <w:p>
      <w:pPr>
        <w:pStyle w:val="Heading2"/>
      </w:pPr>
      <w:r>
        <w:t>Decisiones metodológicas clave</w:t>
      </w:r>
    </w:p>
    <w:p>
      <w:pPr>
        <w:pStyle w:val="ListBullet"/>
      </w:pPr>
      <w:r>
        <w:t>Las tareas de clasificación ya no eligen el algoritmo ganador en el test. La selección se hace en training-only CV y el test se usa una sola vez.</w:t>
      </w:r>
    </w:p>
    <w:p>
      <w:pPr>
        <w:pStyle w:val="ListBullet"/>
      </w:pPr>
      <w:r>
        <w:t>El notebook separa rendimiento final, sensibilidad por cohorte, variación por validación repetida y comparación descriptiva de representaciones A/B/C/D.</w:t>
      </w:r>
    </w:p>
    <w:p>
      <w:pPr>
        <w:pStyle w:val="Heading2"/>
      </w:pPr>
      <w:r>
        <w:t>Artefactos y salidas principales</w:t>
      </w:r>
    </w:p>
    <w:p>
      <w:pPr>
        <w:pStyle w:val="ListBullet"/>
      </w:pPr>
      <w:r>
        <w:t>29_feature_representation.png</w:t>
      </w:r>
    </w:p>
    <w:p>
      <w:pPr>
        <w:pStyle w:val="ListBullet"/>
      </w:pPr>
      <w:r>
        <w:t>30_model_summary.png</w:t>
      </w:r>
    </w:p>
    <w:p>
      <w:pPr>
        <w:pStyle w:val="ListBullet"/>
      </w:pPr>
      <w:r>
        <w:t>31_cohort_transport_sensitivity.png</w:t>
      </w:r>
    </w:p>
    <w:p>
      <w:pPr>
        <w:pStyle w:val="ListBullet"/>
      </w:pPr>
      <w:r>
        <w:t>32_repeated_outer_validation.png</w:t>
      </w:r>
    </w:p>
    <w:p>
      <w:pPr>
        <w:pStyle w:val="Heading2"/>
      </w:pPr>
      <w:r>
        <w:t>Observaciones para publicación en GitHub</w:t>
      </w:r>
    </w:p>
    <w:p>
      <w:r>
        <w:t>Para un repositorio público, este script debe mantenerse junto con su documentación técnica, pero las salidas generadas durante la corrida deben tratarse como artefactos reproducibles y no como fuente única de verdad. El código, el orden de ejecución y las decisiones metodológicas deben quedar descritos con suficiente detalle para permitir una reproducción independiente.</w:t>
      </w:r>
    </w:p>
    <w:p>
      <w:r>
        <w:br w:type="page"/>
      </w:r>
    </w:p>
    <w:p>
      <w:pPr>
        <w:pStyle w:val="Heading1"/>
      </w:pPr>
      <w:r>
        <w:t>Figuras y explicación</w:t>
      </w:r>
    </w:p>
    <w:p>
      <w:pPr>
        <w:pStyle w:val="Heading2"/>
      </w:pPr>
      <w:r>
        <w:t>29_feature_representation.png</w:t>
      </w:r>
    </w:p>
    <w:p>
      <w:r>
        <w:drawing>
          <wp:inline xmlns:a="http://schemas.openxmlformats.org/drawingml/2006/main" xmlns:pic="http://schemas.openxmlformats.org/drawingml/2006/picture">
            <wp:extent cx="6035040" cy="36481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feature_represent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8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29_feature_representation.png</w:t>
      </w:r>
    </w:p>
    <w:p>
      <w:pPr>
        <w:spacing w:after="160"/>
      </w:pPr>
      <w:r>
        <w:t>Compara representaciones de features en training-CV. La lectura correcta es descriptiva: ayuda a entender si la señal viene de clínica, programas o combinaciones, pero no debe confundirse con una selección sobre test.</w:t>
      </w:r>
    </w:p>
    <w:p>
      <w:pPr>
        <w:pStyle w:val="Heading2"/>
      </w:pPr>
      <w:r>
        <w:t>30_model_summary.png</w:t>
      </w:r>
    </w:p>
    <w:p>
      <w:r>
        <w:drawing>
          <wp:inline xmlns:a="http://schemas.openxmlformats.org/drawingml/2006/main" xmlns:pic="http://schemas.openxmlformats.org/drawingml/2006/picture">
            <wp:extent cx="6035040" cy="3813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model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1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30_model_summary.png</w:t>
      </w:r>
    </w:p>
    <w:p>
      <w:pPr>
        <w:spacing w:after="160"/>
      </w:pPr>
      <w:r>
        <w:t>Resume el rendimiento final bloqueado de los modelos ganadores en las seis tareas. Es la figura principal de benchmark del proyecto.</w:t>
      </w:r>
    </w:p>
    <w:p>
      <w:pPr>
        <w:pStyle w:val="Heading2"/>
      </w:pPr>
      <w:r>
        <w:t>31_cohort_transport_sensitivity.png</w:t>
      </w:r>
    </w:p>
    <w:p>
      <w:r>
        <w:drawing>
          <wp:inline xmlns:a="http://schemas.openxmlformats.org/drawingml/2006/main" xmlns:pic="http://schemas.openxmlformats.org/drawingml/2006/picture">
            <wp:extent cx="6035040" cy="6782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cohort_transport_sensi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782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31_cohort_transport_sensitivity.png</w:t>
      </w:r>
    </w:p>
    <w:p>
      <w:pPr>
        <w:spacing w:after="160"/>
      </w:pPr>
      <w:r>
        <w:t>Evalúa qué ocurre al dejar una cohorte fuera durante entrenamiento. No reemplaza validación externa, pero ofrece una sensibilidad de transportabilidad dentro del propio dataset.</w:t>
      </w:r>
    </w:p>
    <w:p>
      <w:pPr>
        <w:pStyle w:val="Heading2"/>
      </w:pPr>
      <w:r>
        <w:t>32_repeated_outer_validation.png</w:t>
      </w:r>
    </w:p>
    <w:p>
      <w:r>
        <w:drawing>
          <wp:inline xmlns:a="http://schemas.openxmlformats.org/drawingml/2006/main" xmlns:pic="http://schemas.openxmlformats.org/drawingml/2006/picture">
            <wp:extent cx="6035040" cy="67331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repeated_outer_valid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73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32_repeated_outer_validation.png</w:t>
      </w:r>
    </w:p>
    <w:p>
      <w:pPr>
        <w:spacing w:after="160"/>
      </w:pPr>
      <w:r>
        <w:t>Muestra la estabilidad del rendimiento cuando se repite la validación externa sobre training. Da una idea de variabilidad y robustez del proceso de selección.</w:t>
      </w:r>
    </w:p>
    <w:sectPr w:rsidR="00FC693F" w:rsidRPr="0006063C" w:rsidSect="00034616">
      <w:footerReference w:type="default" r:id="rId9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