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00 — Manifiesto de entorno y reproducibilidad</w:t>
      </w:r>
    </w:p>
    <w:p>
      <w:pPr>
        <w:spacing w:before="0" w:after="280" w:line="276" w:lineRule="auto"/>
        <w:jc w:val="center"/>
      </w:pPr>
      <w:r>
        <w:rPr>
          <w:i/>
          <w:color w:val="5A5A5A"/>
          <w:sz w:val="22"/>
        </w:rPr>
        <w:t>Trazabilidad de ejecución y auditoría de artefactos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src/00_capture_environment_and_run_manifest.py</w:t>
            </w:r>
          </w:p>
        </w:tc>
      </w:tr>
      <w:tr>
        <w:tc>
          <w:tcPr>
            <w:tcW w:type="dxa" w:w="2736"/>
            <w:vAlign w:val="center"/>
          </w:tcPr>
          <w:p>
            <w:r>
              <w:t>Rol</w:t>
            </w:r>
          </w:p>
        </w:tc>
        <w:tc>
          <w:tcPr>
            <w:tcW w:type="dxa" w:w="7056"/>
            <w:vAlign w:val="center"/>
          </w:tcPr>
          <w:p>
            <w:r>
              <w:t>Reproducibilidad y trazabilidad</w:t>
            </w:r>
          </w:p>
        </w:tc>
      </w:tr>
      <w:tr>
        <w:tc>
          <w:tcPr>
            <w:tcW w:type="dxa" w:w="2736"/>
            <w:vAlign w:val="center"/>
          </w:tcPr>
          <w:p>
            <w:r>
              <w:t>Entradas</w:t>
            </w:r>
          </w:p>
        </w:tc>
        <w:tc>
          <w:tcPr>
            <w:tcW w:type="dxa" w:w="7056"/>
            <w:vAlign w:val="center"/>
          </w:tcPr>
          <w:p>
            <w:r>
              <w:t>Scripts del repositorio y fichero(s) de entrada</w:t>
            </w:r>
          </w:p>
        </w:tc>
      </w:tr>
      <w:tr>
        <w:tc>
          <w:tcPr>
            <w:tcW w:type="dxa" w:w="2736"/>
            <w:vAlign w:val="center"/>
          </w:tcPr>
          <w:p>
            <w:r>
              <w:t>Salidas</w:t>
            </w:r>
          </w:p>
        </w:tc>
        <w:tc>
          <w:tcPr>
            <w:tcW w:type="dxa" w:w="7056"/>
            <w:vAlign w:val="center"/>
          </w:tcPr>
          <w:p>
            <w:r>
              <w:t>run_manifest.json, script_hashes.csv, input_file_hashes.csv, requirements_runtime_frozen.txt</w:t>
            </w:r>
          </w:p>
        </w:tc>
      </w:tr>
    </w:tbl>
    <w:p/>
    <w:p>
      <w:pPr>
        <w:pStyle w:val="Heading1"/>
        <w:spacing w:before="120" w:after="80" w:line="276" w:lineRule="auto"/>
      </w:pPr>
      <w:r>
        <w:t>Objetivo y contribución dentro de la pipeline</w:t>
      </w:r>
    </w:p>
    <w:p>
      <w:pPr>
        <w:spacing w:before="0" w:after="100" w:line="276" w:lineRule="auto"/>
      </w:pPr>
      <w:r>
        <w:t>Este script no transforma datos ni entrena modelos. Su función es fijar el contexto de ejecución con suficiente detalle como para reconstruir, auditar y explicar una corrida concreta de la pipeline en el futuro.</w:t>
      </w:r>
    </w:p>
    <w:p>
      <w:pPr>
        <w:spacing w:before="0" w:after="100" w:line="276" w:lineRule="auto"/>
      </w:pPr>
      <w:r>
        <w:t>En un repositorio público, esta pieza es importante porque separa dos preguntas que a menudo se confunden: qué código existe en el proyecto y qué combinación exacta de versiones, scripts e inputs produjo unos resultados concretos.</w:t>
      </w:r>
    </w:p>
    <w:p>
      <w:pPr>
        <w:pStyle w:val="Heading1"/>
        <w:spacing w:before="120" w:after="80" w:line="276" w:lineRule="auto"/>
      </w:pPr>
      <w:r>
        <w:t>Rationale metodológico</w:t>
      </w:r>
    </w:p>
    <w:p>
      <w:pPr>
        <w:spacing w:before="0" w:after="100" w:line="276" w:lineRule="auto"/>
      </w:pPr>
      <w:r>
        <w:t>La decisión de generar hashes de scripts y de inputs reduce ambigüedad. No basta con saber que se usó 'la pipeline'; hay que poder demostrar qué fichero se ejecutó y con qué materia prima.</w:t>
      </w:r>
    </w:p>
    <w:p>
      <w:pPr>
        <w:spacing w:before="0" w:after="100" w:line="276" w:lineRule="auto"/>
      </w:pPr>
      <w:r>
        <w:t>El fichero de requirements congelado es un snapshot local, no una política de publicación. Su valor está en la reproducibilidad interna y en la depuración cuando aparecen diferencias entre máquinas.</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sha256_file</w:t>
            </w:r>
          </w:p>
        </w:tc>
        <w:tc>
          <w:tcPr>
            <w:tcW w:type="dxa" w:w="6768"/>
            <w:vAlign w:val="center"/>
          </w:tcPr>
          <w:p>
            <w:r>
              <w:t>Función auxiliar para sha256 file.</w:t>
            </w:r>
          </w:p>
        </w:tc>
      </w:tr>
      <w:tr>
        <w:tc>
          <w:tcPr>
            <w:tcW w:type="dxa" w:w="3024"/>
            <w:vAlign w:val="center"/>
          </w:tcPr>
          <w:p>
            <w:r>
              <w:t>safe_version</w:t>
            </w:r>
          </w:p>
        </w:tc>
        <w:tc>
          <w:tcPr>
            <w:tcW w:type="dxa" w:w="6768"/>
            <w:vAlign w:val="center"/>
          </w:tcPr>
          <w:p>
            <w:r>
              <w:t>Función auxiliar para safe version.</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src/00_capture_environment_and_run_manifest.py</w:t>
      </w:r>
    </w:p>
    <w:p>
      <w:pPr>
        <w:pStyle w:val="ListBullet"/>
        <w:spacing w:before="0" w:after="0" w:line="276" w:lineRule="auto"/>
      </w:pPr>
      <w:r>
        <w:t>Rol: Reproducibilidad y trazabilidad</w:t>
      </w:r>
    </w:p>
    <w:p>
      <w:pPr>
        <w:pStyle w:val="ListBullet"/>
        <w:spacing w:before="0" w:after="0" w:line="276" w:lineRule="auto"/>
      </w:pPr>
      <w:r>
        <w:t>Entradas: Scripts del repositorio y fichero(s) de entrada</w:t>
      </w:r>
    </w:p>
    <w:p>
      <w:pPr>
        <w:pStyle w:val="ListBullet"/>
        <w:spacing w:before="0" w:after="0" w:line="276" w:lineRule="auto"/>
      </w:pPr>
      <w:r>
        <w:t>Salidas: run_manifest.json, script_hashes.csv, input_file_hashes.csv, requirements_runtime_frozen.txt</w:t>
      </w:r>
    </w:p>
    <w:p/>
    <w:p>
      <w:pPr>
        <w:pStyle w:val="Heading1"/>
        <w:spacing w:before="120" w:after="80" w:line="276" w:lineRule="auto"/>
      </w:pPr>
      <w:r>
        <w:t>Discusión de resultados y consecuencias para el resto del proyecto</w:t>
      </w:r>
    </w:p>
    <w:p>
      <w:pPr>
        <w:spacing w:before="0" w:after="100" w:line="276" w:lineRule="auto"/>
      </w:pPr>
      <w:r>
        <w:t>Las salidas principales son run_manifest.json, input_file_hashes.csv, script_hashes.csv y requirements_runtime_frozen.txt. Juntas forman una capa de auditoría transversal al resto del proyecto.</w:t>
      </w:r>
    </w:p>
    <w:p>
      <w:pPr>
        <w:pStyle w:val="Heading1"/>
        <w:spacing w:before="120" w:after="80" w:line="276" w:lineRule="auto"/>
      </w:pPr>
      <w:r>
        <w:t>Lectura crítica del script</w:t>
      </w:r>
    </w:p>
    <w:p>
      <w:pPr>
        <w:spacing w:before="0" w:after="100" w:line="276" w:lineRule="auto"/>
      </w:pPr>
      <w:r>
        <w:t>Aunque este script no se apoya en una figura específica embebida en el documento, su papel es estructural dentro de la pipeline. Por eso la evaluación relevante aquí no es visual sino procedimental: si sus artefactos son correctos, las etapas siguientes se vuelven posibles; si son defectuosos, toda la cadena se contamina.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Sirve como capa transversal de reproducibilidad para cualquier corrida completa.</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