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02 — Pipeline de preparación de datos (versión biology-enhanced)</w:t>
      </w:r>
    </w:p>
    <w:p>
      <w:pPr>
        <w:spacing w:before="0" w:after="280" w:line="276" w:lineRule="auto"/>
        <w:jc w:val="center"/>
      </w:pPr>
      <w:r>
        <w:rPr>
          <w:i/>
          <w:color w:val="5A5A5A"/>
          <w:sz w:val="22"/>
        </w:rPr>
        <w:t>Preprocesado central, ingeniería de variables, firmas biológicas y construcción de splits por tarea</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src/02_pipeline_data_preparation.biology_enhanced.py</w:t>
            </w:r>
          </w:p>
        </w:tc>
      </w:tr>
      <w:tr>
        <w:tc>
          <w:tcPr>
            <w:tcW w:type="dxa" w:w="2736"/>
            <w:vAlign w:val="center"/>
          </w:tcPr>
          <w:p>
            <w:r>
              <w:t>Rol</w:t>
            </w:r>
          </w:p>
        </w:tc>
        <w:tc>
          <w:tcPr>
            <w:tcW w:type="dxa" w:w="7056"/>
            <w:vAlign w:val="center"/>
          </w:tcPr>
          <w:p>
            <w:r>
              <w:t>Pipeline central de preparación y construcción de datasets por tarea</w:t>
            </w:r>
          </w:p>
        </w:tc>
      </w:tr>
      <w:tr>
        <w:tc>
          <w:tcPr>
            <w:tcW w:type="dxa" w:w="2736"/>
            <w:vAlign w:val="center"/>
          </w:tcPr>
          <w:p>
            <w:r>
              <w:t>Entradas</w:t>
            </w:r>
          </w:p>
        </w:tc>
        <w:tc>
          <w:tcPr>
            <w:tcW w:type="dxa" w:w="7056"/>
            <w:vAlign w:val="center"/>
          </w:tcPr>
          <w:p>
            <w:r>
              <w:t>CSV principal</w:t>
            </w:r>
          </w:p>
        </w:tc>
      </w:tr>
      <w:tr>
        <w:tc>
          <w:tcPr>
            <w:tcW w:type="dxa" w:w="2736"/>
            <w:vAlign w:val="center"/>
          </w:tcPr>
          <w:p>
            <w:r>
              <w:t>Salidas</w:t>
            </w:r>
          </w:p>
        </w:tc>
        <w:tc>
          <w:tcPr>
            <w:tcW w:type="dxa" w:w="7056"/>
            <w:vAlign w:val="center"/>
          </w:tcPr>
          <w:p>
            <w:r>
              <w:t>splits por modelo, NMF, metadatos, firmas biológicas</w:t>
            </w:r>
          </w:p>
        </w:tc>
      </w:tr>
    </w:tbl>
    <w:p/>
    <w:p>
      <w:pPr>
        <w:pStyle w:val="Heading1"/>
        <w:spacing w:before="120" w:after="80" w:line="276" w:lineRule="auto"/>
      </w:pPr>
      <w:r>
        <w:t>Objetivo y contribución dentro de la pipeline</w:t>
      </w:r>
    </w:p>
    <w:p>
      <w:pPr>
        <w:spacing w:before="0" w:after="100" w:line="276" w:lineRule="auto"/>
      </w:pPr>
      <w:r>
        <w:t>Este es el núcleo operativo del proyecto. Aquí se define la disciplina que condiciona toda la validez posterior: un único split compartido, imputación entrenada solo en train, NMF entrenado solo en train, exclusiones explícitas de leakage y datasets finales por tarea.</w:t>
      </w:r>
    </w:p>
    <w:p>
      <w:pPr>
        <w:spacing w:before="0" w:after="100" w:line="276" w:lineRule="auto"/>
      </w:pPr>
      <w:r>
        <w:t>La versión biology-enhanced amplía la capa molecular añadiendo diez firmas de vía y de microambiente derivadas de expresión antes del NMF. Esta modificación no convierte el proyecto en una integración multi-ómica completa, pero sí fortalece el contenido biológico que alimenta a los modelos.</w:t>
      </w:r>
    </w:p>
    <w:p>
      <w:pPr>
        <w:pStyle w:val="Heading1"/>
        <w:spacing w:before="120" w:after="80" w:line="276" w:lineRule="auto"/>
      </w:pPr>
      <w:r>
        <w:t>Rationale metodológico</w:t>
      </w:r>
    </w:p>
    <w:p>
      <w:pPr>
        <w:spacing w:before="0" w:after="100" w:line="276" w:lineRule="auto"/>
      </w:pPr>
      <w:r>
        <w:t>La elección de un split compartido tiene una ventaja clara: permite comparar tareas y artefactos bajo una misma partición de pacientes. A cambio, sacrifica algo de optimización específica por task. Esa renuncia es deliberada y coherente con un repositorio que prioriza comparabilidad y auditabilidad.</w:t>
      </w:r>
    </w:p>
    <w:p>
      <w:pPr>
        <w:spacing w:before="0" w:after="100" w:line="276" w:lineRule="auto"/>
      </w:pPr>
      <w:r>
        <w:t>La imputación se ajusta siempre en train porque cualquier estadística aprendida sobre el conjunto completo contaminaría la evaluación. La misma lógica aplica al NMF: los programas génicos deben aprenderse sin ver el test para que su utilidad en los modelos posteriores sea legítima.</w:t>
      </w:r>
    </w:p>
    <w:p>
      <w:pPr>
        <w:spacing w:before="0" w:after="100" w:line="276" w:lineRule="auto"/>
      </w:pPr>
      <w:r>
        <w:t>La exclusión global de NPI y la exclusión parcial de ciertas variables one-hot son decisiones de higiene metodológica, no detalles cosméticos. Reducen redundancia estructural y evitan filtrar al modelo información que sería demasiado cercana al target.</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parse_args</w:t>
            </w:r>
          </w:p>
        </w:tc>
        <w:tc>
          <w:tcPr>
            <w:tcW w:type="dxa" w:w="6768"/>
            <w:vAlign w:val="center"/>
          </w:tcPr>
          <w:p>
            <w:r>
              <w:t>Parsea argumentos de línea de comandos y rutas de entrada/salida.</w:t>
            </w:r>
          </w:p>
        </w:tc>
      </w:tr>
      <w:tr>
        <w:tc>
          <w:tcPr>
            <w:tcW w:type="dxa" w:w="3024"/>
            <w:vAlign w:val="center"/>
          </w:tcPr>
          <w:p>
            <w:r>
              <w:t>log1p_safe</w:t>
            </w:r>
          </w:p>
        </w:tc>
        <w:tc>
          <w:tcPr>
            <w:tcW w:type="dxa" w:w="6768"/>
            <w:vAlign w:val="center"/>
          </w:tcPr>
          <w:p>
            <w:r>
              <w:t>Función auxiliar para log1p safe.</w:t>
            </w:r>
          </w:p>
        </w:tc>
      </w:tr>
      <w:tr>
        <w:tc>
          <w:tcPr>
            <w:tcW w:type="dxa" w:w="3024"/>
            <w:vAlign w:val="center"/>
          </w:tcPr>
          <w:p>
            <w:r>
              <w:t>group_rare</w:t>
            </w:r>
          </w:p>
        </w:tc>
        <w:tc>
          <w:tcPr>
            <w:tcW w:type="dxa" w:w="6768"/>
            <w:vAlign w:val="center"/>
          </w:tcPr>
          <w:p>
            <w:r>
              <w:t>Función auxiliar para group rare.</w:t>
            </w:r>
          </w:p>
        </w:tc>
      </w:tr>
      <w:tr>
        <w:tc>
          <w:tcPr>
            <w:tcW w:type="dxa" w:w="3024"/>
            <w:vAlign w:val="center"/>
          </w:tcPr>
          <w:p>
            <w:r>
              <w:t>ohe_col</w:t>
            </w:r>
          </w:p>
        </w:tc>
        <w:tc>
          <w:tcPr>
            <w:tcW w:type="dxa" w:w="6768"/>
            <w:vAlign w:val="center"/>
          </w:tcPr>
          <w:p>
            <w:r>
              <w:t>Función auxiliar para ohe col.</w:t>
            </w:r>
          </w:p>
        </w:tc>
      </w:tr>
      <w:tr>
        <w:tc>
          <w:tcPr>
            <w:tcW w:type="dxa" w:w="3024"/>
            <w:vAlign w:val="center"/>
          </w:tcPr>
          <w:p>
            <w:r>
              <w:t>compute_expression_signature_scores</w:t>
            </w:r>
          </w:p>
        </w:tc>
        <w:tc>
          <w:tcPr>
            <w:tcW w:type="dxa" w:w="6768"/>
            <w:vAlign w:val="center"/>
          </w:tcPr>
          <w:p>
            <w:r>
              <w:t>Calcula firmas biológicas derivadas de expresión.</w:t>
            </w:r>
          </w:p>
        </w:tc>
      </w:tr>
      <w:tr>
        <w:tc>
          <w:tcPr>
            <w:tcW w:type="dxa" w:w="3024"/>
            <w:vAlign w:val="center"/>
          </w:tcPr>
          <w:p>
            <w:r>
              <w:t>get_feature_cols</w:t>
            </w:r>
          </w:p>
        </w:tc>
        <w:tc>
          <w:tcPr>
            <w:tcW w:type="dxa" w:w="6768"/>
            <w:vAlign w:val="center"/>
          </w:tcPr>
          <w:p>
            <w:r>
              <w:t>Define el subconjunto final de features permitido para una tarea.</w:t>
            </w:r>
          </w:p>
        </w:tc>
      </w:tr>
      <w:tr>
        <w:tc>
          <w:tcPr>
            <w:tcW w:type="dxa" w:w="3024"/>
            <w:vAlign w:val="center"/>
          </w:tcPr>
          <w:p>
            <w:r>
              <w:t>scale_and_save</w:t>
            </w:r>
          </w:p>
        </w:tc>
        <w:tc>
          <w:tcPr>
            <w:tcW w:type="dxa" w:w="6768"/>
            <w:vAlign w:val="center"/>
          </w:tcPr>
          <w:p>
            <w:r>
              <w:t>Ajusta el escalado sobre train, lo aplica a test y guarda el scaler.</w:t>
            </w:r>
          </w:p>
        </w:tc>
      </w:tr>
      <w:tr>
        <w:tc>
          <w:tcPr>
            <w:tcW w:type="dxa" w:w="3024"/>
            <w:vAlign w:val="center"/>
          </w:tcPr>
          <w:p>
            <w:r>
              <w:t>save_split</w:t>
            </w:r>
          </w:p>
        </w:tc>
        <w:tc>
          <w:tcPr>
            <w:tcW w:type="dxa" w:w="6768"/>
            <w:vAlign w:val="center"/>
          </w:tcPr>
          <w:p>
            <w:r>
              <w:t>Serializa X_train/X_test/y_train/y_test para una tarea concreta.</w:t>
            </w:r>
          </w:p>
        </w:tc>
      </w:tr>
      <w:tr>
        <w:tc>
          <w:tcPr>
            <w:tcW w:type="dxa" w:w="3024"/>
            <w:vAlign w:val="center"/>
          </w:tcPr>
          <w:p>
            <w:r>
              <w:t>print_split_summary</w:t>
            </w:r>
          </w:p>
        </w:tc>
        <w:tc>
          <w:tcPr>
            <w:tcW w:type="dxa" w:w="6768"/>
            <w:vAlign w:val="center"/>
          </w:tcPr>
          <w:p>
            <w:r>
              <w:t>Resume tamaño y prevalencia/clases de cada split.</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src/02_pipeline_data_preparation.biology_enhanced.py</w:t>
      </w:r>
    </w:p>
    <w:p>
      <w:pPr>
        <w:pStyle w:val="ListBullet"/>
        <w:spacing w:before="0" w:after="0" w:line="276" w:lineRule="auto"/>
      </w:pPr>
      <w:r>
        <w:t>Rol: Pipeline central de preparación y construcción de datasets por tarea</w:t>
      </w:r>
    </w:p>
    <w:p>
      <w:pPr>
        <w:pStyle w:val="ListBullet"/>
        <w:spacing w:before="0" w:after="0" w:line="276" w:lineRule="auto"/>
      </w:pPr>
      <w:r>
        <w:t>Entradas: CSV principal</w:t>
      </w:r>
    </w:p>
    <w:p>
      <w:pPr>
        <w:pStyle w:val="ListBullet"/>
        <w:spacing w:before="0" w:after="0" w:line="276" w:lineRule="auto"/>
      </w:pPr>
      <w:r>
        <w:t>Salidas: splits por modelo, NMF, metadatos, firmas biológicas</w:t>
      </w:r>
    </w:p>
    <w:p/>
    <w:p>
      <w:pPr>
        <w:pStyle w:val="Heading1"/>
        <w:spacing w:before="120" w:after="80" w:line="276" w:lineRule="auto"/>
      </w:pPr>
      <w:r>
        <w:t>Discusión de resultados y consecuencias para el resto del proyecto</w:t>
      </w:r>
    </w:p>
    <w:p>
      <w:pPr>
        <w:spacing w:before="0" w:after="100" w:line="276" w:lineRule="auto"/>
      </w:pPr>
      <w:r>
        <w:t>En la ejecución actual del pipeline mejorado, el archivo de entrada contiene 1.904 pacientes, 33 variables clínicas y 489 genes. Tras la ingeniería de variables, el espacio maestro llega a 79 columnas antes de añadir firmas biológicas y programas NMF, y los modelos finales usan entre 78 y 94 variables según la tarea.</w:t>
      </w:r>
    </w:p>
    <w:p>
      <w:pPr>
        <w:spacing w:before="0" w:after="100" w:line="276" w:lineRule="auto"/>
      </w:pPr>
      <w:r>
        <w:t>El parche biológico añade 10 firmas derivadas de expresión antes del NMF. Esta modificación es importante porque fortalece la capa molecular sin exigir nuevos datos ni alterar la disciplina train-only del pipeline.</w:t>
      </w:r>
    </w:p>
    <w:p>
      <w:pPr>
        <w:spacing w:before="0" w:after="100" w:line="276" w:lineRule="auto"/>
      </w:pPr>
      <w:r>
        <w:t>Tras el preprocesado, M1a, M1b, M2a y M2b operan con 91 variables; M3 usa 78 tras excluir clases PAM50 raras y variables con leakage; M4 utiliza 94. El resultado es un espacio de modelado homogéneo pero no idéntico, ajustado a cada tarea.</w:t>
      </w:r>
    </w:p>
    <w:p>
      <w:pPr>
        <w:spacing w:before="0" w:after="100" w:line="276" w:lineRule="auto"/>
      </w:pPr>
      <w:r>
        <w:t>Resumen de datasets finales preparados por el script 02.</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vAlign w:val="center"/>
            <w:shd w:fill="D9EAF7"/>
          </w:tcPr>
          <w:p>
            <w:pPr>
              <w:jc w:val="center"/>
            </w:pPr>
            <w:r>
              <w:rPr>
                <w:b/>
              </w:rPr>
              <w:t>Tarea</w:t>
            </w:r>
          </w:p>
        </w:tc>
        <w:tc>
          <w:tcPr>
            <w:tcW w:type="dxa" w:w="1296"/>
            <w:vAlign w:val="center"/>
            <w:shd w:fill="D9EAF7"/>
          </w:tcPr>
          <w:p>
            <w:pPr>
              <w:jc w:val="center"/>
            </w:pPr>
            <w:r>
              <w:rPr>
                <w:b/>
              </w:rPr>
              <w:t>Train</w:t>
            </w:r>
          </w:p>
        </w:tc>
        <w:tc>
          <w:tcPr>
            <w:tcW w:type="dxa" w:w="1296"/>
            <w:vAlign w:val="center"/>
            <w:shd w:fill="D9EAF7"/>
          </w:tcPr>
          <w:p>
            <w:pPr>
              <w:jc w:val="center"/>
            </w:pPr>
            <w:r>
              <w:rPr>
                <w:b/>
              </w:rPr>
              <w:t>Test</w:t>
            </w:r>
          </w:p>
        </w:tc>
        <w:tc>
          <w:tcPr>
            <w:tcW w:type="dxa" w:w="1440"/>
            <w:vAlign w:val="center"/>
            <w:shd w:fill="D9EAF7"/>
          </w:tcPr>
          <w:p>
            <w:pPr>
              <w:jc w:val="center"/>
            </w:pPr>
            <w:r>
              <w:rPr>
                <w:b/>
              </w:rPr>
              <w:t>Nº features</w:t>
            </w:r>
          </w:p>
        </w:tc>
      </w:tr>
      <w:tr>
        <w:tc>
          <w:tcPr>
            <w:tcW w:type="dxa" w:w="1440"/>
            <w:vAlign w:val="center"/>
          </w:tcPr>
          <w:p>
            <w:r>
              <w:t>M1a</w:t>
            </w:r>
          </w:p>
        </w:tc>
        <w:tc>
          <w:tcPr>
            <w:tcW w:type="dxa" w:w="1296"/>
            <w:vAlign w:val="center"/>
          </w:tcPr>
          <w:p>
            <w:r>
              <w:t>1523</w:t>
            </w:r>
          </w:p>
        </w:tc>
        <w:tc>
          <w:tcPr>
            <w:tcW w:type="dxa" w:w="1296"/>
            <w:vAlign w:val="center"/>
          </w:tcPr>
          <w:p>
            <w:r>
              <w:t>381</w:t>
            </w:r>
          </w:p>
        </w:tc>
        <w:tc>
          <w:tcPr>
            <w:tcW w:type="dxa" w:w="1440"/>
            <w:vAlign w:val="center"/>
          </w:tcPr>
          <w:p>
            <w:r>
              <w:t>91</w:t>
            </w:r>
          </w:p>
        </w:tc>
      </w:tr>
      <w:tr>
        <w:tc>
          <w:tcPr>
            <w:tcW w:type="dxa" w:w="1440"/>
            <w:vAlign w:val="center"/>
          </w:tcPr>
          <w:p>
            <w:r>
              <w:t>M1b</w:t>
            </w:r>
          </w:p>
        </w:tc>
        <w:tc>
          <w:tcPr>
            <w:tcW w:type="dxa" w:w="1296"/>
            <w:vAlign w:val="center"/>
          </w:tcPr>
          <w:p>
            <w:r>
              <w:t>1523</w:t>
            </w:r>
          </w:p>
        </w:tc>
        <w:tc>
          <w:tcPr>
            <w:tcW w:type="dxa" w:w="1296"/>
            <w:vAlign w:val="center"/>
          </w:tcPr>
          <w:p>
            <w:r>
              <w:t>381</w:t>
            </w:r>
          </w:p>
        </w:tc>
        <w:tc>
          <w:tcPr>
            <w:tcW w:type="dxa" w:w="1440"/>
            <w:vAlign w:val="center"/>
          </w:tcPr>
          <w:p>
            <w:r>
              <w:t>91</w:t>
            </w:r>
          </w:p>
        </w:tc>
      </w:tr>
      <w:tr>
        <w:tc>
          <w:tcPr>
            <w:tcW w:type="dxa" w:w="1440"/>
            <w:vAlign w:val="center"/>
          </w:tcPr>
          <w:p>
            <w:r>
              <w:t>M2a</w:t>
            </w:r>
          </w:p>
        </w:tc>
        <w:tc>
          <w:tcPr>
            <w:tcW w:type="dxa" w:w="1296"/>
            <w:vAlign w:val="center"/>
          </w:tcPr>
          <w:p>
            <w:r>
              <w:t>1523</w:t>
            </w:r>
          </w:p>
        </w:tc>
        <w:tc>
          <w:tcPr>
            <w:tcW w:type="dxa" w:w="1296"/>
            <w:vAlign w:val="center"/>
          </w:tcPr>
          <w:p>
            <w:r>
              <w:t>381</w:t>
            </w:r>
          </w:p>
        </w:tc>
        <w:tc>
          <w:tcPr>
            <w:tcW w:type="dxa" w:w="1440"/>
            <w:vAlign w:val="center"/>
          </w:tcPr>
          <w:p>
            <w:r>
              <w:t>91</w:t>
            </w:r>
          </w:p>
        </w:tc>
      </w:tr>
      <w:tr>
        <w:tc>
          <w:tcPr>
            <w:tcW w:type="dxa" w:w="1440"/>
            <w:vAlign w:val="center"/>
          </w:tcPr>
          <w:p>
            <w:r>
              <w:t>M2b</w:t>
            </w:r>
          </w:p>
        </w:tc>
        <w:tc>
          <w:tcPr>
            <w:tcW w:type="dxa" w:w="1296"/>
            <w:vAlign w:val="center"/>
          </w:tcPr>
          <w:p>
            <w:r>
              <w:t>1523</w:t>
            </w:r>
          </w:p>
        </w:tc>
        <w:tc>
          <w:tcPr>
            <w:tcW w:type="dxa" w:w="1296"/>
            <w:vAlign w:val="center"/>
          </w:tcPr>
          <w:p>
            <w:r>
              <w:t>381</w:t>
            </w:r>
          </w:p>
        </w:tc>
        <w:tc>
          <w:tcPr>
            <w:tcW w:type="dxa" w:w="1440"/>
            <w:vAlign w:val="center"/>
          </w:tcPr>
          <w:p>
            <w:r>
              <w:t>91</w:t>
            </w:r>
          </w:p>
        </w:tc>
      </w:tr>
      <w:tr>
        <w:tc>
          <w:tcPr>
            <w:tcW w:type="dxa" w:w="1440"/>
            <w:vAlign w:val="center"/>
          </w:tcPr>
          <w:p>
            <w:r>
              <w:t>M3</w:t>
            </w:r>
          </w:p>
        </w:tc>
        <w:tc>
          <w:tcPr>
            <w:tcW w:type="dxa" w:w="1296"/>
            <w:vAlign w:val="center"/>
          </w:tcPr>
          <w:p>
            <w:r>
              <w:t>1519</w:t>
            </w:r>
          </w:p>
        </w:tc>
        <w:tc>
          <w:tcPr>
            <w:tcW w:type="dxa" w:w="1296"/>
            <w:vAlign w:val="center"/>
          </w:tcPr>
          <w:p>
            <w:r>
              <w:t>379</w:t>
            </w:r>
          </w:p>
        </w:tc>
        <w:tc>
          <w:tcPr>
            <w:tcW w:type="dxa" w:w="1440"/>
            <w:vAlign w:val="center"/>
          </w:tcPr>
          <w:p>
            <w:r>
              <w:t>78</w:t>
            </w:r>
          </w:p>
        </w:tc>
      </w:tr>
      <w:tr>
        <w:tc>
          <w:tcPr>
            <w:tcW w:type="dxa" w:w="1440"/>
            <w:vAlign w:val="center"/>
          </w:tcPr>
          <w:p>
            <w:r>
              <w:t>M4</w:t>
            </w:r>
          </w:p>
        </w:tc>
        <w:tc>
          <w:tcPr>
            <w:tcW w:type="dxa" w:w="1296"/>
            <w:vAlign w:val="center"/>
          </w:tcPr>
          <w:p>
            <w:r>
              <w:t>1523</w:t>
            </w:r>
          </w:p>
        </w:tc>
        <w:tc>
          <w:tcPr>
            <w:tcW w:type="dxa" w:w="1296"/>
            <w:vAlign w:val="center"/>
          </w:tcPr>
          <w:p>
            <w:r>
              <w:t>381</w:t>
            </w:r>
          </w:p>
        </w:tc>
        <w:tc>
          <w:tcPr>
            <w:tcW w:type="dxa" w:w="1440"/>
            <w:vAlign w:val="center"/>
          </w:tcPr>
          <w:p>
            <w:r>
              <w:t>94</w:t>
            </w:r>
          </w:p>
        </w:tc>
      </w:tr>
    </w:tbl>
    <w:p/>
    <w:p>
      <w:pPr>
        <w:pStyle w:val="Heading1"/>
        <w:spacing w:before="120" w:after="80" w:line="276" w:lineRule="auto"/>
      </w:pPr>
      <w:r>
        <w:t>Lectura crítica del script</w:t>
      </w:r>
    </w:p>
    <w:p>
      <w:pPr>
        <w:spacing w:before="0" w:after="100" w:line="276" w:lineRule="auto"/>
      </w:pPr>
      <w:r>
        <w:t>Aunque este script no se apoya en una figura específica embebida en el documento, su papel es estructural dentro de la pipeline. Por eso la evaluación relevante aquí no es visual sino procedimental: si sus artefactos son correctos, las etapas siguientes se vuelven posibles; si son defectuosos, toda la cadena se contamina.</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Entrega los splits y metadatos que alimentan selección de variables, baselines, comparación de algoritmos y validación molecular.</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