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b/>
          <w:color w:val="1F4E79"/>
          <w:sz w:val="44"/>
        </w:rPr>
        <w:t>02b — Figuras de soporte del pipeline</w:t>
      </w:r>
    </w:p>
    <w:p>
      <w:pPr>
        <w:spacing w:before="0" w:after="280" w:line="276" w:lineRule="auto"/>
        <w:jc w:val="center"/>
      </w:pPr>
      <w:r>
        <w:rPr>
          <w:i/>
          <w:color w:val="5A5A5A"/>
          <w:sz w:val="22"/>
        </w:rPr>
        <w:t>Visualizaciones auxiliares del flujo de trabajo y de la composición del espacio de features</w:t>
      </w:r>
    </w:p>
    <w:tbl>
      <w:tblPr>
        <w:tblW w:type="auto" w:w="0"/>
        <w:jc w:val="center"/>
        <w:tblLayout w:type="fixed"/>
        <w:tblLook w:firstColumn="1" w:firstRow="1" w:lastColumn="0" w:lastRow="0" w:noHBand="0" w:noVBand="1" w:val="04A0"/>
      </w:tblPr>
      <w:tblGrid>
        <w:gridCol w:w="2736"/>
        <w:gridCol w:w="7056"/>
      </w:tblGrid>
      <w:tr>
        <w:tc>
          <w:tcPr>
            <w:tcW w:type="dxa" w:w="4824"/>
            <w:shd w:fill="D9EAF7"/>
            <w:vAlign w:val="center"/>
          </w:tcPr>
          <w:p>
            <w:pPr>
              <w:jc w:val="center"/>
            </w:pPr>
            <w:r>
              <w:rPr>
                <w:b/>
              </w:rPr>
              <w:t>Campo</w:t>
            </w:r>
          </w:p>
        </w:tc>
        <w:tc>
          <w:tcPr>
            <w:tcW w:type="dxa" w:w="4824"/>
            <w:shd w:fill="D9EAF7"/>
            <w:vAlign w:val="center"/>
          </w:tcPr>
          <w:p>
            <w:pPr>
              <w:jc w:val="center"/>
            </w:pPr>
            <w:r>
              <w:rPr>
                <w:b/>
              </w:rPr>
              <w:t>Descripción</w:t>
            </w:r>
          </w:p>
        </w:tc>
      </w:tr>
      <w:tr>
        <w:tc>
          <w:tcPr>
            <w:tcW w:type="dxa" w:w="2736"/>
            <w:vAlign w:val="center"/>
          </w:tcPr>
          <w:p>
            <w:r>
              <w:t>Archivo</w:t>
            </w:r>
          </w:p>
        </w:tc>
        <w:tc>
          <w:tcPr>
            <w:tcW w:type="dxa" w:w="7056"/>
            <w:vAlign w:val="center"/>
          </w:tcPr>
          <w:p>
            <w:r>
              <w:t>src/02_pipeline_data_preparation.biology_enhanced.py</w:t>
            </w:r>
          </w:p>
        </w:tc>
      </w:tr>
      <w:tr>
        <w:tc>
          <w:tcPr>
            <w:tcW w:type="dxa" w:w="2736"/>
            <w:vAlign w:val="center"/>
          </w:tcPr>
          <w:p>
            <w:r>
              <w:t>Rol</w:t>
            </w:r>
          </w:p>
        </w:tc>
        <w:tc>
          <w:tcPr>
            <w:tcW w:type="dxa" w:w="7056"/>
            <w:vAlign w:val="center"/>
          </w:tcPr>
          <w:p>
            <w:r>
              <w:t>Pipeline central de preparación y construcción de datasets por tarea</w:t>
            </w:r>
          </w:p>
        </w:tc>
      </w:tr>
      <w:tr>
        <w:tc>
          <w:tcPr>
            <w:tcW w:type="dxa" w:w="2736"/>
            <w:vAlign w:val="center"/>
          </w:tcPr>
          <w:p>
            <w:r>
              <w:t>Entradas</w:t>
            </w:r>
          </w:p>
        </w:tc>
        <w:tc>
          <w:tcPr>
            <w:tcW w:type="dxa" w:w="7056"/>
            <w:vAlign w:val="center"/>
          </w:tcPr>
          <w:p>
            <w:r>
              <w:t>CSV principal</w:t>
            </w:r>
          </w:p>
        </w:tc>
      </w:tr>
      <w:tr>
        <w:tc>
          <w:tcPr>
            <w:tcW w:type="dxa" w:w="2736"/>
            <w:vAlign w:val="center"/>
          </w:tcPr>
          <w:p>
            <w:r>
              <w:t>Salidas</w:t>
            </w:r>
          </w:p>
        </w:tc>
        <w:tc>
          <w:tcPr>
            <w:tcW w:type="dxa" w:w="7056"/>
            <w:vAlign w:val="center"/>
          </w:tcPr>
          <w:p>
            <w:r>
              <w:t>splits por modelo, NMF, metadatos, firmas biológicas</w:t>
            </w:r>
          </w:p>
        </w:tc>
      </w:tr>
    </w:tbl>
    <w:p/>
    <w:p>
      <w:pPr>
        <w:pStyle w:val="Heading1"/>
        <w:spacing w:before="120" w:after="80" w:line="276" w:lineRule="auto"/>
      </w:pPr>
      <w:r>
        <w:t>Objetivo y contribución dentro de la pipeline</w:t>
      </w:r>
    </w:p>
    <w:p>
      <w:pPr>
        <w:spacing w:before="0" w:after="100" w:line="276" w:lineRule="auto"/>
      </w:pPr>
      <w:r>
        <w:t>Este script cumple una función de comunicación técnica. No modifica datos ni resultados, pero hace visible la arquitectura del pipeline y resume de forma visual cómo cambian las variables desde el estado bruto hasta el estado apto para modelado.</w:t>
      </w:r>
    </w:p>
    <w:p>
      <w:pPr>
        <w:spacing w:before="0" w:after="100" w:line="276" w:lineRule="auto"/>
      </w:pPr>
      <w:r>
        <w:t>En un proyecto con múltiples etapas y decisiones de preprocesado, disponer de un flowchart y de figuras de composición de features facilita mucho la comprensión del repositorio sin tener que leer primero cientos de líneas de código.</w:t>
      </w:r>
    </w:p>
    <w:p>
      <w:pPr>
        <w:pStyle w:val="Heading1"/>
        <w:spacing w:before="120" w:after="80" w:line="276" w:lineRule="auto"/>
      </w:pPr>
      <w:r>
        <w:t>Rationale metodológico</w:t>
      </w:r>
    </w:p>
    <w:p>
      <w:pPr>
        <w:spacing w:before="0" w:after="100" w:line="276" w:lineRule="auto"/>
      </w:pPr>
      <w:r>
        <w:t>La lógica de este notebook es pedagógica: condensar la arquitectura del sistema en unos pocos gráficos de apoyo. Eso reduce fricción para el lector y hace más transparente por qué el espacio de entrada final mezcla clínica, codificación estructurada, firmas y programas génicos.</w:t>
      </w:r>
    </w:p>
    <w:p>
      <w:pPr>
        <w:pStyle w:val="Heading1"/>
        <w:spacing w:before="120" w:after="80" w:line="276" w:lineRule="auto"/>
      </w:pPr>
      <w:r>
        <w:t>Estructura del código y funciones clave</w:t>
      </w:r>
    </w:p>
    <w:tbl>
      <w:tblPr>
        <w:tblW w:type="auto" w:w="0"/>
        <w:jc w:val="center"/>
        <w:tblLayout w:type="fixed"/>
        <w:tblLook w:firstColumn="1" w:firstRow="1" w:lastColumn="0" w:lastRow="0" w:noHBand="0" w:noVBand="1" w:val="04A0"/>
      </w:tblPr>
      <w:tblGrid>
        <w:gridCol w:w="3024"/>
        <w:gridCol w:w="6768"/>
      </w:tblGrid>
      <w:tr>
        <w:tc>
          <w:tcPr>
            <w:tcW w:type="dxa" w:w="4824"/>
            <w:shd w:fill="EAF2F8"/>
          </w:tcPr>
          <w:p>
            <w:r>
              <w:rPr>
                <w:b/>
              </w:rPr>
              <w:t>Bloque / función</w:t>
            </w:r>
          </w:p>
        </w:tc>
        <w:tc>
          <w:tcPr>
            <w:tcW w:type="dxa" w:w="4824"/>
            <w:shd w:fill="EAF2F8"/>
          </w:tcPr>
          <w:p>
            <w:r>
              <w:rPr>
                <w:b/>
              </w:rPr>
              <w:t>Papel en el script</w:t>
            </w:r>
          </w:p>
        </w:tc>
      </w:tr>
      <w:tr>
        <w:tc>
          <w:tcPr>
            <w:tcW w:type="dxa" w:w="3024"/>
            <w:vAlign w:val="center"/>
          </w:tcPr>
          <w:p>
            <w:r>
              <w:t>save</w:t>
            </w:r>
          </w:p>
        </w:tc>
        <w:tc>
          <w:tcPr>
            <w:tcW w:type="dxa" w:w="6768"/>
            <w:vAlign w:val="center"/>
          </w:tcPr>
          <w:p>
            <w:r>
              <w:t>Guarda la figura o artefacto generado con formato consistente.</w:t>
            </w:r>
          </w:p>
        </w:tc>
      </w:tr>
      <w:tr>
        <w:tc>
          <w:tcPr>
            <w:tcW w:type="dxa" w:w="3024"/>
            <w:vAlign w:val="center"/>
          </w:tcPr>
          <w:p>
            <w:r>
              <w:t>fig_pipeline_flowchart</w:t>
            </w:r>
          </w:p>
        </w:tc>
        <w:tc>
          <w:tcPr>
            <w:tcW w:type="dxa" w:w="6768"/>
            <w:vAlign w:val="center"/>
          </w:tcPr>
          <w:p>
            <w:r>
              <w:t>Genera la figura 'pipeline flowchart' y calcula internamente los estadísticos que la acompañan.</w:t>
            </w:r>
          </w:p>
        </w:tc>
      </w:tr>
      <w:tr>
        <w:tc>
          <w:tcPr>
            <w:tcW w:type="dxa" w:w="3024"/>
            <w:vAlign w:val="center"/>
          </w:tcPr>
          <w:p>
            <w:r>
              <w:t>fig_before_after_cleaning</w:t>
            </w:r>
          </w:p>
        </w:tc>
        <w:tc>
          <w:tcPr>
            <w:tcW w:type="dxa" w:w="6768"/>
            <w:vAlign w:val="center"/>
          </w:tcPr>
          <w:p>
            <w:r>
              <w:t>Genera la figura 'before after cleaning' y calcula internamente los estadísticos que la acompañan.</w:t>
            </w:r>
          </w:p>
        </w:tc>
      </w:tr>
      <w:tr>
        <w:tc>
          <w:tcPr>
            <w:tcW w:type="dxa" w:w="3024"/>
            <w:vAlign w:val="center"/>
          </w:tcPr>
          <w:p>
            <w:r>
              <w:t>classify_feature</w:t>
            </w:r>
          </w:p>
        </w:tc>
        <w:tc>
          <w:tcPr>
            <w:tcW w:type="dxa" w:w="6768"/>
            <w:vAlign w:val="center"/>
          </w:tcPr>
          <w:p>
            <w:r>
              <w:t>Función auxiliar para classify feature.</w:t>
            </w:r>
          </w:p>
        </w:tc>
      </w:tr>
      <w:tr>
        <w:tc>
          <w:tcPr>
            <w:tcW w:type="dxa" w:w="3024"/>
            <w:vAlign w:val="center"/>
          </w:tcPr>
          <w:p>
            <w:r>
              <w:t>fig_feature_family_composition</w:t>
            </w:r>
          </w:p>
        </w:tc>
        <w:tc>
          <w:tcPr>
            <w:tcW w:type="dxa" w:w="6768"/>
            <w:vAlign w:val="center"/>
          </w:tcPr>
          <w:p>
            <w:r>
              <w:t>Genera la figura 'feature family composition' y calcula internamente los estadísticos que la acompañan.</w:t>
            </w:r>
          </w:p>
        </w:tc>
      </w:tr>
      <w:tr>
        <w:tc>
          <w:tcPr>
            <w:tcW w:type="dxa" w:w="3024"/>
            <w:vAlign w:val="center"/>
          </w:tcPr>
          <w:p>
            <w:r>
              <w:t>main</w:t>
            </w:r>
          </w:p>
        </w:tc>
        <w:tc>
          <w:tcPr>
            <w:tcW w:type="dxa" w:w="6768"/>
            <w:vAlign w:val="center"/>
          </w:tcPr>
          <w:p>
            <w:r>
              <w:t>Orquesta la ejecución completa del script.</w:t>
            </w:r>
          </w:p>
        </w:tc>
      </w:tr>
    </w:tbl>
    <w:p/>
    <w:p>
      <w:pPr>
        <w:pStyle w:val="Heading1"/>
        <w:spacing w:before="120" w:after="80" w:line="276" w:lineRule="auto"/>
      </w:pPr>
      <w:r>
        <w:t>Entradas, salidas y artefactos</w:t>
      </w:r>
    </w:p>
    <w:p>
      <w:pPr>
        <w:spacing w:before="0" w:after="100" w:line="276" w:lineRule="auto"/>
      </w:pPr>
      <w:r>
        <w:t>Este script se apoya en un contrato de entradas y salidas explícito. Esa disciplina es importante porque la pipeline tiene varias etapas encadenadas y un error pequeño en una ruta o en un artefacto puede propagarse a notebooks posteriores.</w:t>
      </w:r>
    </w:p>
    <w:p>
      <w:pPr>
        <w:pStyle w:val="ListBullet"/>
        <w:spacing w:before="0" w:after="0" w:line="276" w:lineRule="auto"/>
      </w:pPr>
      <w:r>
        <w:t>Archivo: src/02_pipeline_data_preparation.biology_enhanced.py</w:t>
      </w:r>
    </w:p>
    <w:p>
      <w:pPr>
        <w:pStyle w:val="ListBullet"/>
        <w:spacing w:before="0" w:after="0" w:line="276" w:lineRule="auto"/>
      </w:pPr>
      <w:r>
        <w:t>Rol: Pipeline central de preparación y construcción de datasets por tarea</w:t>
      </w:r>
    </w:p>
    <w:p>
      <w:pPr>
        <w:pStyle w:val="ListBullet"/>
        <w:spacing w:before="0" w:after="0" w:line="276" w:lineRule="auto"/>
      </w:pPr>
      <w:r>
        <w:t>Entradas: CSV principal</w:t>
      </w:r>
    </w:p>
    <w:p>
      <w:pPr>
        <w:pStyle w:val="ListBullet"/>
        <w:spacing w:before="0" w:after="0" w:line="276" w:lineRule="auto"/>
      </w:pPr>
      <w:r>
        <w:t>Salidas: splits por modelo, NMF, metadatos, firmas biológicas</w:t>
      </w:r>
    </w:p>
    <w:p/>
    <w:p>
      <w:pPr>
        <w:pStyle w:val="Heading1"/>
        <w:spacing w:before="120" w:after="80" w:line="276" w:lineRule="auto"/>
      </w:pPr>
      <w:r>
        <w:t>Discusión de resultados y consecuencias para el resto del proyecto</w:t>
      </w:r>
    </w:p>
    <w:p>
      <w:pPr>
        <w:spacing w:before="0" w:after="100" w:line="276" w:lineRule="auto"/>
      </w:pPr>
      <w:r>
        <w:t>Las salidas esperadas son tres figuras: flujo del pipeline, resumen antes/después de limpieza y composición de familias de features. Aunque son auxiliares, ayudan a fijar la narrativa del repositorio.</w:t>
      </w:r>
    </w:p>
    <w:p>
      <w:pPr>
        <w:pStyle w:val="Heading1"/>
        <w:spacing w:before="120" w:after="80" w:line="276" w:lineRule="auto"/>
      </w:pPr>
      <w:r>
        <w:t>Lectura crítica del script</w:t>
      </w:r>
    </w:p>
    <w:p>
      <w:pPr>
        <w:spacing w:before="0" w:after="100" w:line="276" w:lineRule="auto"/>
      </w:pPr>
      <w:r>
        <w:t>Aunque este script no se apoya en una figura específica embebida en el documento, su papel es estructural dentro de la pipeline. Por eso la evaluación relevante aquí no es visual sino procedimental: si sus artefactos son correctos, las etapas siguientes se vuelven posibles; si son defectuosos, toda la cadena se contamina.</w:t>
      </w:r>
    </w:p>
    <w:p>
      <w:pPr>
        <w:pStyle w:val="Heading1"/>
        <w:spacing w:before="120" w:after="80" w:line="276" w:lineRule="auto"/>
      </w:pPr>
      <w:r>
        <w:t>Limitaciones y precauciones de lectura</w:t>
      </w:r>
    </w:p>
    <w:p>
      <w:pPr>
        <w:spacing w:before="0" w:after="100" w:line="276" w:lineRule="auto"/>
      </w:pPr>
      <w:r>
        <w:t>El hecho de que el script produzca artefactos coherentes no implica automáticamente validez externa. Muchas comprobaciones son internas a la cohorte analizada.</w:t>
      </w:r>
    </w:p>
    <w:p>
      <w:pPr>
        <w:spacing w:before="0" w:after="100" w:line="276" w:lineRule="auto"/>
      </w:pPr>
      <w:r>
        <w:t>Las cifras y gráficos deben leerse dentro de la lógica completa de la pipeline. Ningún notebook aislado basta para sostener por sí solo todas las afirmaciones del proyecto.</w:t>
      </w:r>
    </w:p>
    <w:p>
      <w:pPr>
        <w:pStyle w:val="Heading1"/>
        <w:spacing w:before="120" w:after="80" w:line="276" w:lineRule="auto"/>
      </w:pPr>
      <w:r>
        <w:t>Conexión con el resto de la pipeline</w:t>
      </w:r>
    </w:p>
    <w:p>
      <w:pPr>
        <w:spacing w:before="0" w:after="100" w:line="276" w:lineRule="auto"/>
      </w:pPr>
      <w:r>
        <w:t>Entrega los splits y metadatos que alimentan selección de variables, baselines, comparación de algoritmos y validación molecular.</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