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03 — Selección de variables (patched)</w:t>
      </w:r>
    </w:p>
    <w:p>
      <w:pPr>
        <w:spacing w:before="0" w:after="280" w:line="276" w:lineRule="auto"/>
        <w:jc w:val="center"/>
      </w:pPr>
      <w:r>
        <w:rPr>
          <w:i/>
          <w:color w:val="5A5A5A"/>
          <w:sz w:val="22"/>
        </w:rPr>
        <w:t>Consenso de importancia para clasificación y supervivencia con entrenamiento restringido a train</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src/03_feature_selection_cox_and_classification.patched.py</w:t>
            </w:r>
          </w:p>
        </w:tc>
      </w:tr>
      <w:tr>
        <w:tc>
          <w:tcPr>
            <w:tcW w:type="dxa" w:w="2736"/>
            <w:vAlign w:val="center"/>
          </w:tcPr>
          <w:p>
            <w:r>
              <w:t>Rol</w:t>
            </w:r>
          </w:p>
        </w:tc>
        <w:tc>
          <w:tcPr>
            <w:tcW w:type="dxa" w:w="7056"/>
            <w:vAlign w:val="center"/>
          </w:tcPr>
          <w:p>
            <w:r>
              <w:t>Selección de variables por tarea</w:t>
            </w:r>
          </w:p>
        </w:tc>
      </w:tr>
      <w:tr>
        <w:tc>
          <w:tcPr>
            <w:tcW w:type="dxa" w:w="2736"/>
            <w:vAlign w:val="center"/>
          </w:tcPr>
          <w:p>
            <w:r>
              <w:t>Entradas</w:t>
            </w:r>
          </w:p>
        </w:tc>
        <w:tc>
          <w:tcPr>
            <w:tcW w:type="dxa" w:w="7056"/>
            <w:vAlign w:val="center"/>
          </w:tcPr>
          <w:p>
            <w:r>
              <w:t>outputs/splits/&lt;modelo&gt;</w:t>
            </w:r>
          </w:p>
        </w:tc>
      </w:tr>
      <w:tr>
        <w:tc>
          <w:tcPr>
            <w:tcW w:type="dxa" w:w="2736"/>
            <w:vAlign w:val="center"/>
          </w:tcPr>
          <w:p>
            <w:r>
              <w:t>Salidas</w:t>
            </w:r>
          </w:p>
        </w:tc>
        <w:tc>
          <w:tcPr>
            <w:tcW w:type="dxa" w:w="7056"/>
            <w:vAlign w:val="center"/>
          </w:tcPr>
          <w:p>
            <w:r>
              <w:t>selected_feature_list.csv y plot.png por modelo</w:t>
            </w:r>
          </w:p>
        </w:tc>
      </w:tr>
    </w:tbl>
    <w:p/>
    <w:p>
      <w:pPr>
        <w:pStyle w:val="Heading1"/>
        <w:spacing w:before="120" w:after="80" w:line="276" w:lineRule="auto"/>
      </w:pPr>
      <w:r>
        <w:t>Objetivo y contribución dentro de la pipeline</w:t>
      </w:r>
    </w:p>
    <w:p>
      <w:pPr>
        <w:spacing w:before="0" w:after="100" w:line="276" w:lineRule="auto"/>
      </w:pPr>
      <w:r>
        <w:t>Este script decide qué variables pasan del espacio preparado por el pipeline al espacio realmente usado por cada modelo. Es una etapa crítica porque controla complejidad, interpretabilidad y riesgo de sobreajuste.</w:t>
      </w:r>
    </w:p>
    <w:p>
      <w:pPr>
        <w:spacing w:before="0" w:after="100" w:line="276" w:lineRule="auto"/>
      </w:pPr>
      <w:r>
        <w:t>La versión patched corrige un problema importante de la cadena original en tareas binarias: sustituye la lógica basada en LassoCV de regresión por una selección más congruente mediante regresión logística penalizada L1, manteniendo el entrenamiento exclusivamente en train.</w:t>
      </w:r>
    </w:p>
    <w:p>
      <w:pPr>
        <w:pStyle w:val="Heading1"/>
        <w:spacing w:before="120" w:after="80" w:line="276" w:lineRule="auto"/>
      </w:pPr>
      <w:r>
        <w:t>Rationale metodológico</w:t>
      </w:r>
    </w:p>
    <w:p>
      <w:pPr>
        <w:spacing w:before="0" w:after="100" w:line="276" w:lineRule="auto"/>
      </w:pPr>
      <w:r>
        <w:t>No hay una única definición universal de 'variable importante'. Por eso el script combina varias perspectivas: importancia de random forest, señal penalizada en modelos lineales y, en algunas tareas, mutual information o coeficientes/estadísticos específicos.</w:t>
      </w:r>
    </w:p>
    <w:p>
      <w:pPr>
        <w:spacing w:before="0" w:after="100" w:line="276" w:lineRule="auto"/>
      </w:pPr>
      <w:r>
        <w:t>El consenso entre métodos protege frente a decisiones demasiado frágiles. Una variable retenida por más de un criterio suele ser más defendible que una variable seleccionada por un único estimador inestable.</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parse_args</w:t>
            </w:r>
          </w:p>
        </w:tc>
        <w:tc>
          <w:tcPr>
            <w:tcW w:type="dxa" w:w="6768"/>
            <w:vAlign w:val="center"/>
          </w:tcPr>
          <w:p>
            <w:r>
              <w:t>Parsea argumentos de línea de comandos y rutas de entrada/salida.</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load_split</w:t>
            </w:r>
          </w:p>
        </w:tc>
        <w:tc>
          <w:tcPr>
            <w:tcW w:type="dxa" w:w="6768"/>
            <w:vAlign w:val="center"/>
          </w:tcPr>
          <w:p>
            <w:r>
              <w:t>Lee los splits por tarea desde outputs/splits.</w:t>
            </w:r>
          </w:p>
        </w:tc>
      </w:tr>
      <w:tr>
        <w:tc>
          <w:tcPr>
            <w:tcW w:type="dxa" w:w="3024"/>
            <w:vAlign w:val="center"/>
          </w:tcPr>
          <w:p>
            <w:r>
              <w:t>run_rf</w:t>
            </w:r>
          </w:p>
        </w:tc>
        <w:tc>
          <w:tcPr>
            <w:tcW w:type="dxa" w:w="6768"/>
            <w:vAlign w:val="center"/>
          </w:tcPr>
          <w:p>
            <w:r>
              <w:t>Ejecuta el bloque analítico 'rf' dentro de la cadena de modelado.</w:t>
            </w:r>
          </w:p>
        </w:tc>
      </w:tr>
      <w:tr>
        <w:tc>
          <w:tcPr>
            <w:tcW w:type="dxa" w:w="3024"/>
            <w:vAlign w:val="center"/>
          </w:tcPr>
          <w:p>
            <w:r>
              <w:t>run_logit_l1_binary</w:t>
            </w:r>
          </w:p>
        </w:tc>
        <w:tc>
          <w:tcPr>
            <w:tcW w:type="dxa" w:w="6768"/>
            <w:vAlign w:val="center"/>
          </w:tcPr>
          <w:p>
            <w:r>
              <w:t>Ejecuta el bloque analítico 'logit l1 binary' dentro de la cadena de modelado.</w:t>
            </w:r>
          </w:p>
        </w:tc>
      </w:tr>
      <w:tr>
        <w:tc>
          <w:tcPr>
            <w:tcW w:type="dxa" w:w="3024"/>
            <w:vAlign w:val="center"/>
          </w:tcPr>
          <w:p>
            <w:r>
              <w:t>run_ordinal_proxy</w:t>
            </w:r>
          </w:p>
        </w:tc>
        <w:tc>
          <w:tcPr>
            <w:tcW w:type="dxa" w:w="6768"/>
            <w:vAlign w:val="center"/>
          </w:tcPr>
          <w:p>
            <w:r>
              <w:t>Ejecuta el bloque analítico 'ordinal proxy' dentro de la cadena de modelado.</w:t>
            </w:r>
          </w:p>
        </w:tc>
      </w:tr>
      <w:tr>
        <w:tc>
          <w:tcPr>
            <w:tcW w:type="dxa" w:w="3024"/>
            <w:vAlign w:val="center"/>
          </w:tcPr>
          <w:p>
            <w:r>
              <w:t>run_lr_multi</w:t>
            </w:r>
          </w:p>
        </w:tc>
        <w:tc>
          <w:tcPr>
            <w:tcW w:type="dxa" w:w="6768"/>
            <w:vAlign w:val="center"/>
          </w:tcPr>
          <w:p>
            <w:r>
              <w:t>Ejecuta el bloque analítico 'lr multi' dentro de la cadena de modelado.</w:t>
            </w:r>
          </w:p>
        </w:tc>
      </w:tr>
      <w:tr>
        <w:tc>
          <w:tcPr>
            <w:tcW w:type="dxa" w:w="3024"/>
            <w:vAlign w:val="center"/>
          </w:tcPr>
          <w:p>
            <w:r>
              <w:t>run_mi</w:t>
            </w:r>
          </w:p>
        </w:tc>
        <w:tc>
          <w:tcPr>
            <w:tcW w:type="dxa" w:w="6768"/>
            <w:vAlign w:val="center"/>
          </w:tcPr>
          <w:p>
            <w:r>
              <w:t>Ejecuta el bloque analítico 'mi' dentro de la cadena de modelado.</w:t>
            </w:r>
          </w:p>
        </w:tc>
      </w:tr>
      <w:tr>
        <w:tc>
          <w:tcPr>
            <w:tcW w:type="dxa" w:w="3024"/>
            <w:vAlign w:val="center"/>
          </w:tcPr>
          <w:p>
            <w:r>
              <w:t>prepare_cox_X</w:t>
            </w:r>
          </w:p>
        </w:tc>
        <w:tc>
          <w:tcPr>
            <w:tcW w:type="dxa" w:w="6768"/>
            <w:vAlign w:val="center"/>
          </w:tcPr>
          <w:p>
            <w:r>
              <w:t>Función auxiliar para prepare cox X.</w:t>
            </w:r>
          </w:p>
        </w:tc>
      </w:tr>
      <w:tr>
        <w:tc>
          <w:tcPr>
            <w:tcW w:type="dxa" w:w="3024"/>
            <w:vAlign w:val="center"/>
          </w:tcPr>
          <w:p>
            <w:r>
              <w:t>run_cox_univariate</w:t>
            </w:r>
          </w:p>
        </w:tc>
        <w:tc>
          <w:tcPr>
            <w:tcW w:type="dxa" w:w="6768"/>
            <w:vAlign w:val="center"/>
          </w:tcPr>
          <w:p>
            <w:r>
              <w:t>Ejecuta el bloque analítico 'cox univariate' dentro de la cadena de modelado.</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src/03_feature_selection_cox_and_classification.patched.py</w:t>
      </w:r>
    </w:p>
    <w:p>
      <w:pPr>
        <w:pStyle w:val="ListBullet"/>
        <w:spacing w:before="0" w:after="0" w:line="276" w:lineRule="auto"/>
      </w:pPr>
      <w:r>
        <w:t>Rol: Selección de variables por tarea</w:t>
      </w:r>
    </w:p>
    <w:p>
      <w:pPr>
        <w:pStyle w:val="ListBullet"/>
        <w:spacing w:before="0" w:after="0" w:line="276" w:lineRule="auto"/>
      </w:pPr>
      <w:r>
        <w:t>Entradas: outputs/splits/&lt;modelo&gt;</w:t>
      </w:r>
    </w:p>
    <w:p>
      <w:pPr>
        <w:pStyle w:val="ListBullet"/>
        <w:spacing w:before="0" w:after="0" w:line="276" w:lineRule="auto"/>
      </w:pPr>
      <w:r>
        <w:t>Salidas: selected_feature_list.csv y plot.png por modelo</w:t>
      </w:r>
    </w:p>
    <w:p/>
    <w:p>
      <w:pPr>
        <w:pStyle w:val="Heading1"/>
        <w:spacing w:before="120" w:after="80" w:line="276" w:lineRule="auto"/>
      </w:pPr>
      <w:r>
        <w:t>Discusión de resultados y consecuencias para el resto del proyecto</w:t>
      </w:r>
    </w:p>
    <w:p>
      <w:pPr>
        <w:spacing w:before="0" w:after="100" w:line="276" w:lineRule="auto"/>
      </w:pPr>
      <w:r>
        <w:t>En la ejecución más reciente, la selección final retuvo 29 variables para M1a, 32 para M1b, 30 para M2a, 28 para M2b, 30 para M3 y 32 para M4. Estas cifras muestran que el pipeline no aplica una poda uniforme: la complejidad se adapta al objetivo clínico y molecular.</w:t>
      </w:r>
    </w:p>
    <w:p>
      <w:pPr>
        <w:spacing w:before="0" w:after="100" w:line="276" w:lineRule="auto"/>
      </w:pPr>
      <w:r>
        <w:t>El rationale del script es combinar métodos complementarios en lugar de confiar en una única noción de relevancia. Random forest capta relaciones no lineales, la regresión penalizada favorece parsimonia y mutual information preserva asociaciones no lineales sin asumir forma paramétrica.</w:t>
      </w:r>
    </w:p>
    <w:p>
      <w:pPr>
        <w:spacing w:before="0" w:after="100" w:line="276" w:lineRule="auto"/>
      </w:pPr>
      <w:r>
        <w:t>Número de variables retenidas en la ejecución documentada.</w:t>
      </w:r>
    </w:p>
    <w:tbl>
      <w:tblPr>
        <w:tblW w:type="auto" w:w="0"/>
        <w:jc w:val="center"/>
        <w:tblLayout w:type="fixed"/>
        <w:tblLook w:firstColumn="1" w:firstRow="1" w:lastColumn="0" w:lastRow="0" w:noHBand="0" w:noVBand="1" w:val="04A0"/>
      </w:tblPr>
      <w:tblGrid>
        <w:gridCol w:w="4824"/>
        <w:gridCol w:w="4824"/>
      </w:tblGrid>
      <w:tr>
        <w:tc>
          <w:tcPr>
            <w:tcW w:type="dxa" w:w="1728"/>
            <w:vAlign w:val="center"/>
            <w:shd w:fill="D9EAF7"/>
          </w:tcPr>
          <w:p>
            <w:pPr>
              <w:jc w:val="center"/>
            </w:pPr>
            <w:r>
              <w:rPr>
                <w:b/>
              </w:rPr>
              <w:t>Tarea</w:t>
            </w:r>
          </w:p>
        </w:tc>
        <w:tc>
          <w:tcPr>
            <w:tcW w:type="dxa" w:w="2016"/>
            <w:vAlign w:val="center"/>
            <w:shd w:fill="D9EAF7"/>
          </w:tcPr>
          <w:p>
            <w:pPr>
              <w:jc w:val="center"/>
            </w:pPr>
            <w:r>
              <w:rPr>
                <w:b/>
              </w:rPr>
              <w:t>Features seleccionadas</w:t>
            </w:r>
          </w:p>
        </w:tc>
      </w:tr>
      <w:tr>
        <w:tc>
          <w:tcPr>
            <w:tcW w:type="dxa" w:w="1728"/>
            <w:vAlign w:val="center"/>
          </w:tcPr>
          <w:p>
            <w:r>
              <w:t>M1a</w:t>
            </w:r>
          </w:p>
        </w:tc>
        <w:tc>
          <w:tcPr>
            <w:tcW w:type="dxa" w:w="2016"/>
            <w:vAlign w:val="center"/>
          </w:tcPr>
          <w:p>
            <w:r>
              <w:t>29</w:t>
            </w:r>
          </w:p>
        </w:tc>
      </w:tr>
      <w:tr>
        <w:tc>
          <w:tcPr>
            <w:tcW w:type="dxa" w:w="1728"/>
            <w:vAlign w:val="center"/>
          </w:tcPr>
          <w:p>
            <w:r>
              <w:t>M1b</w:t>
            </w:r>
          </w:p>
        </w:tc>
        <w:tc>
          <w:tcPr>
            <w:tcW w:type="dxa" w:w="2016"/>
            <w:vAlign w:val="center"/>
          </w:tcPr>
          <w:p>
            <w:r>
              <w:t>32</w:t>
            </w:r>
          </w:p>
        </w:tc>
      </w:tr>
      <w:tr>
        <w:tc>
          <w:tcPr>
            <w:tcW w:type="dxa" w:w="1728"/>
            <w:vAlign w:val="center"/>
          </w:tcPr>
          <w:p>
            <w:r>
              <w:t>M2a</w:t>
            </w:r>
          </w:p>
        </w:tc>
        <w:tc>
          <w:tcPr>
            <w:tcW w:type="dxa" w:w="2016"/>
            <w:vAlign w:val="center"/>
          </w:tcPr>
          <w:p>
            <w:r>
              <w:t>30</w:t>
            </w:r>
          </w:p>
        </w:tc>
      </w:tr>
      <w:tr>
        <w:tc>
          <w:tcPr>
            <w:tcW w:type="dxa" w:w="1728"/>
            <w:vAlign w:val="center"/>
          </w:tcPr>
          <w:p>
            <w:r>
              <w:t>M2b</w:t>
            </w:r>
          </w:p>
        </w:tc>
        <w:tc>
          <w:tcPr>
            <w:tcW w:type="dxa" w:w="2016"/>
            <w:vAlign w:val="center"/>
          </w:tcPr>
          <w:p>
            <w:r>
              <w:t>28</w:t>
            </w:r>
          </w:p>
        </w:tc>
      </w:tr>
      <w:tr>
        <w:tc>
          <w:tcPr>
            <w:tcW w:type="dxa" w:w="1728"/>
            <w:vAlign w:val="center"/>
          </w:tcPr>
          <w:p>
            <w:r>
              <w:t>M3</w:t>
            </w:r>
          </w:p>
        </w:tc>
        <w:tc>
          <w:tcPr>
            <w:tcW w:type="dxa" w:w="2016"/>
            <w:vAlign w:val="center"/>
          </w:tcPr>
          <w:p>
            <w:r>
              <w:t>30</w:t>
            </w:r>
          </w:p>
        </w:tc>
      </w:tr>
      <w:tr>
        <w:tc>
          <w:tcPr>
            <w:tcW w:type="dxa" w:w="1728"/>
            <w:vAlign w:val="center"/>
          </w:tcPr>
          <w:p>
            <w:r>
              <w:t>M4</w:t>
            </w:r>
          </w:p>
        </w:tc>
        <w:tc>
          <w:tcPr>
            <w:tcW w:type="dxa" w:w="2016"/>
            <w:vAlign w:val="center"/>
          </w:tcPr>
          <w:p>
            <w:r>
              <w:t>32</w:t>
            </w:r>
          </w:p>
        </w:tc>
      </w:tr>
    </w:tbl>
    <w:p/>
    <w:p>
      <w:pPr>
        <w:pStyle w:val="Heading1"/>
        <w:spacing w:before="120" w:after="80" w:line="276" w:lineRule="auto"/>
      </w:pPr>
      <w:r>
        <w:t>Lectura crítica del script</w:t>
      </w:r>
    </w:p>
    <w:p>
      <w:pPr>
        <w:spacing w:before="0" w:after="100" w:line="276" w:lineRule="auto"/>
      </w:pPr>
      <w:r>
        <w:t>Aunque este script no se apoya en una figura específica embebida en el documento, su papel es estructural dentro de la pipeline. Por eso la evaluación relevante aquí no es visual sino procedimental: si sus artefactos son correctos, las etapas siguientes se vuelven posibles; si son defectuosos, toda la cadena se contamina.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Reduce dimensionalidad de forma controlada antes del notebook 07 y condiciona qué señal puede aprovechar cada algoritmo.</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