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jc w:val="center"/>
      </w:pPr>
      <w:r>
        <w:rPr>
          <w:b/>
          <w:color w:val="1F4E79"/>
          <w:sz w:val="44"/>
        </w:rPr>
        <w:t>03b — Soporte visual a la selección de variables</w:t>
      </w:r>
    </w:p>
    <w:p>
      <w:pPr>
        <w:spacing w:before="0" w:after="280" w:line="276" w:lineRule="auto"/>
        <w:jc w:val="center"/>
      </w:pPr>
      <w:r>
        <w:rPr>
          <w:i/>
          <w:color w:val="5A5A5A"/>
          <w:sz w:val="22"/>
        </w:rPr>
        <w:t>Solapamiento entre listas de features seleccionadas</w:t>
      </w:r>
    </w:p>
    <w:tbl>
      <w:tblPr>
        <w:tblW w:type="auto" w:w="0"/>
        <w:jc w:val="center"/>
        <w:tblLayout w:type="fixed"/>
        <w:tblLook w:firstColumn="1" w:firstRow="1" w:lastColumn="0" w:lastRow="0" w:noHBand="0" w:noVBand="1" w:val="04A0"/>
      </w:tblPr>
      <w:tblGrid>
        <w:gridCol w:w="2736"/>
        <w:gridCol w:w="7056"/>
      </w:tblGrid>
      <w:tr>
        <w:tc>
          <w:tcPr>
            <w:tcW w:type="dxa" w:w="4824"/>
            <w:shd w:fill="D9EAF7"/>
            <w:vAlign w:val="center"/>
          </w:tcPr>
          <w:p>
            <w:pPr>
              <w:jc w:val="center"/>
            </w:pPr>
            <w:r>
              <w:rPr>
                <w:b/>
              </w:rPr>
              <w:t>Campo</w:t>
            </w:r>
          </w:p>
        </w:tc>
        <w:tc>
          <w:tcPr>
            <w:tcW w:type="dxa" w:w="4824"/>
            <w:shd w:fill="D9EAF7"/>
            <w:vAlign w:val="center"/>
          </w:tcPr>
          <w:p>
            <w:pPr>
              <w:jc w:val="center"/>
            </w:pPr>
            <w:r>
              <w:rPr>
                <w:b/>
              </w:rPr>
              <w:t>Descripción</w:t>
            </w:r>
          </w:p>
        </w:tc>
      </w:tr>
      <w:tr>
        <w:tc>
          <w:tcPr>
            <w:tcW w:type="dxa" w:w="2736"/>
            <w:vAlign w:val="center"/>
          </w:tcPr>
          <w:p>
            <w:r>
              <w:t>Archivo</w:t>
            </w:r>
          </w:p>
        </w:tc>
        <w:tc>
          <w:tcPr>
            <w:tcW w:type="dxa" w:w="7056"/>
            <w:vAlign w:val="center"/>
          </w:tcPr>
          <w:p>
            <w:r>
              <w:t>src/03_feature_selection_cox_and_classification.patched.py</w:t>
            </w:r>
          </w:p>
        </w:tc>
      </w:tr>
      <w:tr>
        <w:tc>
          <w:tcPr>
            <w:tcW w:type="dxa" w:w="2736"/>
            <w:vAlign w:val="center"/>
          </w:tcPr>
          <w:p>
            <w:r>
              <w:t>Rol</w:t>
            </w:r>
          </w:p>
        </w:tc>
        <w:tc>
          <w:tcPr>
            <w:tcW w:type="dxa" w:w="7056"/>
            <w:vAlign w:val="center"/>
          </w:tcPr>
          <w:p>
            <w:r>
              <w:t>Selección de variables por tarea</w:t>
            </w:r>
          </w:p>
        </w:tc>
      </w:tr>
      <w:tr>
        <w:tc>
          <w:tcPr>
            <w:tcW w:type="dxa" w:w="2736"/>
            <w:vAlign w:val="center"/>
          </w:tcPr>
          <w:p>
            <w:r>
              <w:t>Entradas</w:t>
            </w:r>
          </w:p>
        </w:tc>
        <w:tc>
          <w:tcPr>
            <w:tcW w:type="dxa" w:w="7056"/>
            <w:vAlign w:val="center"/>
          </w:tcPr>
          <w:p>
            <w:r>
              <w:t>outputs/splits/&lt;modelo&gt;</w:t>
            </w:r>
          </w:p>
        </w:tc>
      </w:tr>
      <w:tr>
        <w:tc>
          <w:tcPr>
            <w:tcW w:type="dxa" w:w="2736"/>
            <w:vAlign w:val="center"/>
          </w:tcPr>
          <w:p>
            <w:r>
              <w:t>Salidas</w:t>
            </w:r>
          </w:p>
        </w:tc>
        <w:tc>
          <w:tcPr>
            <w:tcW w:type="dxa" w:w="7056"/>
            <w:vAlign w:val="center"/>
          </w:tcPr>
          <w:p>
            <w:r>
              <w:t>selected_feature_list.csv y plot.png por modelo</w:t>
            </w:r>
          </w:p>
        </w:tc>
      </w:tr>
    </w:tbl>
    <w:p/>
    <w:p>
      <w:pPr>
        <w:pStyle w:val="Heading1"/>
        <w:spacing w:before="120" w:after="80" w:line="276" w:lineRule="auto"/>
      </w:pPr>
      <w:r>
        <w:t>Objetivo y contribución dentro de la pipeline</w:t>
      </w:r>
    </w:p>
    <w:p>
      <w:pPr>
        <w:spacing w:before="0" w:after="100" w:line="276" w:lineRule="auto"/>
      </w:pPr>
      <w:r>
        <w:t>Este script toma los resultados de selección y los convierte en una vista de solapamiento. Su propósito es evaluar estabilidad y redundancia entre tareas o entre representaciones, no añadir nueva selección.</w:t>
      </w:r>
    </w:p>
    <w:p>
      <w:pPr>
        <w:spacing w:before="0" w:after="100" w:line="276" w:lineRule="auto"/>
      </w:pPr>
      <w:r>
        <w:t>Es útil porque permite distinguir rápidamente qué variables son específicas de una tarea y cuáles aparecen como ejes transversales del problema.</w:t>
      </w:r>
    </w:p>
    <w:p>
      <w:pPr>
        <w:pStyle w:val="Heading1"/>
        <w:spacing w:before="120" w:after="80" w:line="276" w:lineRule="auto"/>
      </w:pPr>
      <w:r>
        <w:t>Rationale metodológico</w:t>
      </w:r>
    </w:p>
    <w:p>
      <w:pPr>
        <w:spacing w:before="0" w:after="100" w:line="276" w:lineRule="auto"/>
      </w:pPr>
      <w:r>
        <w:t>Un pipeline con varias tareas clínicas y moleculares necesita saber si está aprendiendo señales compartidas o conjuntos disjuntos de features. Esta figura sirve exactamente para esa lectura.</w:t>
      </w:r>
    </w:p>
    <w:p>
      <w:pPr>
        <w:pStyle w:val="Heading1"/>
        <w:spacing w:before="120" w:after="80" w:line="276" w:lineRule="auto"/>
      </w:pPr>
      <w:r>
        <w:t>Estructura del código y funciones clave</w:t>
      </w:r>
    </w:p>
    <w:tbl>
      <w:tblPr>
        <w:tblW w:type="auto" w:w="0"/>
        <w:jc w:val="center"/>
        <w:tblLayout w:type="fixed"/>
        <w:tblLook w:firstColumn="1" w:firstRow="1" w:lastColumn="0" w:lastRow="0" w:noHBand="0" w:noVBand="1" w:val="04A0"/>
      </w:tblPr>
      <w:tblGrid>
        <w:gridCol w:w="3024"/>
        <w:gridCol w:w="6768"/>
      </w:tblGrid>
      <w:tr>
        <w:tc>
          <w:tcPr>
            <w:tcW w:type="dxa" w:w="4824"/>
            <w:shd w:fill="EAF2F8"/>
          </w:tcPr>
          <w:p>
            <w:r>
              <w:rPr>
                <w:b/>
              </w:rPr>
              <w:t>Bloque / función</w:t>
            </w:r>
          </w:p>
        </w:tc>
        <w:tc>
          <w:tcPr>
            <w:tcW w:type="dxa" w:w="4824"/>
            <w:shd w:fill="EAF2F8"/>
          </w:tcPr>
          <w:p>
            <w:r>
              <w:rPr>
                <w:b/>
              </w:rPr>
              <w:t>Papel en el script</w:t>
            </w:r>
          </w:p>
        </w:tc>
      </w:tr>
      <w:tr>
        <w:tc>
          <w:tcPr>
            <w:tcW w:type="dxa" w:w="3024"/>
            <w:vAlign w:val="center"/>
          </w:tcPr>
          <w:p>
            <w:r>
              <w:t>save</w:t>
            </w:r>
          </w:p>
        </w:tc>
        <w:tc>
          <w:tcPr>
            <w:tcW w:type="dxa" w:w="6768"/>
            <w:vAlign w:val="center"/>
          </w:tcPr>
          <w:p>
            <w:r>
              <w:t>Guarda la figura o artefacto generado con formato consistente.</w:t>
            </w:r>
          </w:p>
        </w:tc>
      </w:tr>
      <w:tr>
        <w:tc>
          <w:tcPr>
            <w:tcW w:type="dxa" w:w="3024"/>
            <w:vAlign w:val="center"/>
          </w:tcPr>
          <w:p>
            <w:r>
              <w:t>main</w:t>
            </w:r>
          </w:p>
        </w:tc>
        <w:tc>
          <w:tcPr>
            <w:tcW w:type="dxa" w:w="6768"/>
            <w:vAlign w:val="center"/>
          </w:tcPr>
          <w:p>
            <w:r>
              <w:t>Orquesta la ejecución completa del script.</w:t>
            </w:r>
          </w:p>
        </w:tc>
      </w:tr>
    </w:tbl>
    <w:p/>
    <w:p>
      <w:pPr>
        <w:pStyle w:val="Heading1"/>
        <w:spacing w:before="120" w:after="80" w:line="276" w:lineRule="auto"/>
      </w:pPr>
      <w:r>
        <w:t>Entradas, salidas y artefactos</w:t>
      </w:r>
    </w:p>
    <w:p>
      <w:pPr>
        <w:spacing w:before="0" w:after="100" w:line="276" w:lineRule="auto"/>
      </w:pPr>
      <w:r>
        <w:t>Este script se apoya en un contrato de entradas y salidas explícito. Esa disciplina es importante porque la pipeline tiene varias etapas encadenadas y un error pequeño en una ruta o en un artefacto puede propagarse a notebooks posteriores.</w:t>
      </w:r>
    </w:p>
    <w:p>
      <w:pPr>
        <w:pStyle w:val="ListBullet"/>
        <w:spacing w:before="0" w:after="0" w:line="276" w:lineRule="auto"/>
      </w:pPr>
      <w:r>
        <w:t>Archivo: src/03_feature_selection_cox_and_classification.patched.py</w:t>
      </w:r>
    </w:p>
    <w:p>
      <w:pPr>
        <w:pStyle w:val="ListBullet"/>
        <w:spacing w:before="0" w:after="0" w:line="276" w:lineRule="auto"/>
      </w:pPr>
      <w:r>
        <w:t>Rol: Selección de variables por tarea</w:t>
      </w:r>
    </w:p>
    <w:p>
      <w:pPr>
        <w:pStyle w:val="ListBullet"/>
        <w:spacing w:before="0" w:after="0" w:line="276" w:lineRule="auto"/>
      </w:pPr>
      <w:r>
        <w:t>Entradas: outputs/splits/&lt;modelo&gt;</w:t>
      </w:r>
    </w:p>
    <w:p>
      <w:pPr>
        <w:pStyle w:val="ListBullet"/>
        <w:spacing w:before="0" w:after="0" w:line="276" w:lineRule="auto"/>
      </w:pPr>
      <w:r>
        <w:t>Salidas: selected_feature_list.csv y plot.png por modelo</w:t>
      </w:r>
    </w:p>
    <w:p/>
    <w:p>
      <w:pPr>
        <w:pStyle w:val="Heading1"/>
        <w:spacing w:before="120" w:after="80" w:line="276" w:lineRule="auto"/>
      </w:pPr>
      <w:r>
        <w:t>Discusión de resultados y consecuencias para el resto del proyecto</w:t>
      </w:r>
    </w:p>
    <w:p>
      <w:pPr>
        <w:spacing w:before="0" w:after="100" w:line="276" w:lineRule="auto"/>
      </w:pPr>
      <w:r>
        <w:t>La salida esperada es fs01_selected_feature_overlap.png. En un repositorio público, esta figura ayuda a conectar la ingeniería de variables con la interpretación posterior.</w:t>
      </w:r>
    </w:p>
    <w:p>
      <w:pPr>
        <w:pStyle w:val="Heading1"/>
        <w:spacing w:before="120" w:after="80" w:line="276" w:lineRule="auto"/>
      </w:pPr>
      <w:r>
        <w:t>Lectura crítica del script</w:t>
      </w:r>
    </w:p>
    <w:p>
      <w:pPr>
        <w:spacing w:before="0" w:after="100" w:line="276" w:lineRule="auto"/>
      </w:pPr>
      <w:r>
        <w:t>Aunque este script no se apoya en una figura específica embebida en el documento, su papel es estructural dentro de la pipeline. Por eso la evaluación relevante aquí no es visual sino procedimental: si sus artefactos son correctos, las etapas siguientes se vuelven posibles; si son defectuosos, toda la cadena se contamina.</w:t>
      </w:r>
    </w:p>
    <w:p>
      <w:pPr>
        <w:pStyle w:val="Heading1"/>
        <w:spacing w:before="120" w:after="80" w:line="276" w:lineRule="auto"/>
      </w:pPr>
      <w:r>
        <w:t>Limitaciones y precauciones de lectura</w:t>
      </w:r>
    </w:p>
    <w:p>
      <w:pPr>
        <w:spacing w:before="0" w:after="100" w:line="276" w:lineRule="auto"/>
      </w:pPr>
      <w:r>
        <w:t>El hecho de que el script produzca artefactos coherentes no implica automáticamente validez externa. Muchas comprobaciones son internas a la cohorte analizada.</w:t>
      </w:r>
    </w:p>
    <w:p>
      <w:pPr>
        <w:spacing w:before="0" w:after="100" w:line="276" w:lineRule="auto"/>
      </w:pPr>
      <w:r>
        <w:t>Las cifras y gráficos deben leerse dentro de la lógica completa de la pipeline. Ningún notebook aislado basta para sostener por sí solo todas las afirmaciones del proyecto.</w:t>
      </w:r>
    </w:p>
    <w:p>
      <w:pPr>
        <w:pStyle w:val="Heading1"/>
        <w:spacing w:before="120" w:after="80" w:line="276" w:lineRule="auto"/>
      </w:pPr>
      <w:r>
        <w:t>Conexión con el resto de la pipeline</w:t>
      </w:r>
    </w:p>
    <w:p>
      <w:pPr>
        <w:spacing w:before="0" w:after="100" w:line="276" w:lineRule="auto"/>
      </w:pPr>
      <w:r>
        <w:t>Reduce dimensionalidad de forma controlada antes del notebook 07 y condiciona qué señal puede aprovechar cada algoritmo.</w:t>
      </w:r>
    </w:p>
    <w:sectPr w:rsidR="00FC693F" w:rsidRPr="0006063C" w:rsidSect="00034616">
      <w:footerReference w:type="default" r:id="rId9"/>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