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06 — Modelos baseline</w:t>
      </w:r>
    </w:p>
    <w:p>
      <w:pPr>
        <w:spacing w:before="0" w:after="280" w:line="276" w:lineRule="auto"/>
        <w:jc w:val="center"/>
      </w:pPr>
      <w:r>
        <w:rPr>
          <w:i/>
          <w:color w:val="5A5A5A"/>
          <w:sz w:val="22"/>
        </w:rPr>
        <w:t>Línea base necesaria para juzgar si la complejidad adicional está justificada</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src/06_notebook_baseline_models.py</w:t>
            </w:r>
          </w:p>
        </w:tc>
      </w:tr>
      <w:tr>
        <w:tc>
          <w:tcPr>
            <w:tcW w:type="dxa" w:w="2736"/>
            <w:vAlign w:val="center"/>
          </w:tcPr>
          <w:p>
            <w:r>
              <w:t>Rol</w:t>
            </w:r>
          </w:p>
        </w:tc>
        <w:tc>
          <w:tcPr>
            <w:tcW w:type="dxa" w:w="7056"/>
            <w:vAlign w:val="center"/>
          </w:tcPr>
          <w:p>
            <w:r>
              <w:t>Baselines mínimos para clasificación y supervivencia</w:t>
            </w:r>
          </w:p>
        </w:tc>
      </w:tr>
      <w:tr>
        <w:tc>
          <w:tcPr>
            <w:tcW w:type="dxa" w:w="2736"/>
            <w:vAlign w:val="center"/>
          </w:tcPr>
          <w:p>
            <w:r>
              <w:t>Entradas</w:t>
            </w:r>
          </w:p>
        </w:tc>
        <w:tc>
          <w:tcPr>
            <w:tcW w:type="dxa" w:w="7056"/>
            <w:vAlign w:val="center"/>
          </w:tcPr>
          <w:p>
            <w:r>
              <w:t>splits preparados</w:t>
            </w:r>
          </w:p>
        </w:tc>
      </w:tr>
      <w:tr>
        <w:tc>
          <w:tcPr>
            <w:tcW w:type="dxa" w:w="2736"/>
            <w:vAlign w:val="center"/>
          </w:tcPr>
          <w:p>
            <w:r>
              <w:t>Salidas</w:t>
            </w:r>
          </w:p>
        </w:tc>
        <w:tc>
          <w:tcPr>
            <w:tcW w:type="dxa" w:w="7056"/>
            <w:vAlign w:val="center"/>
          </w:tcPr>
          <w:p>
            <w:r>
              <w:t>Figuras de accuracy illusion y modelos base</w:t>
            </w:r>
          </w:p>
        </w:tc>
      </w:tr>
    </w:tbl>
    <w:p/>
    <w:p>
      <w:pPr>
        <w:pStyle w:val="Heading1"/>
        <w:spacing w:before="120" w:after="80" w:line="276" w:lineRule="auto"/>
      </w:pPr>
      <w:r>
        <w:t>Objetivo y contribución dentro de la pipeline</w:t>
      </w:r>
    </w:p>
    <w:p>
      <w:pPr>
        <w:spacing w:before="0" w:after="100" w:line="276" w:lineRule="auto"/>
      </w:pPr>
      <w:r>
        <w:t>Este notebook define el punto de comparación mínimo. Su lógica es saludable: antes de celebrar modelos más complejos, conviene cuantificar qué se obtiene con estrategias simples y con métricas apropiadas.</w:t>
      </w:r>
    </w:p>
    <w:p>
      <w:pPr>
        <w:spacing w:before="0" w:after="100" w:line="276" w:lineRule="auto"/>
      </w:pPr>
      <w:r>
        <w:t>La presencia del panel de 'accuracy illusion' es especialmente valiosa porque evita una lectura complaciente del desbalanceo en tareas binarias.</w:t>
      </w:r>
    </w:p>
    <w:p>
      <w:pPr>
        <w:pStyle w:val="Heading1"/>
        <w:spacing w:before="120" w:after="80" w:line="276" w:lineRule="auto"/>
      </w:pPr>
      <w:r>
        <w:t>Rationale metodológico</w:t>
      </w:r>
    </w:p>
    <w:p>
      <w:pPr>
        <w:spacing w:before="0" w:after="100" w:line="276" w:lineRule="auto"/>
      </w:pPr>
      <w:r>
        <w:t>Los baselines no son relleno. Son el mecanismo más directo para demostrar que la complejidad posterior aporta algo más que una mejora espuria o marginal.</w:t>
      </w:r>
    </w:p>
    <w:p>
      <w:pPr>
        <w:spacing w:before="0" w:after="100" w:line="276" w:lineRule="auto"/>
      </w:pPr>
      <w:r>
        <w:t>También fijan expectativas sobre qué parte del rendimiento procede de la estructura del problema y qué parte de decisiones de modelado realmente superiores.</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load_split</w:t>
            </w:r>
          </w:p>
        </w:tc>
        <w:tc>
          <w:tcPr>
            <w:tcW w:type="dxa" w:w="6768"/>
            <w:vAlign w:val="center"/>
          </w:tcPr>
          <w:p>
            <w:r>
              <w:t>Lee los splits por tarea desde outputs/splits.</w:t>
            </w:r>
          </w:p>
        </w:tc>
      </w:tr>
      <w:tr>
        <w:tc>
          <w:tcPr>
            <w:tcW w:type="dxa" w:w="3024"/>
            <w:vAlign w:val="center"/>
          </w:tcPr>
          <w:p>
            <w:r>
              <w:t>make_lr</w:t>
            </w:r>
          </w:p>
        </w:tc>
        <w:tc>
          <w:tcPr>
            <w:tcW w:type="dxa" w:w="6768"/>
            <w:vAlign w:val="center"/>
          </w:tcPr>
          <w:p>
            <w:r>
              <w:t>Función auxiliar para make lr.</w:t>
            </w:r>
          </w:p>
        </w:tc>
      </w:tr>
      <w:tr>
        <w:tc>
          <w:tcPr>
            <w:tcW w:type="dxa" w:w="3024"/>
            <w:vAlign w:val="center"/>
          </w:tcPr>
          <w:p>
            <w:r>
              <w:t>score_task</w:t>
            </w:r>
          </w:p>
        </w:tc>
        <w:tc>
          <w:tcPr>
            <w:tcW w:type="dxa" w:w="6768"/>
            <w:vAlign w:val="center"/>
          </w:tcPr>
          <w:p>
            <w:r>
              <w:t>Función auxiliar para score task.</w:t>
            </w:r>
          </w:p>
        </w:tc>
      </w:tr>
      <w:tr>
        <w:tc>
          <w:tcPr>
            <w:tcW w:type="dxa" w:w="3024"/>
            <w:vAlign w:val="center"/>
          </w:tcPr>
          <w:p>
            <w:r>
              <w:t>fig_accuracy_illusion</w:t>
            </w:r>
          </w:p>
        </w:tc>
        <w:tc>
          <w:tcPr>
            <w:tcW w:type="dxa" w:w="6768"/>
            <w:vAlign w:val="center"/>
          </w:tcPr>
          <w:p>
            <w:r>
              <w:t>Genera la figura 'accuracy illusion' y calcula internamente los estadísticos que la acompañan.</w:t>
            </w:r>
          </w:p>
        </w:tc>
      </w:tr>
      <w:tr>
        <w:tc>
          <w:tcPr>
            <w:tcW w:type="dxa" w:w="3024"/>
            <w:vAlign w:val="center"/>
          </w:tcPr>
          <w:p>
            <w:r>
              <w:t>fig_classification_baselines</w:t>
            </w:r>
          </w:p>
        </w:tc>
        <w:tc>
          <w:tcPr>
            <w:tcW w:type="dxa" w:w="6768"/>
            <w:vAlign w:val="center"/>
          </w:tcPr>
          <w:p>
            <w:r>
              <w:t>Genera la figura 'classification baselines' y calcula internamente los estadísticos que la acompañan.</w:t>
            </w:r>
          </w:p>
        </w:tc>
      </w:tr>
      <w:tr>
        <w:tc>
          <w:tcPr>
            <w:tcW w:type="dxa" w:w="3024"/>
            <w:vAlign w:val="center"/>
          </w:tcPr>
          <w:p>
            <w:r>
              <w:t>_prepare_cox_features</w:t>
            </w:r>
          </w:p>
        </w:tc>
        <w:tc>
          <w:tcPr>
            <w:tcW w:type="dxa" w:w="6768"/>
            <w:vAlign w:val="center"/>
          </w:tcPr>
          <w:p>
            <w:r>
              <w:t>Función auxiliar para  prepare cox features.</w:t>
            </w:r>
          </w:p>
        </w:tc>
      </w:tr>
      <w:tr>
        <w:tc>
          <w:tcPr>
            <w:tcW w:type="dxa" w:w="3024"/>
            <w:vAlign w:val="center"/>
          </w:tcPr>
          <w:p>
            <w:r>
              <w:t>_fit_cox_stable</w:t>
            </w:r>
          </w:p>
        </w:tc>
        <w:tc>
          <w:tcPr>
            <w:tcW w:type="dxa" w:w="6768"/>
            <w:vAlign w:val="center"/>
          </w:tcPr>
          <w:p>
            <w:r>
              <w:t>Función auxiliar para  fit cox stable.</w:t>
            </w:r>
          </w:p>
        </w:tc>
      </w:tr>
      <w:tr>
        <w:tc>
          <w:tcPr>
            <w:tcW w:type="dxa" w:w="3024"/>
            <w:vAlign w:val="center"/>
          </w:tcPr>
          <w:p>
            <w:r>
              <w:t>fig_m2_lifelines</w:t>
            </w:r>
          </w:p>
        </w:tc>
        <w:tc>
          <w:tcPr>
            <w:tcW w:type="dxa" w:w="6768"/>
            <w:vAlign w:val="center"/>
          </w:tcPr>
          <w:p>
            <w:r>
              <w:t>Genera la figura 'm2 lifelines' y calcula internamente los estadísticos que la acompañan.</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src/06_notebook_baseline_models.py</w:t>
      </w:r>
    </w:p>
    <w:p>
      <w:pPr>
        <w:pStyle w:val="ListBullet"/>
        <w:spacing w:before="0" w:after="0" w:line="276" w:lineRule="auto"/>
      </w:pPr>
      <w:r>
        <w:t>Rol: Baselines mínimos para clasificación y supervivencia</w:t>
      </w:r>
    </w:p>
    <w:p>
      <w:pPr>
        <w:pStyle w:val="ListBullet"/>
        <w:spacing w:before="0" w:after="0" w:line="276" w:lineRule="auto"/>
      </w:pPr>
      <w:r>
        <w:t>Entradas: splits preparados</w:t>
      </w:r>
    </w:p>
    <w:p>
      <w:pPr>
        <w:pStyle w:val="ListBullet"/>
        <w:spacing w:before="0" w:after="0" w:line="276" w:lineRule="auto"/>
      </w:pPr>
      <w:r>
        <w:t>Salidas: Figuras de accuracy illusion y modelos base</w:t>
      </w:r>
    </w:p>
    <w:p/>
    <w:p>
      <w:pPr>
        <w:pStyle w:val="Heading1"/>
        <w:spacing w:before="120" w:after="80" w:line="276" w:lineRule="auto"/>
      </w:pPr>
      <w:r>
        <w:t>Discusión de resultados y consecuencias para el resto del proyecto</w:t>
      </w:r>
    </w:p>
    <w:p>
      <w:pPr>
        <w:spacing w:before="0" w:after="100" w:line="276" w:lineRule="auto"/>
      </w:pPr>
      <w:r>
        <w:t>El notebook deja claro que accuracy, tomada de forma aislada, sería una guía pobre para M1a y M1b. También muestra que los modelos de supervivencia deben juzgarse con herramientas compatibles con censura, no por analogía con clasificación.</w:t>
      </w:r>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1757362"/>
            <wp:docPr id="1" name="Picture 1"/>
            <wp:cNvGraphicFramePr>
              <a:graphicFrameLocks noChangeAspect="1"/>
            </wp:cNvGraphicFramePr>
            <a:graphic>
              <a:graphicData uri="http://schemas.openxmlformats.org/drawingml/2006/picture">
                <pic:pic>
                  <pic:nvPicPr>
                    <pic:cNvPr id="0" name="23_accuracy_illusion.png"/>
                    <pic:cNvPicPr/>
                  </pic:nvPicPr>
                  <pic:blipFill>
                    <a:blip r:embed="rId10"/>
                    <a:stretch>
                      <a:fillRect/>
                    </a:stretch>
                  </pic:blipFill>
                  <pic:spPr>
                    <a:xfrm>
                      <a:off x="0" y="0"/>
                      <a:ext cx="5715000" cy="1757362"/>
                    </a:xfrm>
                    <a:prstGeom prst="rect"/>
                  </pic:spPr>
                </pic:pic>
              </a:graphicData>
            </a:graphic>
          </wp:inline>
        </w:drawing>
      </w:r>
    </w:p>
    <w:p>
      <w:pPr>
        <w:spacing w:before="0" w:after="120" w:line="276" w:lineRule="auto"/>
        <w:jc w:val="center"/>
      </w:pPr>
      <w:r>
        <w:rPr>
          <w:i/>
          <w:color w:val="505050"/>
          <w:sz w:val="19"/>
        </w:rPr>
        <w:t>Figura 23. Ilusión de accuracy.</w:t>
      </w:r>
    </w:p>
    <w:p>
      <w:pPr>
        <w:spacing w:before="0" w:after="100" w:line="276" w:lineRule="auto"/>
      </w:pPr>
      <w:r>
        <w:t>La figura demuestra por qué accuracy es una métrica inadecuada como criterio principal en tareas desbalanceadas. En endpoints como M1b, un clasificador ingenuo puede obtener una accuracy aparente aceptable sin aportar utilidad clínica real.</w:t>
      </w:r>
    </w:p>
    <w:p>
      <w:pPr>
        <w:spacing w:before="0" w:after="40" w:line="276" w:lineRule="auto"/>
        <w:jc w:val="center"/>
      </w:pPr>
      <w:r>
        <w:drawing>
          <wp:inline xmlns:a="http://schemas.openxmlformats.org/drawingml/2006/main" xmlns:pic="http://schemas.openxmlformats.org/drawingml/2006/picture">
            <wp:extent cx="5715000" cy="4271962"/>
            <wp:docPr id="2" name="Picture 2"/>
            <wp:cNvGraphicFramePr>
              <a:graphicFrameLocks noChangeAspect="1"/>
            </wp:cNvGraphicFramePr>
            <a:graphic>
              <a:graphicData uri="http://schemas.openxmlformats.org/drawingml/2006/picture">
                <pic:pic>
                  <pic:nvPicPr>
                    <pic:cNvPr id="0" name="24_26_classification_baselines.png"/>
                    <pic:cNvPicPr/>
                  </pic:nvPicPr>
                  <pic:blipFill>
                    <a:blip r:embed="rId11"/>
                    <a:stretch>
                      <a:fillRect/>
                    </a:stretch>
                  </pic:blipFill>
                  <pic:spPr>
                    <a:xfrm>
                      <a:off x="0" y="0"/>
                      <a:ext cx="5715000" cy="4271962"/>
                    </a:xfrm>
                    <a:prstGeom prst="rect"/>
                  </pic:spPr>
                </pic:pic>
              </a:graphicData>
            </a:graphic>
          </wp:inline>
        </w:drawing>
      </w:r>
    </w:p>
    <w:p>
      <w:pPr>
        <w:spacing w:before="0" w:after="120" w:line="276" w:lineRule="auto"/>
        <w:jc w:val="center"/>
      </w:pPr>
      <w:r>
        <w:rPr>
          <w:i/>
          <w:color w:val="505050"/>
          <w:sz w:val="19"/>
        </w:rPr>
        <w:t>Figura 24–26. Baselines de clasificación.</w:t>
      </w:r>
    </w:p>
    <w:p>
      <w:pPr>
        <w:spacing w:before="0" w:after="100" w:line="276" w:lineRule="auto"/>
      </w:pPr>
      <w:r>
        <w:t>Estas figuras establecen el suelo metodológico. Su función no es competir con el pipeline final, sino mostrar contra qué se compara el rendimiento de los modelos más complejos.</w:t>
      </w:r>
    </w:p>
    <w:p>
      <w:pPr>
        <w:spacing w:before="0" w:after="100" w:line="276" w:lineRule="auto"/>
      </w:pPr>
      <w:r>
        <w:t>La lectura correcta es incremental: si un modelo avanzado no supera claramente estos baselines en métricas apropiadas, su complejidad no se justifica.</w:t>
      </w:r>
    </w:p>
    <w:p>
      <w:pPr>
        <w:spacing w:before="0" w:after="40" w:line="276" w:lineRule="auto"/>
        <w:jc w:val="center"/>
      </w:pPr>
      <w:r>
        <w:drawing>
          <wp:inline xmlns:a="http://schemas.openxmlformats.org/drawingml/2006/main" xmlns:pic="http://schemas.openxmlformats.org/drawingml/2006/picture">
            <wp:extent cx="5715000" cy="2421731"/>
            <wp:docPr id="3" name="Picture 3"/>
            <wp:cNvGraphicFramePr>
              <a:graphicFrameLocks noChangeAspect="1"/>
            </wp:cNvGraphicFramePr>
            <a:graphic>
              <a:graphicData uri="http://schemas.openxmlformats.org/drawingml/2006/picture">
                <pic:pic>
                  <pic:nvPicPr>
                    <pic:cNvPr id="0" name="27b_28b_m2_lifelines.png"/>
                    <pic:cNvPicPr/>
                  </pic:nvPicPr>
                  <pic:blipFill>
                    <a:blip r:embed="rId12"/>
                    <a:stretch>
                      <a:fillRect/>
                    </a:stretch>
                  </pic:blipFill>
                  <pic:spPr>
                    <a:xfrm>
                      <a:off x="0" y="0"/>
                      <a:ext cx="5715000" cy="2421731"/>
                    </a:xfrm>
                    <a:prstGeom prst="rect"/>
                  </pic:spPr>
                </pic:pic>
              </a:graphicData>
            </a:graphic>
          </wp:inline>
        </w:drawing>
      </w:r>
    </w:p>
    <w:p>
      <w:pPr>
        <w:spacing w:before="0" w:after="120" w:line="276" w:lineRule="auto"/>
        <w:jc w:val="center"/>
      </w:pPr>
      <w:r>
        <w:rPr>
          <w:i/>
          <w:color w:val="505050"/>
          <w:sz w:val="19"/>
        </w:rPr>
        <w:t>Figura 27b–28b. Baselines Cox para M2.</w:t>
      </w:r>
    </w:p>
    <w:p>
      <w:pPr>
        <w:spacing w:before="0" w:after="100" w:line="276" w:lineRule="auto"/>
      </w:pPr>
      <w:r>
        <w:t>Estas curvas y métricas muestran el desempeño mínimo razonable para los objetivos de supervivencia. También fijan la lógica de usar medidas compatibles con censura, en vez de adaptar métricas de clasificación a un problema temporal.</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Fija el suelo comparativo contra el que 07 debe demostrar valor añadido.</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