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b/>
          <w:color w:val="1F4E79"/>
          <w:sz w:val="44"/>
        </w:rPr>
        <w:t>07 — Comparación de modelos y algoritmos (patched)</w:t>
      </w:r>
    </w:p>
    <w:p>
      <w:pPr>
        <w:spacing w:before="0" w:after="280" w:line="276" w:lineRule="auto"/>
        <w:jc w:val="center"/>
      </w:pPr>
      <w:r>
        <w:rPr>
          <w:i/>
          <w:color w:val="5A5A5A"/>
          <w:sz w:val="22"/>
        </w:rPr>
        <w:t>Selección de winners con CV en train y evaluación final bloqueada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056"/>
      </w:tblGrid>
      <w:tr>
        <w:tc>
          <w:tcPr>
            <w:tcW w:type="dxa" w:w="482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type="dxa" w:w="482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t>Archivo</w:t>
            </w:r>
          </w:p>
        </w:tc>
        <w:tc>
          <w:tcPr>
            <w:tcW w:type="dxa" w:w="7056"/>
            <w:vAlign w:val="center"/>
          </w:tcPr>
          <w:p>
            <w:r>
              <w:t>src/07_notebook_models_and_algorithm_comparison.patched.py</w:t>
            </w:r>
          </w:p>
        </w:tc>
      </w:tr>
      <w:tr>
        <w:tc>
          <w:tcPr>
            <w:tcW w:type="dxa" w:w="2736"/>
            <w:vAlign w:val="center"/>
          </w:tcPr>
          <w:p>
            <w:r>
              <w:t>Rol</w:t>
            </w:r>
          </w:p>
        </w:tc>
        <w:tc>
          <w:tcPr>
            <w:tcW w:type="dxa" w:w="7056"/>
            <w:vAlign w:val="center"/>
          </w:tcPr>
          <w:p>
            <w:r>
              <w:t>Selección de winners y evaluación final bloqueada</w:t>
            </w:r>
          </w:p>
        </w:tc>
      </w:tr>
      <w:tr>
        <w:tc>
          <w:tcPr>
            <w:tcW w:type="dxa" w:w="2736"/>
            <w:vAlign w:val="center"/>
          </w:tcPr>
          <w:p>
            <w:r>
              <w:t>Entradas</w:t>
            </w:r>
          </w:p>
        </w:tc>
        <w:tc>
          <w:tcPr>
            <w:tcW w:type="dxa" w:w="7056"/>
            <w:vAlign w:val="center"/>
          </w:tcPr>
          <w:p>
            <w:r>
              <w:t>splits, features seleccionadas</w:t>
            </w:r>
          </w:p>
        </w:tc>
      </w:tr>
      <w:tr>
        <w:tc>
          <w:tcPr>
            <w:tcW w:type="dxa" w:w="2736"/>
            <w:vAlign w:val="center"/>
          </w:tcPr>
          <w:p>
            <w:r>
              <w:t>Salidas</w:t>
            </w:r>
          </w:p>
        </w:tc>
        <w:tc>
          <w:tcPr>
            <w:tcW w:type="dxa" w:w="7056"/>
            <w:vAlign w:val="center"/>
          </w:tcPr>
          <w:p>
            <w:r>
              <w:t>model_summary, feature_representation, cohort transport, repeated validation, final_test_results.csv</w:t>
            </w:r>
          </w:p>
        </w:tc>
      </w:tr>
    </w:tbl>
    <w:p/>
    <w:p>
      <w:pPr>
        <w:pStyle w:val="Heading1"/>
        <w:spacing w:before="120" w:after="80" w:line="276" w:lineRule="auto"/>
      </w:pPr>
      <w:r>
        <w:t>Objetivo y contribución dentro de la pipeline</w:t>
      </w:r>
    </w:p>
    <w:p>
      <w:pPr>
        <w:spacing w:before="0" w:after="100" w:line="276" w:lineRule="auto"/>
      </w:pPr>
      <w:r>
        <w:t>Este es el notebook central de rendimiento. Toma los datasets preparados y las listas de variables seleccionadas, compara algoritmos plausibles por tarea y fija un único winner antes de consultar el test final.</w:t>
      </w:r>
    </w:p>
    <w:p>
      <w:pPr>
        <w:spacing w:before="0" w:after="100" w:line="276" w:lineRule="auto"/>
      </w:pPr>
      <w:r>
        <w:t>La versión patched corrige el problema metodológico más serio de la rama de clasificación original: ya no se usa el test para escoger el algoritmo ganador. Esa reparación cambia la credibilidad de todos los resultados finales.</w:t>
      </w:r>
    </w:p>
    <w:p>
      <w:pPr>
        <w:pStyle w:val="Heading1"/>
        <w:spacing w:before="120" w:after="80" w:line="276" w:lineRule="auto"/>
      </w:pPr>
      <w:r>
        <w:t>Rationale metodológico</w:t>
      </w:r>
    </w:p>
    <w:p>
      <w:pPr>
        <w:spacing w:before="0" w:after="100" w:line="276" w:lineRule="auto"/>
      </w:pPr>
      <w:r>
        <w:t>La separación entre selección y evaluación final es la clave del notebook. Si la selección del algoritmo ocurre en test, el rendimiento reportado deja de ser una estimación limpia del comportamiento fuera de muestra.</w:t>
      </w:r>
    </w:p>
    <w:p>
      <w:pPr>
        <w:spacing w:before="0" w:after="100" w:line="276" w:lineRule="auto"/>
      </w:pPr>
      <w:r>
        <w:t>Además, el notebook añade análisis de estabilidad y de transportabilidad interna. Eso no sustituye la validación externa, pero sí evita que un único split quede sobreinterpretado como verdad inamovible.</w:t>
      </w:r>
    </w:p>
    <w:p>
      <w:pPr>
        <w:pStyle w:val="Heading1"/>
        <w:spacing w:before="120" w:after="80" w:line="276" w:lineRule="auto"/>
      </w:pPr>
      <w:r>
        <w:t>Estructura del código y funciones clave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4824"/>
            <w:shd w:fill="EAF2F8"/>
          </w:tcPr>
          <w:p>
            <w:r>
              <w:rPr>
                <w:b/>
              </w:rPr>
              <w:t>Bloque / función</w:t>
            </w:r>
          </w:p>
        </w:tc>
        <w:tc>
          <w:tcPr>
            <w:tcW w:type="dxa" w:w="4824"/>
            <w:shd w:fill="EAF2F8"/>
          </w:tcPr>
          <w:p>
            <w:r>
              <w:rPr>
                <w:b/>
              </w:rPr>
              <w:t>Papel en el script</w:t>
            </w:r>
          </w:p>
        </w:tc>
      </w:tr>
      <w:tr>
        <w:tc>
          <w:tcPr>
            <w:tcW w:type="dxa" w:w="3024"/>
            <w:vAlign w:val="center"/>
          </w:tcPr>
          <w:p>
            <w:r>
              <w:t>save</w:t>
            </w:r>
          </w:p>
        </w:tc>
        <w:tc>
          <w:tcPr>
            <w:tcW w:type="dxa" w:w="6768"/>
            <w:vAlign w:val="center"/>
          </w:tcPr>
          <w:p>
            <w:r>
              <w:t>Guarda la figura o artefacto generado con formato consistente.</w:t>
            </w:r>
          </w:p>
        </w:tc>
      </w:tr>
      <w:tr>
        <w:tc>
          <w:tcPr>
            <w:tcW w:type="dxa" w:w="3024"/>
            <w:vAlign w:val="center"/>
          </w:tcPr>
          <w:p>
            <w:r>
              <w:t>load_split</w:t>
            </w:r>
          </w:p>
        </w:tc>
        <w:tc>
          <w:tcPr>
            <w:tcW w:type="dxa" w:w="6768"/>
            <w:vAlign w:val="center"/>
          </w:tcPr>
          <w:p>
            <w:r>
              <w:t>Lee los splits por tarea desde outputs/splits.</w:t>
            </w:r>
          </w:p>
        </w:tc>
      </w:tr>
      <w:tr>
        <w:tc>
          <w:tcPr>
            <w:tcW w:type="dxa" w:w="3024"/>
            <w:vAlign w:val="center"/>
          </w:tcPr>
          <w:p>
            <w:r>
              <w:t>make_lr</w:t>
            </w:r>
          </w:p>
        </w:tc>
        <w:tc>
          <w:tcPr>
            <w:tcW w:type="dxa" w:w="6768"/>
            <w:vAlign w:val="center"/>
          </w:tcPr>
          <w:p>
            <w:r>
              <w:t>Función auxiliar para make lr.</w:t>
            </w:r>
          </w:p>
        </w:tc>
      </w:tr>
      <w:tr>
        <w:tc>
          <w:tcPr>
            <w:tcW w:type="dxa" w:w="3024"/>
            <w:vAlign w:val="center"/>
          </w:tcPr>
          <w:p>
            <w:r>
              <w:t>make_en</w:t>
            </w:r>
          </w:p>
        </w:tc>
        <w:tc>
          <w:tcPr>
            <w:tcW w:type="dxa" w:w="6768"/>
            <w:vAlign w:val="center"/>
          </w:tcPr>
          <w:p>
            <w:r>
              <w:t>Función auxiliar para make en.</w:t>
            </w:r>
          </w:p>
        </w:tc>
      </w:tr>
      <w:tr>
        <w:tc>
          <w:tcPr>
            <w:tcW w:type="dxa" w:w="3024"/>
            <w:vAlign w:val="center"/>
          </w:tcPr>
          <w:p>
            <w:r>
              <w:t>make_rf</w:t>
            </w:r>
          </w:p>
        </w:tc>
        <w:tc>
          <w:tcPr>
            <w:tcW w:type="dxa" w:w="6768"/>
            <w:vAlign w:val="center"/>
          </w:tcPr>
          <w:p>
            <w:r>
              <w:t>Función auxiliar para make rf.</w:t>
            </w:r>
          </w:p>
        </w:tc>
      </w:tr>
      <w:tr>
        <w:tc>
          <w:tcPr>
            <w:tcW w:type="dxa" w:w="3024"/>
            <w:vAlign w:val="center"/>
          </w:tcPr>
          <w:p>
            <w:r>
              <w:t>model_suffix</w:t>
            </w:r>
          </w:p>
        </w:tc>
        <w:tc>
          <w:tcPr>
            <w:tcW w:type="dxa" w:w="6768"/>
            <w:vAlign w:val="center"/>
          </w:tcPr>
          <w:p>
            <w:r>
              <w:t>Función auxiliar para model suffix.</w:t>
            </w:r>
          </w:p>
        </w:tc>
      </w:tr>
      <w:tr>
        <w:tc>
          <w:tcPr>
            <w:tcW w:type="dxa" w:w="3024"/>
            <w:vAlign w:val="center"/>
          </w:tcPr>
          <w:p>
            <w:r>
              <w:t>compute_metric</w:t>
            </w:r>
          </w:p>
        </w:tc>
        <w:tc>
          <w:tcPr>
            <w:tcW w:type="dxa" w:w="6768"/>
            <w:vAlign w:val="center"/>
          </w:tcPr>
          <w:p>
            <w:r>
              <w:t>Calcula metric como paso intermedio reutilizable.</w:t>
            </w:r>
          </w:p>
        </w:tc>
      </w:tr>
      <w:tr>
        <w:tc>
          <w:tcPr>
            <w:tcW w:type="dxa" w:w="3024"/>
            <w:vAlign w:val="center"/>
          </w:tcPr>
          <w:p>
            <w:r>
              <w:t>bootstrap_ci</w:t>
            </w:r>
          </w:p>
        </w:tc>
        <w:tc>
          <w:tcPr>
            <w:tcW w:type="dxa" w:w="6768"/>
            <w:vAlign w:val="center"/>
          </w:tcPr>
          <w:p>
            <w:r>
              <w:t>Función auxiliar para bootstrap ci.</w:t>
            </w:r>
          </w:p>
        </w:tc>
      </w:tr>
      <w:tr>
        <w:tc>
          <w:tcPr>
            <w:tcW w:type="dxa" w:w="3024"/>
            <w:vAlign w:val="center"/>
          </w:tcPr>
          <w:p>
            <w:r>
              <w:t>choose_cv_splits</w:t>
            </w:r>
          </w:p>
        </w:tc>
        <w:tc>
          <w:tcPr>
            <w:tcW w:type="dxa" w:w="6768"/>
            <w:vAlign w:val="center"/>
          </w:tcPr>
          <w:p>
            <w:r>
              <w:t>Función auxiliar para choose cv splits.</w:t>
            </w:r>
          </w:p>
        </w:tc>
      </w:tr>
      <w:tr>
        <w:tc>
          <w:tcPr>
            <w:tcW w:type="dxa" w:w="3024"/>
            <w:vAlign w:val="center"/>
          </w:tcPr>
          <w:p>
            <w:r>
              <w:t>cross_validate_classifier</w:t>
            </w:r>
          </w:p>
        </w:tc>
        <w:tc>
          <w:tcPr>
            <w:tcW w:type="dxa" w:w="6768"/>
            <w:vAlign w:val="center"/>
          </w:tcPr>
          <w:p>
            <w:r>
              <w:t>Función auxiliar para cross validate classifier.</w:t>
            </w:r>
          </w:p>
        </w:tc>
      </w:tr>
    </w:tbl>
    <w:p/>
    <w:p>
      <w:pPr>
        <w:pStyle w:val="Heading1"/>
        <w:spacing w:before="120" w:after="80" w:line="276" w:lineRule="auto"/>
      </w:pPr>
      <w:r>
        <w:t>Entradas, salidas y artefactos</w:t>
      </w:r>
    </w:p>
    <w:p>
      <w:pPr>
        <w:spacing w:before="0" w:after="100" w:line="276" w:lineRule="auto"/>
      </w:pPr>
      <w:r>
        <w:t>Este script se apoya en un contrato de entradas y salidas explícito. Esa disciplina es importante porque la pipeline tiene varias etapas encadenadas y un error pequeño en una ruta o en un artefacto puede propagarse a notebooks posteriores.</w:t>
      </w:r>
    </w:p>
    <w:p>
      <w:pPr>
        <w:pStyle w:val="ListBullet"/>
        <w:spacing w:before="0" w:after="0" w:line="276" w:lineRule="auto"/>
      </w:pPr>
      <w:r>
        <w:t>Archivo: src/07_notebook_models_and_algorithm_comparison.patched.py</w:t>
      </w:r>
    </w:p>
    <w:p>
      <w:pPr>
        <w:pStyle w:val="ListBullet"/>
        <w:spacing w:before="0" w:after="0" w:line="276" w:lineRule="auto"/>
      </w:pPr>
      <w:r>
        <w:t>Rol: Selección de winners y evaluación final bloqueada</w:t>
      </w:r>
    </w:p>
    <w:p>
      <w:pPr>
        <w:pStyle w:val="ListBullet"/>
        <w:spacing w:before="0" w:after="0" w:line="276" w:lineRule="auto"/>
      </w:pPr>
      <w:r>
        <w:t>Entradas: splits, features seleccionadas</w:t>
      </w:r>
    </w:p>
    <w:p>
      <w:pPr>
        <w:pStyle w:val="ListBullet"/>
        <w:spacing w:before="0" w:after="0" w:line="276" w:lineRule="auto"/>
      </w:pPr>
      <w:r>
        <w:t>Salidas: model_summary, feature_representation, cohort transport, repeated validation, final_test_results.csv</w:t>
      </w:r>
    </w:p>
    <w:p/>
    <w:p>
      <w:pPr>
        <w:pStyle w:val="Heading1"/>
        <w:spacing w:before="120" w:after="80" w:line="276" w:lineRule="auto"/>
      </w:pPr>
      <w:r>
        <w:t>Discusión de resultados y consecuencias para el resto del proyecto</w:t>
      </w:r>
    </w:p>
    <w:p>
      <w:pPr>
        <w:spacing w:before="0" w:after="100" w:line="276" w:lineRule="auto"/>
      </w:pPr>
      <w:r>
        <w:t>El cambio metodológico central de este script es que la selección del algoritmo en clasificación ocurre dentro del entrenamiento, y el test se usa una única vez al final. Esa modificación corrige el principal problema de validez interna que tenía la rama de clasificación original.</w:t>
      </w:r>
    </w:p>
    <w:p>
      <w:pPr>
        <w:spacing w:before="0" w:after="100" w:line="276" w:lineRule="auto"/>
      </w:pPr>
      <w:r>
        <w:t>Los resultados sugieren que la pipeline es más fuerte en objetivos con señal pronóstica robusta o estructura molecular bien definida que en objetivos histopatológicos ordinales. M4 sigue siendo útil, pero claramente más difícil que M1a, M2a o M3.</w:t>
      </w:r>
    </w:p>
    <w:p>
      <w:pPr>
        <w:spacing w:before="0" w:after="100" w:line="276" w:lineRule="auto"/>
      </w:pPr>
      <w:r>
        <w:t>Resumen cuantitativo de winners bloqueados.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16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Best algorithm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Test score</w:t>
            </w:r>
          </w:p>
        </w:tc>
      </w:tr>
      <w:tr>
        <w:tc>
          <w:tcPr>
            <w:tcW w:type="dxa" w:w="3168"/>
            <w:vAlign w:val="center"/>
          </w:tcPr>
          <w:p>
            <w:r>
              <w:t>M1a overall survival</w:t>
            </w:r>
          </w:p>
        </w:tc>
        <w:tc>
          <w:tcPr>
            <w:tcW w:type="dxa" w:w="1440"/>
            <w:vAlign w:val="center"/>
          </w:tcPr>
          <w:p>
            <w:r>
              <w:t>AUC-ROC</w:t>
            </w:r>
          </w:p>
        </w:tc>
        <w:tc>
          <w:tcPr>
            <w:tcW w:type="dxa" w:w="1728"/>
            <w:vAlign w:val="center"/>
          </w:tcPr>
          <w:p>
            <w:r>
              <w:t>RF</w:t>
            </w:r>
          </w:p>
        </w:tc>
        <w:tc>
          <w:tcPr>
            <w:tcW w:type="dxa" w:w="1440"/>
            <w:vAlign w:val="center"/>
          </w:tcPr>
          <w:p>
            <w:r>
              <w:t>0.766</w:t>
            </w:r>
          </w:p>
        </w:tc>
      </w:tr>
      <w:tr>
        <w:tc>
          <w:tcPr>
            <w:tcW w:type="dxa" w:w="3168"/>
            <w:vAlign w:val="center"/>
          </w:tcPr>
          <w:p>
            <w:r>
              <w:t>M1b cancer-specific survival</w:t>
            </w:r>
          </w:p>
        </w:tc>
        <w:tc>
          <w:tcPr>
            <w:tcW w:type="dxa" w:w="1440"/>
            <w:vAlign w:val="center"/>
          </w:tcPr>
          <w:p>
            <w:r>
              <w:t>AUC-ROC</w:t>
            </w:r>
          </w:p>
        </w:tc>
        <w:tc>
          <w:tcPr>
            <w:tcW w:type="dxa" w:w="1728"/>
            <w:vAlign w:val="center"/>
          </w:tcPr>
          <w:p>
            <w:r>
              <w:t>LR (L2)</w:t>
            </w:r>
          </w:p>
        </w:tc>
        <w:tc>
          <w:tcPr>
            <w:tcW w:type="dxa" w:w="1440"/>
            <w:vAlign w:val="center"/>
          </w:tcPr>
          <w:p>
            <w:r>
              <w:t>0.705</w:t>
            </w:r>
          </w:p>
        </w:tc>
      </w:tr>
      <w:tr>
        <w:tc>
          <w:tcPr>
            <w:tcW w:type="dxa" w:w="3168"/>
            <w:vAlign w:val="center"/>
          </w:tcPr>
          <w:p>
            <w:r>
              <w:t>M3 PAM50 subtype</w:t>
            </w:r>
          </w:p>
        </w:tc>
        <w:tc>
          <w:tcPr>
            <w:tcW w:type="dxa" w:w="1440"/>
            <w:vAlign w:val="center"/>
          </w:tcPr>
          <w:p>
            <w:r>
              <w:t>Macro-F1</w:t>
            </w:r>
          </w:p>
        </w:tc>
        <w:tc>
          <w:tcPr>
            <w:tcW w:type="dxa" w:w="1728"/>
            <w:vAlign w:val="center"/>
          </w:tcPr>
          <w:p>
            <w:r>
              <w:t>LR (L2)</w:t>
            </w:r>
          </w:p>
        </w:tc>
        <w:tc>
          <w:tcPr>
            <w:tcW w:type="dxa" w:w="1440"/>
            <w:vAlign w:val="center"/>
          </w:tcPr>
          <w:p>
            <w:r>
              <w:t>0.747</w:t>
            </w:r>
          </w:p>
        </w:tc>
      </w:tr>
      <w:tr>
        <w:tc>
          <w:tcPr>
            <w:tcW w:type="dxa" w:w="3168"/>
            <w:vAlign w:val="center"/>
          </w:tcPr>
          <w:p>
            <w:r>
              <w:t>M4 histologic grade</w:t>
            </w:r>
          </w:p>
        </w:tc>
        <w:tc>
          <w:tcPr>
            <w:tcW w:type="dxa" w:w="1440"/>
            <w:vAlign w:val="center"/>
          </w:tcPr>
          <w:p>
            <w:r>
              <w:t>QW-Kappa</w:t>
            </w:r>
          </w:p>
        </w:tc>
        <w:tc>
          <w:tcPr>
            <w:tcW w:type="dxa" w:w="1728"/>
            <w:vAlign w:val="center"/>
          </w:tcPr>
          <w:p>
            <w:r>
              <w:t>EN (L1+L2)</w:t>
            </w:r>
          </w:p>
        </w:tc>
        <w:tc>
          <w:tcPr>
            <w:tcW w:type="dxa" w:w="1440"/>
            <w:vAlign w:val="center"/>
          </w:tcPr>
          <w:p>
            <w:r>
              <w:t>0.527</w:t>
            </w:r>
          </w:p>
        </w:tc>
      </w:tr>
      <w:tr>
        <w:tc>
          <w:tcPr>
            <w:tcW w:type="dxa" w:w="3168"/>
            <w:vAlign w:val="center"/>
          </w:tcPr>
          <w:p>
            <w:r>
              <w:t>M2a overall survival Cox</w:t>
            </w:r>
          </w:p>
        </w:tc>
        <w:tc>
          <w:tcPr>
            <w:tcW w:type="dxa" w:w="1440"/>
            <w:vAlign w:val="center"/>
          </w:tcPr>
          <w:p>
            <w:r>
              <w:t>C-index</w:t>
            </w:r>
          </w:p>
        </w:tc>
        <w:tc>
          <w:tcPr>
            <w:tcW w:type="dxa" w:w="1728"/>
            <w:vAlign w:val="center"/>
          </w:tcPr>
          <w:p>
            <w:r>
              <w:t>CoxPH</w:t>
            </w:r>
          </w:p>
        </w:tc>
        <w:tc>
          <w:tcPr>
            <w:tcW w:type="dxa" w:w="1440"/>
            <w:vAlign w:val="center"/>
          </w:tcPr>
          <w:p>
            <w:r>
              <w:t>0.756</w:t>
            </w:r>
          </w:p>
        </w:tc>
      </w:tr>
      <w:tr>
        <w:tc>
          <w:tcPr>
            <w:tcW w:type="dxa" w:w="3168"/>
            <w:vAlign w:val="center"/>
          </w:tcPr>
          <w:p>
            <w:r>
              <w:t>M2b cancer-specific Cox</w:t>
            </w:r>
          </w:p>
        </w:tc>
        <w:tc>
          <w:tcPr>
            <w:tcW w:type="dxa" w:w="1440"/>
            <w:vAlign w:val="center"/>
          </w:tcPr>
          <w:p>
            <w:r>
              <w:t>C-index</w:t>
            </w:r>
          </w:p>
        </w:tc>
        <w:tc>
          <w:tcPr>
            <w:tcW w:type="dxa" w:w="1728"/>
            <w:vAlign w:val="center"/>
          </w:tcPr>
          <w:p>
            <w:r>
              <w:t>CoxPH</w:t>
            </w:r>
          </w:p>
        </w:tc>
        <w:tc>
          <w:tcPr>
            <w:tcW w:type="dxa" w:w="1440"/>
            <w:vAlign w:val="center"/>
          </w:tcPr>
          <w:p>
            <w:r>
              <w:t>0.724</w:t>
            </w:r>
          </w:p>
        </w:tc>
      </w:tr>
    </w:tbl>
    <w:p/>
    <w:p>
      <w:pPr>
        <w:pStyle w:val="Heading1"/>
        <w:spacing w:before="120" w:after="80" w:line="276" w:lineRule="auto"/>
      </w:pPr>
      <w:r>
        <w:t>Explicación detallada de las figuras</w:t>
      </w:r>
    </w:p>
    <w:p>
      <w:pPr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54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feature_represen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54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i/>
          <w:color w:val="505050"/>
          <w:sz w:val="19"/>
        </w:rPr>
        <w:t>Figura 29. Comparación de representaciones de features.</w:t>
      </w:r>
    </w:p>
    <w:p>
      <w:pPr>
        <w:spacing w:before="0" w:after="100" w:line="276" w:lineRule="auto"/>
      </w:pPr>
      <w:r>
        <w:t>La figura compara distintos espacios de representación (A/B/C/D) dentro de entrenamiento, no en el test final. El objetivo es decidir si una representación más rica mejora el aprendizaje sin confundir selección de modelo con evaluación definitiva.</w:t>
      </w:r>
    </w:p>
    <w:p>
      <w:pPr>
        <w:spacing w:before="0" w:after="100" w:line="276" w:lineRule="auto"/>
      </w:pPr>
      <w:r>
        <w:t>En los resultados actuales, las representaciones más amplias son especialmente útiles en M3 y M4, donde pasar de 16–17 a 30–31 variables mejora claramente Macro-F1 y QW-Kappa.</w:t>
      </w:r>
    </w:p>
    <w:p>
      <w:pPr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611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model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i/>
          <w:color w:val="505050"/>
          <w:sz w:val="19"/>
        </w:rPr>
        <w:t>Figura 30. Resumen final de modelos bloqueados.</w:t>
      </w:r>
    </w:p>
    <w:p>
      <w:pPr>
        <w:spacing w:before="0" w:after="100" w:line="276" w:lineRule="auto"/>
      </w:pPr>
      <w:r>
        <w:t>Esta es la figura central de rendimiento. Los mejores modelos finales son: M1a RF con AUC-ROC 0.766; M1b LR(L2) con AUC-ROC 0.705; M2a CoxPH con C-index 0.756; M2b CoxPH con C-index 0.724; M3 LR(L2) con Macro-F1 0.747; y M4 elastic net con QW-Kappa 0.527.</w:t>
      </w:r>
    </w:p>
    <w:p>
      <w:pPr>
        <w:spacing w:before="0" w:after="100" w:line="276" w:lineRule="auto"/>
      </w:pPr>
      <w:r>
        <w:t>La discusión correcta es comparativa, no triunfalista. El pipeline rinde mejor en supervivencia global y subtipo que en grade, y el desempeño de M1b es útil para estratificación pero no suficiente para reclamar precisión clínica individual.</w:t>
      </w:r>
    </w:p>
    <w:p>
      <w:pPr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422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cohort_transport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22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i/>
          <w:color w:val="505050"/>
          <w:sz w:val="19"/>
        </w:rPr>
        <w:t>Figura 31. Sensibilidad por cohorte.</w:t>
      </w:r>
    </w:p>
    <w:p>
      <w:pPr>
        <w:spacing w:before="0" w:after="100" w:line="276" w:lineRule="auto"/>
      </w:pPr>
      <w:r>
        <w:t>La figura evalúa transportabilidad interna dejando una cohorte fuera cada vez. Es una comprobación importante porque la cohorte ya había mostrado estructura propia en notebook 01.</w:t>
      </w:r>
    </w:p>
    <w:p>
      <w:pPr>
        <w:spacing w:before="0" w:after="100" w:line="276" w:lineRule="auto"/>
      </w:pPr>
      <w:r>
        <w:t>Los resultados muestran heterogeneidad real. Por ejemplo, M1b sube hasta ~0.83 en cohorte 4 pero baja a ~0.70 en cohortes 1 y 3; M4 es especialmente variable, con ~0.35 en cohorte 3 frente a &gt;0.54 en cohortes 2 y 4. Esto refuerza la necesidad de interpretar el pipeline como internamente validado, no externamente probado.</w:t>
      </w:r>
    </w:p>
    <w:p>
      <w:pPr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375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repeated_outer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7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i/>
          <w:color w:val="505050"/>
          <w:sz w:val="19"/>
        </w:rPr>
        <w:t>Figura 32. Repeated outer validation.</w:t>
      </w:r>
    </w:p>
    <w:p>
      <w:pPr>
        <w:spacing w:before="0" w:after="100" w:line="276" w:lineRule="auto"/>
      </w:pPr>
      <w:r>
        <w:t>La figura resume estabilidad frente a particiones repetidas. Para M1b, la media aproximada es 0.736 ± 0.027; para M1a, 0.764 ± 0.026.</w:t>
      </w:r>
    </w:p>
    <w:p>
      <w:pPr>
        <w:spacing w:before="0" w:after="100" w:line="276" w:lineRule="auto"/>
      </w:pPr>
      <w:r>
        <w:t>La rationale de este panel es importante: el test bloqueado da una estimación final, pero la repetición externa dentro de train ofrece contexto sobre sensibilidad a la partición.</w:t>
      </w:r>
    </w:p>
    <w:p>
      <w:pPr>
        <w:pStyle w:val="Heading1"/>
        <w:spacing w:before="120" w:after="80" w:line="276" w:lineRule="auto"/>
      </w:pPr>
      <w:r>
        <w:t>Limitaciones y precauciones de lectura</w:t>
      </w:r>
    </w:p>
    <w:p>
      <w:pPr>
        <w:spacing w:before="0" w:after="100" w:line="276" w:lineRule="auto"/>
      </w:pPr>
      <w:r>
        <w:t>El hecho de que el script produzca artefactos coherentes no implica automáticamente validez externa. Muchas comprobaciones son internas a la cohorte analizada.</w:t>
      </w:r>
    </w:p>
    <w:p>
      <w:pPr>
        <w:spacing w:before="0" w:after="100" w:line="276" w:lineRule="auto"/>
      </w:pPr>
      <w:r>
        <w:t>Las cifras y gráficos deben leerse dentro de la lógica completa de la pipeline. Ningún notebook aislado basta para sostener por sí solo todas las afirmaciones del proyecto.</w:t>
      </w:r>
    </w:p>
    <w:p>
      <w:pPr>
        <w:spacing w:before="0" w:after="100" w:line="276" w:lineRule="auto"/>
      </w:pPr>
      <w:r>
        <w:t>Repeated outer validation y leave-one-cohort-out aportan contexto sobre estabilidad, pero no sustituyen validación externa en cohortes independientes.</w:t>
      </w:r>
    </w:p>
    <w:p>
      <w:pPr>
        <w:pStyle w:val="Heading1"/>
        <w:spacing w:before="120" w:after="80" w:line="276" w:lineRule="auto"/>
      </w:pPr>
      <w:r>
        <w:t>Conexión con el resto de la pipeline</w:t>
      </w:r>
    </w:p>
    <w:p>
      <w:pPr>
        <w:spacing w:before="0" w:after="100" w:line="276" w:lineRule="auto"/>
      </w:pPr>
      <w:r>
        <w:t>Entrega winners y artefactos finales que consumen 07b, 08, 09, 10 y 11.</w:t>
      </w:r>
    </w:p>
    <w:sectPr w:rsidR="00FC693F" w:rsidRPr="0006063C" w:rsidSect="00034616">
      <w:footerReference w:type="default" r:id="rId9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