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07b — Resumen de winners</w:t>
      </w:r>
    </w:p>
    <w:p>
      <w:pPr>
        <w:spacing w:before="0" w:after="280" w:line="276" w:lineRule="auto"/>
        <w:jc w:val="center"/>
      </w:pPr>
      <w:r>
        <w:rPr>
          <w:i/>
          <w:color w:val="5A5A5A"/>
          <w:sz w:val="22"/>
        </w:rPr>
        <w:t>Síntesis visual del estado final de la comparación de modelos</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src/07_notebook_models_and_algorithm_comparison.patched.py</w:t>
            </w:r>
          </w:p>
        </w:tc>
      </w:tr>
      <w:tr>
        <w:tc>
          <w:tcPr>
            <w:tcW w:type="dxa" w:w="2736"/>
            <w:vAlign w:val="center"/>
          </w:tcPr>
          <w:p>
            <w:r>
              <w:t>Rol</w:t>
            </w:r>
          </w:p>
        </w:tc>
        <w:tc>
          <w:tcPr>
            <w:tcW w:type="dxa" w:w="7056"/>
            <w:vAlign w:val="center"/>
          </w:tcPr>
          <w:p>
            <w:r>
              <w:t>Selección de winners y evaluación final bloqueada</w:t>
            </w:r>
          </w:p>
        </w:tc>
      </w:tr>
      <w:tr>
        <w:tc>
          <w:tcPr>
            <w:tcW w:type="dxa" w:w="2736"/>
            <w:vAlign w:val="center"/>
          </w:tcPr>
          <w:p>
            <w:r>
              <w:t>Entradas</w:t>
            </w:r>
          </w:p>
        </w:tc>
        <w:tc>
          <w:tcPr>
            <w:tcW w:type="dxa" w:w="7056"/>
            <w:vAlign w:val="center"/>
          </w:tcPr>
          <w:p>
            <w:r>
              <w:t>splits, features seleccionadas</w:t>
            </w:r>
          </w:p>
        </w:tc>
      </w:tr>
      <w:tr>
        <w:tc>
          <w:tcPr>
            <w:tcW w:type="dxa" w:w="2736"/>
            <w:vAlign w:val="center"/>
          </w:tcPr>
          <w:p>
            <w:r>
              <w:t>Salidas</w:t>
            </w:r>
          </w:p>
        </w:tc>
        <w:tc>
          <w:tcPr>
            <w:tcW w:type="dxa" w:w="7056"/>
            <w:vAlign w:val="center"/>
          </w:tcPr>
          <w:p>
            <w:r>
              <w:t>model_summary, feature_representation, cohort transport, repeated validation, final_test_results.csv</w:t>
            </w:r>
          </w:p>
        </w:tc>
      </w:tr>
    </w:tbl>
    <w:p/>
    <w:p>
      <w:pPr>
        <w:pStyle w:val="Heading1"/>
        <w:spacing w:before="120" w:after="80" w:line="276" w:lineRule="auto"/>
      </w:pPr>
      <w:r>
        <w:t>Objetivo y contribución dentro de la pipeline</w:t>
      </w:r>
    </w:p>
    <w:p>
      <w:pPr>
        <w:spacing w:before="0" w:after="100" w:line="276" w:lineRule="auto"/>
      </w:pPr>
      <w:r>
        <w:t>Este script resume los winners bloqueados de notebook 07 en una sola figura. Su propósito es comunicativo, pero es un artefacto importante porque fija de forma visible qué modelo se asume como final para cada tarea.</w:t>
      </w:r>
    </w:p>
    <w:p>
      <w:pPr>
        <w:spacing w:before="0" w:after="100" w:line="276" w:lineRule="auto"/>
      </w:pPr>
      <w:r>
        <w:t>La versión patched lee directamente final_test_results.csv, lo que evita la tentación de reintroducir inferencias desde cv_results.csv.</w:t>
      </w:r>
    </w:p>
    <w:p>
      <w:pPr>
        <w:pStyle w:val="Heading1"/>
        <w:spacing w:before="120" w:after="80" w:line="276" w:lineRule="auto"/>
      </w:pPr>
      <w:r>
        <w:t>Rationale metodológico</w:t>
      </w:r>
    </w:p>
    <w:p>
      <w:pPr>
        <w:spacing w:before="0" w:after="100" w:line="276" w:lineRule="auto"/>
      </w:pPr>
      <w:r>
        <w:t>Un repositorio profesional necesita una salida de síntesis que no obligue a recorrer varias carpetas para saber cuál es el estado final del sistema. Esa es la función de 07b.</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read_final_row</w:t>
            </w:r>
          </w:p>
        </w:tc>
        <w:tc>
          <w:tcPr>
            <w:tcW w:type="dxa" w:w="6768"/>
            <w:vAlign w:val="center"/>
          </w:tcPr>
          <w:p>
            <w:r>
              <w:t>Función auxiliar para read final row.</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src/07_notebook_models_and_algorithm_comparison.patched.py</w:t>
      </w:r>
    </w:p>
    <w:p>
      <w:pPr>
        <w:pStyle w:val="ListBullet"/>
        <w:spacing w:before="0" w:after="0" w:line="276" w:lineRule="auto"/>
      </w:pPr>
      <w:r>
        <w:t>Rol: Selección de winners y evaluación final bloqueada</w:t>
      </w:r>
    </w:p>
    <w:p>
      <w:pPr>
        <w:pStyle w:val="ListBullet"/>
        <w:spacing w:before="0" w:after="0" w:line="276" w:lineRule="auto"/>
      </w:pPr>
      <w:r>
        <w:t>Entradas: splits, features seleccionadas</w:t>
      </w:r>
    </w:p>
    <w:p>
      <w:pPr>
        <w:pStyle w:val="ListBullet"/>
        <w:spacing w:before="0" w:after="0" w:line="276" w:lineRule="auto"/>
      </w:pPr>
      <w:r>
        <w:t>Salidas: model_summary, feature_representation, cohort transport, repeated validation, final_test_results.csv</w:t>
      </w:r>
    </w:p>
    <w:p/>
    <w:p>
      <w:pPr>
        <w:pStyle w:val="Heading1"/>
        <w:spacing w:before="120" w:after="80" w:line="276" w:lineRule="auto"/>
      </w:pPr>
      <w:r>
        <w:t>Discusión de resultados y consecuencias para el resto del proyecto</w:t>
      </w:r>
    </w:p>
    <w:p>
      <w:pPr>
        <w:spacing w:before="0" w:after="100" w:line="276" w:lineRule="auto"/>
      </w:pPr>
      <w:r>
        <w:t>Los winners actuales son RF para M1a, LR(L2) para M1b y M3, elastic net para M4 y CoxPH para M2a/M2b. La figura compacta esta información sin alterar su procedencia.</w:t>
      </w:r>
    </w:p>
    <w:p>
      <w:pPr>
        <w:pStyle w:val="Heading1"/>
        <w:spacing w:before="120" w:after="80" w:line="276" w:lineRule="auto"/>
      </w:pPr>
      <w:r>
        <w:t>Explicación detallada de las figuras</w:t>
      </w:r>
    </w:p>
    <w:p>
      <w:pPr>
        <w:spacing w:before="0" w:after="40" w:line="276" w:lineRule="auto"/>
        <w:jc w:val="center"/>
      </w:pPr>
      <w:r>
        <w:drawing>
          <wp:inline xmlns:a="http://schemas.openxmlformats.org/drawingml/2006/main" xmlns:pic="http://schemas.openxmlformats.org/drawingml/2006/picture">
            <wp:extent cx="5715000" cy="3107531"/>
            <wp:docPr id="1" name="Picture 1"/>
            <wp:cNvGraphicFramePr>
              <a:graphicFrameLocks noChangeAspect="1"/>
            </wp:cNvGraphicFramePr>
            <a:graphic>
              <a:graphicData uri="http://schemas.openxmlformats.org/drawingml/2006/picture">
                <pic:pic>
                  <pic:nvPicPr>
                    <pic:cNvPr id="0" name="47_model_winners_summary.png"/>
                    <pic:cNvPicPr/>
                  </pic:nvPicPr>
                  <pic:blipFill>
                    <a:blip r:embed="rId10"/>
                    <a:stretch>
                      <a:fillRect/>
                    </a:stretch>
                  </pic:blipFill>
                  <pic:spPr>
                    <a:xfrm>
                      <a:off x="0" y="0"/>
                      <a:ext cx="5715000" cy="3107531"/>
                    </a:xfrm>
                    <a:prstGeom prst="rect"/>
                  </pic:spPr>
                </pic:pic>
              </a:graphicData>
            </a:graphic>
          </wp:inline>
        </w:drawing>
      </w:r>
    </w:p>
    <w:p>
      <w:pPr>
        <w:spacing w:before="0" w:after="120" w:line="276" w:lineRule="auto"/>
        <w:jc w:val="center"/>
      </w:pPr>
      <w:r>
        <w:rPr>
          <w:i/>
          <w:color w:val="505050"/>
          <w:sz w:val="19"/>
        </w:rPr>
        <w:t>Figura 47. Resumen ejecutivo de winners.</w:t>
      </w:r>
    </w:p>
    <w:p>
      <w:pPr>
        <w:spacing w:before="0" w:after="100" w:line="276" w:lineRule="auto"/>
      </w:pPr>
      <w:r>
        <w:t>La figura compacta la información central del notebook 07 en una salida visual más legible para discusión final. Su valor no es metodológico nuevo, sino de síntesis: comunica de un vistazo qué modelo ganó cada tarea y con qué métrica.</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Entrega winners y artefactos finales que consumen 07b, 08, 09, 10 y 11.</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