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1F4E79"/>
          <w:sz w:val="44"/>
        </w:rPr>
        <w:t>08 — Importancia por permutación</w:t>
      </w:r>
    </w:p>
    <w:p>
      <w:pPr>
        <w:spacing w:before="0" w:after="280" w:line="276" w:lineRule="auto"/>
        <w:jc w:val="center"/>
      </w:pPr>
      <w:r>
        <w:rPr>
          <w:i/>
          <w:color w:val="5A5A5A"/>
          <w:sz w:val="22"/>
        </w:rPr>
        <w:t>Cálculo previo de importancias sobre los modelos ganadores</w:t>
      </w:r>
    </w:p>
    <w:tbl>
      <w:tblPr>
        <w:tblW w:type="auto" w:w="0"/>
        <w:jc w:val="center"/>
        <w:tblLayout w:type="fixed"/>
        <w:tblLook w:firstColumn="1" w:firstRow="1" w:lastColumn="0" w:lastRow="0" w:noHBand="0" w:noVBand="1" w:val="04A0"/>
      </w:tblPr>
      <w:tblGrid>
        <w:gridCol w:w="2736"/>
        <w:gridCol w:w="7056"/>
      </w:tblGrid>
      <w:tr>
        <w:tc>
          <w:tcPr>
            <w:tcW w:type="dxa" w:w="4824"/>
            <w:shd w:fill="D9EAF7"/>
            <w:vAlign w:val="center"/>
          </w:tcPr>
          <w:p>
            <w:pPr>
              <w:jc w:val="center"/>
            </w:pPr>
            <w:r>
              <w:rPr>
                <w:b/>
              </w:rPr>
              <w:t>Campo</w:t>
            </w:r>
          </w:p>
        </w:tc>
        <w:tc>
          <w:tcPr>
            <w:tcW w:type="dxa" w:w="4824"/>
            <w:shd w:fill="D9EAF7"/>
            <w:vAlign w:val="center"/>
          </w:tcPr>
          <w:p>
            <w:pPr>
              <w:jc w:val="center"/>
            </w:pPr>
            <w:r>
              <w:rPr>
                <w:b/>
              </w:rPr>
              <w:t>Descripción</w:t>
            </w:r>
          </w:p>
        </w:tc>
      </w:tr>
      <w:tr>
        <w:tc>
          <w:tcPr>
            <w:tcW w:type="dxa" w:w="2736"/>
            <w:vAlign w:val="center"/>
          </w:tcPr>
          <w:p>
            <w:r>
              <w:t>Archivo</w:t>
            </w:r>
          </w:p>
        </w:tc>
        <w:tc>
          <w:tcPr>
            <w:tcW w:type="dxa" w:w="7056"/>
            <w:vAlign w:val="center"/>
          </w:tcPr>
          <w:p>
            <w:r>
              <w:t>src/08_precompute_permutation_importance.patched.py</w:t>
            </w:r>
          </w:p>
        </w:tc>
      </w:tr>
      <w:tr>
        <w:tc>
          <w:tcPr>
            <w:tcW w:type="dxa" w:w="2736"/>
            <w:vAlign w:val="center"/>
          </w:tcPr>
          <w:p>
            <w:r>
              <w:t>Rol</w:t>
            </w:r>
          </w:p>
        </w:tc>
        <w:tc>
          <w:tcPr>
            <w:tcW w:type="dxa" w:w="7056"/>
            <w:vAlign w:val="center"/>
          </w:tcPr>
          <w:p>
            <w:r>
              <w:t>Importancia por permutación para modelos finales</w:t>
            </w:r>
          </w:p>
        </w:tc>
      </w:tr>
      <w:tr>
        <w:tc>
          <w:tcPr>
            <w:tcW w:type="dxa" w:w="2736"/>
            <w:vAlign w:val="center"/>
          </w:tcPr>
          <w:p>
            <w:r>
              <w:t>Entradas</w:t>
            </w:r>
          </w:p>
        </w:tc>
        <w:tc>
          <w:tcPr>
            <w:tcW w:type="dxa" w:w="7056"/>
            <w:vAlign w:val="center"/>
          </w:tcPr>
          <w:p>
            <w:r>
              <w:t>modelos bloqueados y splits</w:t>
            </w:r>
          </w:p>
        </w:tc>
      </w:tr>
      <w:tr>
        <w:tc>
          <w:tcPr>
            <w:tcW w:type="dxa" w:w="2736"/>
            <w:vAlign w:val="center"/>
          </w:tcPr>
          <w:p>
            <w:r>
              <w:t>Salidas</w:t>
            </w:r>
          </w:p>
        </w:tc>
        <w:tc>
          <w:tcPr>
            <w:tcW w:type="dxa" w:w="7056"/>
            <w:vAlign w:val="center"/>
          </w:tcPr>
          <w:p>
            <w:r>
              <w:t>CSV de importancia por modelo</w:t>
            </w:r>
          </w:p>
        </w:tc>
      </w:tr>
    </w:tbl>
    <w:p/>
    <w:p>
      <w:pPr>
        <w:pStyle w:val="Heading1"/>
        <w:spacing w:before="120" w:after="80" w:line="276" w:lineRule="auto"/>
      </w:pPr>
      <w:r>
        <w:t>Objetivo y contribución dentro de la pipeline</w:t>
      </w:r>
    </w:p>
    <w:p>
      <w:pPr>
        <w:spacing w:before="0" w:after="100" w:line="276" w:lineRule="auto"/>
      </w:pPr>
      <w:r>
        <w:t>Este script no genera el gráfico final; prepara el material que notebook 09 consumirá después. Su papel es desacoplar el cálculo de importancia por permutación de la visualización y mantener los artefactos interpretativos como objetos reutilizables.</w:t>
      </w:r>
    </w:p>
    <w:p>
      <w:pPr>
        <w:spacing w:before="0" w:after="100" w:line="276" w:lineRule="auto"/>
      </w:pPr>
      <w:r>
        <w:t>La versión patched amplía compatibilidad con el winner lineal o elastic net cuando ese modelo resulta ser el final bloqueado.</w:t>
      </w:r>
    </w:p>
    <w:p>
      <w:pPr>
        <w:pStyle w:val="Heading1"/>
        <w:spacing w:before="120" w:after="80" w:line="276" w:lineRule="auto"/>
      </w:pPr>
      <w:r>
        <w:t>Rationale metodológico</w:t>
      </w:r>
    </w:p>
    <w:p>
      <w:pPr>
        <w:spacing w:before="0" w:after="100" w:line="276" w:lineRule="auto"/>
      </w:pPr>
      <w:r>
        <w:t>Separar cálculo y presentación es una buena decisión de ingeniería. Hace que la interpretación posterior sea más barata, más auditable y más fácil de recalcular si cambia un modelo concreto.</w:t>
      </w:r>
    </w:p>
    <w:p>
      <w:pPr>
        <w:pStyle w:val="Heading1"/>
        <w:spacing w:before="120" w:after="80" w:line="276" w:lineRule="auto"/>
      </w:pPr>
      <w:r>
        <w:t>Estructura del código y funciones clave</w:t>
      </w:r>
    </w:p>
    <w:tbl>
      <w:tblPr>
        <w:tblW w:type="auto" w:w="0"/>
        <w:jc w:val="center"/>
        <w:tblLayout w:type="fixed"/>
        <w:tblLook w:firstColumn="1" w:firstRow="1" w:lastColumn="0" w:lastRow="0" w:noHBand="0" w:noVBand="1" w:val="04A0"/>
      </w:tblPr>
      <w:tblGrid>
        <w:gridCol w:w="3024"/>
        <w:gridCol w:w="6768"/>
      </w:tblGrid>
      <w:tr>
        <w:tc>
          <w:tcPr>
            <w:tcW w:type="dxa" w:w="4824"/>
            <w:shd w:fill="EAF2F8"/>
          </w:tcPr>
          <w:p>
            <w:r>
              <w:rPr>
                <w:b/>
              </w:rPr>
              <w:t>Bloque / función</w:t>
            </w:r>
          </w:p>
        </w:tc>
        <w:tc>
          <w:tcPr>
            <w:tcW w:type="dxa" w:w="4824"/>
            <w:shd w:fill="EAF2F8"/>
          </w:tcPr>
          <w:p>
            <w:r>
              <w:rPr>
                <w:b/>
              </w:rPr>
              <w:t>Papel en el script</w:t>
            </w:r>
          </w:p>
        </w:tc>
      </w:tr>
      <w:tr>
        <w:tc>
          <w:tcPr>
            <w:tcW w:type="dxa" w:w="3024"/>
            <w:vAlign w:val="center"/>
          </w:tcPr>
          <w:p>
            <w:r>
              <w:t>model_suffix</w:t>
            </w:r>
          </w:p>
        </w:tc>
        <w:tc>
          <w:tcPr>
            <w:tcW w:type="dxa" w:w="6768"/>
            <w:vAlign w:val="center"/>
          </w:tcPr>
          <w:p>
            <w:r>
              <w:t>Función auxiliar para model suffix.</w:t>
            </w:r>
          </w:p>
        </w:tc>
      </w:tr>
      <w:tr>
        <w:tc>
          <w:tcPr>
            <w:tcW w:type="dxa" w:w="3024"/>
            <w:vAlign w:val="center"/>
          </w:tcPr>
          <w:p>
            <w:r>
              <w:t>resolve_model_path</w:t>
            </w:r>
          </w:p>
        </w:tc>
        <w:tc>
          <w:tcPr>
            <w:tcW w:type="dxa" w:w="6768"/>
            <w:vAlign w:val="center"/>
          </w:tcPr>
          <w:p>
            <w:r>
              <w:t>Resuelve la dependencia o metadato 'model path' a partir de artefactos previos.</w:t>
            </w:r>
          </w:p>
        </w:tc>
      </w:tr>
      <w:tr>
        <w:tc>
          <w:tcPr>
            <w:tcW w:type="dxa" w:w="3024"/>
            <w:vAlign w:val="center"/>
          </w:tcPr>
          <w:p>
            <w:r>
              <w:t>main</w:t>
            </w:r>
          </w:p>
        </w:tc>
        <w:tc>
          <w:tcPr>
            <w:tcW w:type="dxa" w:w="6768"/>
            <w:vAlign w:val="center"/>
          </w:tcPr>
          <w:p>
            <w:r>
              <w:t>Orquesta la ejecución completa del script.</w:t>
            </w:r>
          </w:p>
        </w:tc>
      </w:tr>
    </w:tbl>
    <w:p/>
    <w:p>
      <w:pPr>
        <w:pStyle w:val="Heading1"/>
        <w:spacing w:before="120" w:after="80" w:line="276" w:lineRule="auto"/>
      </w:pPr>
      <w:r>
        <w:t>Entradas, salidas y artefactos</w:t>
      </w:r>
    </w:p>
    <w:p>
      <w:pPr>
        <w:spacing w:before="0" w:after="100" w:line="276" w:lineRule="auto"/>
      </w:pPr>
      <w:r>
        <w:t>Este script se apoya en un contrato de entradas y salidas explícito. Esa disciplina es importante porque la pipeline tiene varias etapas encadenadas y un error pequeño en una ruta o en un artefacto puede propagarse a notebooks posteriores.</w:t>
      </w:r>
    </w:p>
    <w:p>
      <w:pPr>
        <w:pStyle w:val="ListBullet"/>
        <w:spacing w:before="0" w:after="0" w:line="276" w:lineRule="auto"/>
      </w:pPr>
      <w:r>
        <w:t>Archivo: src/08_precompute_permutation_importance.patched.py</w:t>
      </w:r>
    </w:p>
    <w:p>
      <w:pPr>
        <w:pStyle w:val="ListBullet"/>
        <w:spacing w:before="0" w:after="0" w:line="276" w:lineRule="auto"/>
      </w:pPr>
      <w:r>
        <w:t>Rol: Importancia por permutación para modelos finales</w:t>
      </w:r>
    </w:p>
    <w:p>
      <w:pPr>
        <w:pStyle w:val="ListBullet"/>
        <w:spacing w:before="0" w:after="0" w:line="276" w:lineRule="auto"/>
      </w:pPr>
      <w:r>
        <w:t>Entradas: modelos bloqueados y splits</w:t>
      </w:r>
    </w:p>
    <w:p>
      <w:pPr>
        <w:pStyle w:val="ListBullet"/>
        <w:spacing w:before="0" w:after="0" w:line="276" w:lineRule="auto"/>
      </w:pPr>
      <w:r>
        <w:t>Salidas: CSV de importancia por modelo</w:t>
      </w:r>
    </w:p>
    <w:p/>
    <w:p>
      <w:pPr>
        <w:pStyle w:val="Heading1"/>
        <w:spacing w:before="120" w:after="80" w:line="276" w:lineRule="auto"/>
      </w:pPr>
      <w:r>
        <w:t>Discusión de resultados y consecuencias para el resto del proyecto</w:t>
      </w:r>
    </w:p>
    <w:p>
      <w:pPr>
        <w:spacing w:before="0" w:after="100" w:line="276" w:lineRule="auto"/>
      </w:pPr>
      <w:r>
        <w:t>La salida principal son CSVs de permutation importance por tarea. Sobre ellos se construyen las visualizaciones de importancia global del notebook 09.</w:t>
      </w:r>
    </w:p>
    <w:p>
      <w:pPr>
        <w:pStyle w:val="Heading1"/>
        <w:spacing w:before="120" w:after="80" w:line="276" w:lineRule="auto"/>
      </w:pPr>
      <w:r>
        <w:t>Lectura crítica del script</w:t>
      </w:r>
    </w:p>
    <w:p>
      <w:pPr>
        <w:spacing w:before="0" w:after="100" w:line="276" w:lineRule="auto"/>
      </w:pPr>
      <w:r>
        <w:t>Aunque este script no se apoya en una figura específica embebida en el documento, su papel es estructural dentro de la pipeline. Por eso la evaluación relevante aquí no es visual sino procedimental: si sus artefactos son correctos, las etapas siguientes se vuelven posibles; si son defectuosos, toda la cadena se contamina.</w:t>
      </w:r>
    </w:p>
    <w:p>
      <w:pPr>
        <w:pStyle w:val="Heading1"/>
        <w:spacing w:before="120" w:after="80" w:line="276" w:lineRule="auto"/>
      </w:pPr>
      <w:r>
        <w:t>Limitaciones y precauciones de lectura</w:t>
      </w:r>
    </w:p>
    <w:p>
      <w:pPr>
        <w:spacing w:before="0" w:after="100" w:line="276" w:lineRule="auto"/>
      </w:pPr>
      <w:r>
        <w:t>El hecho de que el script produzca artefactos coherentes no implica automáticamente validez externa. Muchas comprobaciones son internas a la cohorte analizada.</w:t>
      </w:r>
    </w:p>
    <w:p>
      <w:pPr>
        <w:spacing w:before="0" w:after="100" w:line="276" w:lineRule="auto"/>
      </w:pPr>
      <w:r>
        <w:t>Las cifras y gráficos deben leerse dentro de la lógica completa de la pipeline. Ningún notebook aislado basta para sostener por sí solo todas las afirmaciones del proyecto.</w:t>
      </w:r>
    </w:p>
    <w:p>
      <w:pPr>
        <w:pStyle w:val="Heading1"/>
        <w:spacing w:before="120" w:after="80" w:line="276" w:lineRule="auto"/>
      </w:pPr>
      <w:r>
        <w:t>Conexión con el resto de la pipeline</w:t>
      </w:r>
    </w:p>
    <w:p>
      <w:pPr>
        <w:spacing w:before="0" w:after="100" w:line="276" w:lineRule="auto"/>
      </w:pPr>
      <w:r>
        <w:t>Prepara el material cuantitativo que 09 transforma en interpretación.</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