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76" w:lineRule="auto"/>
        <w:jc w:val="center"/>
      </w:pPr>
      <w:r>
        <w:rPr>
          <w:b/>
          <w:color w:val="1F4E79"/>
          <w:sz w:val="44"/>
        </w:rPr>
        <w:t>09 — Interpretación de modelos</w:t>
      </w:r>
    </w:p>
    <w:p>
      <w:pPr>
        <w:spacing w:before="0" w:after="280" w:line="276" w:lineRule="auto"/>
        <w:jc w:val="center"/>
      </w:pPr>
      <w:r>
        <w:rPr>
          <w:i/>
          <w:color w:val="5A5A5A"/>
          <w:sz w:val="22"/>
        </w:rPr>
        <w:t>Importancia global y lectura lineal de los winners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7056"/>
      </w:tblGrid>
      <w:tr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  <w:vAlign w:val="center"/>
          </w:tcPr>
          <w:p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2736"/>
            <w:vAlign w:val="center"/>
          </w:tcPr>
          <w:p>
            <w:r>
              <w:t>Archivo</w:t>
            </w:r>
          </w:p>
        </w:tc>
        <w:tc>
          <w:tcPr>
            <w:tcW w:type="dxa" w:w="7056"/>
            <w:vAlign w:val="center"/>
          </w:tcPr>
          <w:p>
            <w:r>
              <w:t>src/09_notebook_model_interpretation.patched.py</w:t>
            </w:r>
          </w:p>
        </w:tc>
      </w:tr>
      <w:tr>
        <w:tc>
          <w:tcPr>
            <w:tcW w:type="dxa" w:w="2736"/>
            <w:vAlign w:val="center"/>
          </w:tcPr>
          <w:p>
            <w:r>
              <w:t>Rol</w:t>
            </w:r>
          </w:p>
        </w:tc>
        <w:tc>
          <w:tcPr>
            <w:tcW w:type="dxa" w:w="7056"/>
            <w:vAlign w:val="center"/>
          </w:tcPr>
          <w:p>
            <w:r>
              <w:t>Interpretación global y lineal de los modelos finales</w:t>
            </w:r>
          </w:p>
        </w:tc>
      </w:tr>
      <w:tr>
        <w:tc>
          <w:tcPr>
            <w:tcW w:type="dxa" w:w="2736"/>
            <w:vAlign w:val="center"/>
          </w:tcPr>
          <w:p>
            <w:r>
              <w:t>Entradas</w:t>
            </w:r>
          </w:p>
        </w:tc>
        <w:tc>
          <w:tcPr>
            <w:tcW w:type="dxa" w:w="7056"/>
            <w:vAlign w:val="center"/>
          </w:tcPr>
          <w:p>
            <w:r>
              <w:t>Permutation importance y modelos lineales winners</w:t>
            </w:r>
          </w:p>
        </w:tc>
      </w:tr>
      <w:tr>
        <w:tc>
          <w:tcPr>
            <w:tcW w:type="dxa" w:w="2736"/>
            <w:vAlign w:val="center"/>
          </w:tcPr>
          <w:p>
            <w:r>
              <w:t>Salidas</w:t>
            </w:r>
          </w:p>
        </w:tc>
        <w:tc>
          <w:tcPr>
            <w:tcW w:type="dxa" w:w="7056"/>
            <w:vAlign w:val="center"/>
          </w:tcPr>
          <w:p>
            <w:r>
              <w:t>35_global_importance.png y 36_linear_coefficients.png</w:t>
            </w:r>
          </w:p>
        </w:tc>
      </w:tr>
    </w:tbl>
    <w:p/>
    <w:p>
      <w:pPr>
        <w:pStyle w:val="Heading1"/>
        <w:spacing w:before="120" w:after="80" w:line="276" w:lineRule="auto"/>
      </w:pPr>
      <w:r>
        <w:t>Objetivo y contribución dentro de la pipeline</w:t>
      </w:r>
    </w:p>
    <w:p>
      <w:pPr>
        <w:spacing w:before="0" w:after="100" w:line="276" w:lineRule="auto"/>
      </w:pPr>
      <w:r>
        <w:t>Este notebook convierte los winners bloqueados en una narrativa de interpretación. Su objetivo no es volver a evaluar rendimiento, sino explicar de forma razonable qué variables sostienen las predicciones.</w:t>
      </w:r>
    </w:p>
    <w:p>
      <w:pPr>
        <w:spacing w:before="0" w:after="100" w:line="276" w:lineRule="auto"/>
      </w:pPr>
      <w:r>
        <w:t>La versión patched mejora la resolución del panel lineal para que, cuando el winner sea elastic net y no una logística simple, la figura siga siendo fiel al modelo realmente usado.</w:t>
      </w:r>
    </w:p>
    <w:p>
      <w:pPr>
        <w:pStyle w:val="Heading1"/>
        <w:spacing w:before="120" w:after="80" w:line="276" w:lineRule="auto"/>
      </w:pPr>
      <w:r>
        <w:t>Rationale metodológico</w:t>
      </w:r>
    </w:p>
    <w:p>
      <w:pPr>
        <w:spacing w:before="0" w:after="100" w:line="276" w:lineRule="auto"/>
      </w:pPr>
      <w:r>
        <w:t>La interpretación se divide en dos niveles complementarios. La importancia por permutación ofrece una lectura agnóstica al algoritmo sobre impacto global en el rendimiento; los coeficientes lineales añaden dirección del efecto cuando el winner pertenece a la familia adecuada.</w:t>
      </w:r>
    </w:p>
    <w:p>
      <w:pPr>
        <w:spacing w:before="0" w:after="100" w:line="276" w:lineRule="auto"/>
      </w:pPr>
      <w:r>
        <w:t>Esta combinación evita el error común de extrapolar coeficientes de un modelo lineal a tareas donde el winner real era otro modelo.</w:t>
      </w:r>
    </w:p>
    <w:p>
      <w:pPr>
        <w:pStyle w:val="Heading1"/>
        <w:spacing w:before="120" w:after="80" w:line="276" w:lineRule="auto"/>
      </w:pPr>
      <w:r>
        <w:t>Estructura del código y funciones clave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6768"/>
      </w:tblGrid>
      <w:tr>
        <w:tc>
          <w:tcPr>
            <w:tcW w:type="dxa" w:w="4824"/>
            <w:shd w:fill="EAF2F8"/>
          </w:tcPr>
          <w:p>
            <w:r>
              <w:rPr>
                <w:b/>
              </w:rPr>
              <w:t>Bloque / función</w:t>
            </w:r>
          </w:p>
        </w:tc>
        <w:tc>
          <w:tcPr>
            <w:tcW w:type="dxa" w:w="4824"/>
            <w:shd w:fill="EAF2F8"/>
          </w:tcPr>
          <w:p>
            <w:r>
              <w:rPr>
                <w:b/>
              </w:rPr>
              <w:t>Papel en el script</w:t>
            </w:r>
          </w:p>
        </w:tc>
      </w:tr>
      <w:tr>
        <w:tc>
          <w:tcPr>
            <w:tcW w:type="dxa" w:w="3024"/>
            <w:vAlign w:val="center"/>
          </w:tcPr>
          <w:p>
            <w:r>
              <w:t>save</w:t>
            </w:r>
          </w:p>
        </w:tc>
        <w:tc>
          <w:tcPr>
            <w:tcW w:type="dxa" w:w="6768"/>
            <w:vAlign w:val="center"/>
          </w:tcPr>
          <w:p>
            <w:r>
              <w:t>Guarda la figura o artefacto generado con formato consistente.</w:t>
            </w:r>
          </w:p>
        </w:tc>
      </w:tr>
      <w:tr>
        <w:tc>
          <w:tcPr>
            <w:tcW w:type="dxa" w:w="3024"/>
            <w:vAlign w:val="center"/>
          </w:tcPr>
          <w:p>
            <w:r>
              <w:t>load_perm</w:t>
            </w:r>
          </w:p>
        </w:tc>
        <w:tc>
          <w:tcPr>
            <w:tcW w:type="dxa" w:w="6768"/>
            <w:vAlign w:val="center"/>
          </w:tcPr>
          <w:p>
            <w:r>
              <w:t>Carga perm desde disco con el formato esperado.</w:t>
            </w:r>
          </w:p>
        </w:tc>
      </w:tr>
      <w:tr>
        <w:tc>
          <w:tcPr>
            <w:tcW w:type="dxa" w:w="3024"/>
            <w:vAlign w:val="center"/>
          </w:tcPr>
          <w:p>
            <w:r>
              <w:t>feat_color</w:t>
            </w:r>
          </w:p>
        </w:tc>
        <w:tc>
          <w:tcPr>
            <w:tcW w:type="dxa" w:w="6768"/>
            <w:vAlign w:val="center"/>
          </w:tcPr>
          <w:p>
            <w:r>
              <w:t>Función auxiliar para feat color.</w:t>
            </w:r>
          </w:p>
        </w:tc>
      </w:tr>
      <w:tr>
        <w:tc>
          <w:tcPr>
            <w:tcW w:type="dxa" w:w="3024"/>
            <w:vAlign w:val="center"/>
          </w:tcPr>
          <w:p>
            <w:r>
              <w:t>model_suffix</w:t>
            </w:r>
          </w:p>
        </w:tc>
        <w:tc>
          <w:tcPr>
            <w:tcW w:type="dxa" w:w="6768"/>
            <w:vAlign w:val="center"/>
          </w:tcPr>
          <w:p>
            <w:r>
              <w:t>Función auxiliar para model suffix.</w:t>
            </w:r>
          </w:p>
        </w:tc>
      </w:tr>
      <w:tr>
        <w:tc>
          <w:tcPr>
            <w:tcW w:type="dxa" w:w="3024"/>
            <w:vAlign w:val="center"/>
          </w:tcPr>
          <w:p>
            <w:r>
              <w:t>resolve_linear_model</w:t>
            </w:r>
          </w:p>
        </w:tc>
        <w:tc>
          <w:tcPr>
            <w:tcW w:type="dxa" w:w="6768"/>
            <w:vAlign w:val="center"/>
          </w:tcPr>
          <w:p>
            <w:r>
              <w:t>Resuelve la dependencia o metadato 'linear model' a partir de artefactos previos.</w:t>
            </w:r>
          </w:p>
        </w:tc>
      </w:tr>
      <w:tr>
        <w:tc>
          <w:tcPr>
            <w:tcW w:type="dxa" w:w="3024"/>
            <w:vAlign w:val="center"/>
          </w:tcPr>
          <w:p>
            <w:r>
              <w:t>fig_global</w:t>
            </w:r>
          </w:p>
        </w:tc>
        <w:tc>
          <w:tcPr>
            <w:tcW w:type="dxa" w:w="6768"/>
            <w:vAlign w:val="center"/>
          </w:tcPr>
          <w:p>
            <w:r>
              <w:t>Genera la figura 'global' y calcula internamente los estadísticos que la acompañan.</w:t>
            </w:r>
          </w:p>
        </w:tc>
      </w:tr>
      <w:tr>
        <w:tc>
          <w:tcPr>
            <w:tcW w:type="dxa" w:w="3024"/>
            <w:vAlign w:val="center"/>
          </w:tcPr>
          <w:p>
            <w:r>
              <w:t>fig_linear</w:t>
            </w:r>
          </w:p>
        </w:tc>
        <w:tc>
          <w:tcPr>
            <w:tcW w:type="dxa" w:w="6768"/>
            <w:vAlign w:val="center"/>
          </w:tcPr>
          <w:p>
            <w:r>
              <w:t>Genera la figura 'linear' y calcula internamente los estadísticos que la acompañan.</w:t>
            </w:r>
          </w:p>
        </w:tc>
      </w:tr>
      <w:tr>
        <w:tc>
          <w:tcPr>
            <w:tcW w:type="dxa" w:w="3024"/>
            <w:vAlign w:val="center"/>
          </w:tcPr>
          <w:p>
            <w:r>
              <w:t>main</w:t>
            </w:r>
          </w:p>
        </w:tc>
        <w:tc>
          <w:tcPr>
            <w:tcW w:type="dxa" w:w="6768"/>
            <w:vAlign w:val="center"/>
          </w:tcPr>
          <w:p>
            <w:r>
              <w:t>Orquesta la ejecución completa del script.</w:t>
            </w:r>
          </w:p>
        </w:tc>
      </w:tr>
    </w:tbl>
    <w:p/>
    <w:p>
      <w:pPr>
        <w:pStyle w:val="Heading1"/>
        <w:spacing w:before="120" w:after="80" w:line="276" w:lineRule="auto"/>
      </w:pPr>
      <w:r>
        <w:t>Entradas, salidas y artefactos</w:t>
      </w:r>
    </w:p>
    <w:p>
      <w:pPr>
        <w:spacing w:before="0" w:after="100" w:line="276" w:lineRule="auto"/>
      </w:pPr>
      <w:r>
        <w:t>Este script se apoya en un contrato de entradas y salidas explícito. Esa disciplina es importante porque la pipeline tiene varias etapas encadenadas y un error pequeño en una ruta o en un artefacto puede propagarse a notebooks posteriores.</w:t>
      </w:r>
    </w:p>
    <w:p>
      <w:pPr>
        <w:pStyle w:val="ListBullet"/>
        <w:spacing w:before="0" w:after="0" w:line="276" w:lineRule="auto"/>
      </w:pPr>
      <w:r>
        <w:t>Archivo: src/09_notebook_model_interpretation.patched.py</w:t>
      </w:r>
    </w:p>
    <w:p>
      <w:pPr>
        <w:pStyle w:val="ListBullet"/>
        <w:spacing w:before="0" w:after="0" w:line="276" w:lineRule="auto"/>
      </w:pPr>
      <w:r>
        <w:t>Rol: Interpretación global y lineal de los modelos finales</w:t>
      </w:r>
    </w:p>
    <w:p>
      <w:pPr>
        <w:pStyle w:val="ListBullet"/>
        <w:spacing w:before="0" w:after="0" w:line="276" w:lineRule="auto"/>
      </w:pPr>
      <w:r>
        <w:t>Entradas: Permutation importance y modelos lineales winners</w:t>
      </w:r>
    </w:p>
    <w:p>
      <w:pPr>
        <w:pStyle w:val="ListBullet"/>
        <w:spacing w:before="0" w:after="0" w:line="276" w:lineRule="auto"/>
      </w:pPr>
      <w:r>
        <w:t>Salidas: 35_global_importance.png y 36_linear_coefficients.png</w:t>
      </w:r>
    </w:p>
    <w:p/>
    <w:p>
      <w:pPr>
        <w:pStyle w:val="Heading1"/>
        <w:spacing w:before="120" w:after="80" w:line="276" w:lineRule="auto"/>
      </w:pPr>
      <w:r>
        <w:t>Discusión de resultados y consecuencias para el resto del proyecto</w:t>
      </w:r>
    </w:p>
    <w:p>
      <w:pPr>
        <w:spacing w:before="0" w:after="100" w:line="276" w:lineRule="auto"/>
      </w:pPr>
      <w:r>
        <w:t>El notebook no promete causalidad ni explicación mecanística completa. Ofrece, más bien, una jerarquía de variables y una lectura ordenada de la señal predictiva disponible en los winners finales.</w:t>
      </w:r>
    </w:p>
    <w:p>
      <w:pPr>
        <w:pStyle w:val="Heading1"/>
        <w:spacing w:before="120" w:after="80" w:line="276" w:lineRule="auto"/>
      </w:pPr>
      <w:r>
        <w:t>Explicación detallada de las figuras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571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_global_importa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35. Importancia global por permutación.</w:t>
      </w:r>
    </w:p>
    <w:p>
      <w:pPr>
        <w:spacing w:before="0" w:after="100" w:line="276" w:lineRule="auto"/>
      </w:pPr>
      <w:r>
        <w:t>La figura prioriza qué variables sostienen el rendimiento global de los modelos finales. En este proyecto, la importancia por permutación es preferible a leer solo coeficientes o importancias internas porque ofrece una medida más comparable entre algoritmos.</w:t>
      </w:r>
    </w:p>
    <w:p>
      <w:pPr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15000" cy="42719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_linear_coeffici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71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jc w:val="center"/>
      </w:pPr>
      <w:r>
        <w:rPr>
          <w:i/>
          <w:color w:val="505050"/>
          <w:sz w:val="19"/>
        </w:rPr>
        <w:t>Figura 36. Coeficientes lineales.</w:t>
      </w:r>
    </w:p>
    <w:p>
      <w:pPr>
        <w:spacing w:before="0" w:after="100" w:line="276" w:lineRule="auto"/>
      </w:pPr>
      <w:r>
        <w:t>Esta figura se restringe a los modelos lineales ganadores donde la lectura por signo y magnitud tiene sentido. Su utilidad es explicar dirección y fuerza relativa de asociaciones en M1b, M3 o M4 cuando el winner es lineal.</w:t>
      </w:r>
    </w:p>
    <w:p>
      <w:pPr>
        <w:pStyle w:val="Heading1"/>
        <w:spacing w:before="120" w:after="80" w:line="276" w:lineRule="auto"/>
      </w:pPr>
      <w:r>
        <w:t>Limitaciones y precauciones de lectura</w:t>
      </w:r>
    </w:p>
    <w:p>
      <w:pPr>
        <w:spacing w:before="0" w:after="100" w:line="276" w:lineRule="auto"/>
      </w:pPr>
      <w:r>
        <w:t>El hecho de que el script produzca artefactos coherentes no implica automáticamente validez externa. Muchas comprobaciones son internas a la cohorte analizada.</w:t>
      </w:r>
    </w:p>
    <w:p>
      <w:pPr>
        <w:spacing w:before="0" w:after="100" w:line="276" w:lineRule="auto"/>
      </w:pPr>
      <w:r>
        <w:t>Las cifras y gráficos deben leerse dentro de la lógica completa de la pipeline. Ningún notebook aislado basta para sostener por sí solo todas las afirmaciones del proyecto.</w:t>
      </w:r>
    </w:p>
    <w:p>
      <w:pPr>
        <w:pStyle w:val="Heading1"/>
        <w:spacing w:before="120" w:after="80" w:line="276" w:lineRule="auto"/>
      </w:pPr>
      <w:r>
        <w:t>Conexión con el resto de la pipeline</w:t>
      </w:r>
    </w:p>
    <w:p>
      <w:pPr>
        <w:spacing w:before="0" w:after="100" w:line="276" w:lineRule="auto"/>
      </w:pPr>
      <w:r>
        <w:t>Conecta el rendimiento cuantitativo de 07 con una lectura de drivers del modelo.</w:t>
      </w:r>
    </w:p>
    <w:sectPr w:rsidR="00FC693F" w:rsidRPr="0006063C" w:rsidSect="00034616"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