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b/>
          <w:color w:val="1F4E79"/>
          <w:sz w:val="44"/>
        </w:rPr>
        <w:t>10 — Discusión clínica</w:t>
      </w:r>
    </w:p>
    <w:p>
      <w:pPr>
        <w:spacing w:before="0" w:after="280" w:line="276" w:lineRule="auto"/>
        <w:jc w:val="center"/>
      </w:pPr>
      <w:r>
        <w:rPr>
          <w:i/>
          <w:color w:val="5A5A5A"/>
          <w:sz w:val="22"/>
        </w:rPr>
        <w:t>Capacidades reales, limitaciones y traducción de métricas a afirmaciones prudentes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t>Archivo</w:t>
            </w:r>
          </w:p>
        </w:tc>
        <w:tc>
          <w:tcPr>
            <w:tcW w:type="dxa" w:w="7056"/>
            <w:vAlign w:val="center"/>
          </w:tcPr>
          <w:p>
            <w:r>
              <w:t>src/10_notebook_clinical_discussion.patched.py</w:t>
            </w:r>
          </w:p>
        </w:tc>
      </w:tr>
      <w:tr>
        <w:tc>
          <w:tcPr>
            <w:tcW w:type="dxa" w:w="2736"/>
            <w:vAlign w:val="center"/>
          </w:tcPr>
          <w:p>
            <w:r>
              <w:t>Rol</w:t>
            </w:r>
          </w:p>
        </w:tc>
        <w:tc>
          <w:tcPr>
            <w:tcW w:type="dxa" w:w="7056"/>
            <w:vAlign w:val="center"/>
          </w:tcPr>
          <w:p>
            <w:r>
              <w:t>Discusión clínica de capacidades y límites</w:t>
            </w:r>
          </w:p>
        </w:tc>
      </w:tr>
      <w:tr>
        <w:tc>
          <w:tcPr>
            <w:tcW w:type="dxa" w:w="2736"/>
            <w:vAlign w:val="center"/>
          </w:tcPr>
          <w:p>
            <w:r>
              <w:t>Entradas</w:t>
            </w:r>
          </w:p>
        </w:tc>
        <w:tc>
          <w:tcPr>
            <w:tcW w:type="dxa" w:w="7056"/>
            <w:vAlign w:val="center"/>
          </w:tcPr>
          <w:p>
            <w:r>
              <w:t>Resultados finales, artefactos 04c y 11</w:t>
            </w:r>
          </w:p>
        </w:tc>
      </w:tr>
      <w:tr>
        <w:tc>
          <w:tcPr>
            <w:tcW w:type="dxa" w:w="2736"/>
            <w:vAlign w:val="center"/>
          </w:tcPr>
          <w:p>
            <w:r>
              <w:t>Salidas</w:t>
            </w:r>
          </w:p>
        </w:tc>
        <w:tc>
          <w:tcPr>
            <w:tcW w:type="dxa" w:w="7056"/>
            <w:vAlign w:val="center"/>
          </w:tcPr>
          <w:p>
            <w:r>
              <w:t>Figuras de capacidades, métricas binarias, umbrales y competing risks</w:t>
            </w:r>
          </w:p>
        </w:tc>
      </w:tr>
    </w:tbl>
    <w:p/>
    <w:p>
      <w:pPr>
        <w:pStyle w:val="Heading1"/>
        <w:spacing w:before="120" w:after="80" w:line="276" w:lineRule="auto"/>
      </w:pPr>
      <w:r>
        <w:t>Objetivo y contribución dentro de la pipeline</w:t>
      </w:r>
    </w:p>
    <w:p>
      <w:pPr>
        <w:spacing w:before="0" w:after="100" w:line="276" w:lineRule="auto"/>
      </w:pPr>
      <w:r>
        <w:t>Este notebook es la capa de interpretación clínica del repositorio. Recoge el rendimiento final, los detalles binarios, los umbrales y la sensibilidad de competing risks para traducirlos a un lenguaje de capacidad y limitación.</w:t>
      </w:r>
    </w:p>
    <w:p>
      <w:pPr>
        <w:spacing w:before="0" w:after="100" w:line="276" w:lineRule="auto"/>
      </w:pPr>
      <w:r>
        <w:t>Su valor radica en lo que restringe. No deja que el proyecto diga más de lo que los resultados sostienen.</w:t>
      </w:r>
    </w:p>
    <w:p>
      <w:pPr>
        <w:pStyle w:val="Heading1"/>
        <w:spacing w:before="120" w:after="80" w:line="276" w:lineRule="auto"/>
      </w:pPr>
      <w:r>
        <w:t>Rationale metodológico</w:t>
      </w:r>
    </w:p>
    <w:p>
      <w:pPr>
        <w:spacing w:before="0" w:after="100" w:line="276" w:lineRule="auto"/>
      </w:pPr>
      <w:r>
        <w:t>Una pipeline bien diseñada puede fallar en comunicación si presenta métricas sin marco interpretativo. El notebook 10 impone ese marco: qué tareas sirven para estratificación, qué tareas solo ordenan riesgo con censura y qué afirmaciones exigen validación externa.</w:t>
      </w:r>
    </w:p>
    <w:p>
      <w:pPr>
        <w:spacing w:before="0" w:after="100" w:line="276" w:lineRule="auto"/>
      </w:pPr>
      <w:r>
        <w:t>El hecho de leer outputs de 04c y 11 le da una función integradora. Reúne rendimiento, calibración y competing risks en una narrativa única.</w:t>
      </w:r>
    </w:p>
    <w:p>
      <w:pPr>
        <w:pStyle w:val="Heading1"/>
        <w:spacing w:before="120" w:after="80" w:line="276" w:lineRule="auto"/>
      </w:pPr>
      <w:r>
        <w:t>Estructura del código y funciones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4824"/>
            <w:shd w:fill="EAF2F8"/>
          </w:tcPr>
          <w:p>
            <w:r>
              <w:rPr>
                <w:b/>
              </w:rPr>
              <w:t>Bloque / función</w:t>
            </w:r>
          </w:p>
        </w:tc>
        <w:tc>
          <w:tcPr>
            <w:tcW w:type="dxa" w:w="4824"/>
            <w:shd w:fill="EAF2F8"/>
          </w:tcPr>
          <w:p>
            <w:r>
              <w:rPr>
                <w:b/>
              </w:rPr>
              <w:t>Papel en el script</w:t>
            </w:r>
          </w:p>
        </w:tc>
      </w:tr>
      <w:tr>
        <w:tc>
          <w:tcPr>
            <w:tcW w:type="dxa" w:w="3024"/>
            <w:vAlign w:val="center"/>
          </w:tcPr>
          <w:p>
            <w:r>
              <w:t>save</w:t>
            </w:r>
          </w:p>
        </w:tc>
        <w:tc>
          <w:tcPr>
            <w:tcW w:type="dxa" w:w="6768"/>
            <w:vAlign w:val="center"/>
          </w:tcPr>
          <w:p>
            <w:r>
              <w:t>Guarda la figura o artefacto generado con formato consistente.</w:t>
            </w:r>
          </w:p>
        </w:tc>
      </w:tr>
      <w:tr>
        <w:tc>
          <w:tcPr>
            <w:tcW w:type="dxa" w:w="3024"/>
            <w:vAlign w:val="center"/>
          </w:tcPr>
          <w:p>
            <w:r>
              <w:t>model_suffix</w:t>
            </w:r>
          </w:p>
        </w:tc>
        <w:tc>
          <w:tcPr>
            <w:tcW w:type="dxa" w:w="6768"/>
            <w:vAlign w:val="center"/>
          </w:tcPr>
          <w:p>
            <w:r>
              <w:t>Función auxiliar para model suffix.</w:t>
            </w:r>
          </w:p>
        </w:tc>
      </w:tr>
      <w:tr>
        <w:tc>
          <w:tcPr>
            <w:tcW w:type="dxa" w:w="3024"/>
            <w:vAlign w:val="center"/>
          </w:tcPr>
          <w:p>
            <w:r>
              <w:t>fallback_compute_classification_score</w:t>
            </w:r>
          </w:p>
        </w:tc>
        <w:tc>
          <w:tcPr>
            <w:tcW w:type="dxa" w:w="6768"/>
            <w:vAlign w:val="center"/>
          </w:tcPr>
          <w:p>
            <w:r>
              <w:t>Función auxiliar para fallback compute classification score.</w:t>
            </w:r>
          </w:p>
        </w:tc>
      </w:tr>
      <w:tr>
        <w:tc>
          <w:tcPr>
            <w:tcW w:type="dxa" w:w="3024"/>
            <w:vAlign w:val="center"/>
          </w:tcPr>
          <w:p>
            <w:r>
              <w:t>load_scores</w:t>
            </w:r>
          </w:p>
        </w:tc>
        <w:tc>
          <w:tcPr>
            <w:tcW w:type="dxa" w:w="6768"/>
            <w:vAlign w:val="center"/>
          </w:tcPr>
          <w:p>
            <w:r>
              <w:t>Carga scores desde disco con el formato esperado.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fig_capability</w:t>
            </w:r>
          </w:p>
        </w:tc>
        <w:tc>
          <w:tcPr>
            <w:tcW w:type="dxa" w:w="6768"/>
            <w:vAlign w:val="center"/>
          </w:tcPr>
          <w:p>
            <w:r>
              <w:t>Genera la figura 'capability' y calcula internamente los estadísticos que la acompañan.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fig_findings</w:t>
            </w:r>
          </w:p>
        </w:tc>
        <w:tc>
          <w:tcPr>
            <w:tcW w:type="dxa" w:w="6768"/>
            <w:vAlign w:val="center"/>
          </w:tcPr>
          <w:p>
            <w:r>
              <w:t>Genera la figura 'findings' y calcula internamente los estadísticos que la acompañan.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main</w:t>
            </w:r>
          </w:p>
        </w:tc>
        <w:tc>
          <w:tcPr>
            <w:tcW w:type="dxa" w:w="6768"/>
            <w:vAlign w:val="center"/>
          </w:tcPr>
          <w:p>
            <w:r>
              <w:t>Orquesta la ejecución completa del script.</w:t>
            </w:r>
          </w:p>
        </w:tc>
      </w:tr>
    </w:tbl>
    <w:p/>
    <w:p>
      <w:pPr>
        <w:pStyle w:val="Heading1"/>
        <w:spacing w:before="120" w:after="80" w:line="276" w:lineRule="auto"/>
      </w:pPr>
      <w:r>
        <w:t>Entradas, salidas y artefactos</w:t>
      </w:r>
    </w:p>
    <w:p>
      <w:pPr>
        <w:spacing w:before="0" w:after="100" w:line="276" w:lineRule="auto"/>
      </w:pPr>
      <w:r>
        <w:t>Este script se apoya en un contrato de entradas y salidas explícito. Esa disciplina es importante porque la pipeline tiene varias etapas encadenadas y un error pequeño en una ruta o en un artefacto puede propagarse a notebooks posteriores.</w:t>
      </w:r>
    </w:p>
    <w:p>
      <w:pPr>
        <w:pStyle w:val="ListBullet"/>
        <w:spacing w:before="0" w:after="0" w:line="276" w:lineRule="auto"/>
      </w:pPr>
      <w:r>
        <w:t>Archivo: src/10_notebook_clinical_discussion.patched.py</w:t>
      </w:r>
    </w:p>
    <w:p>
      <w:pPr>
        <w:pStyle w:val="ListBullet"/>
        <w:spacing w:before="0" w:after="0" w:line="276" w:lineRule="auto"/>
      </w:pPr>
      <w:r>
        <w:t>Rol: Discusión clínica de capacidades y límites</w:t>
      </w:r>
    </w:p>
    <w:p>
      <w:pPr>
        <w:pStyle w:val="ListBullet"/>
        <w:spacing w:before="0" w:after="0" w:line="276" w:lineRule="auto"/>
      </w:pPr>
      <w:r>
        <w:t>Entradas: Resultados finales, artefactos 04c y 11</w:t>
      </w:r>
    </w:p>
    <w:p>
      <w:pPr>
        <w:pStyle w:val="ListBullet"/>
        <w:spacing w:before="0" w:after="0" w:line="276" w:lineRule="auto"/>
      </w:pPr>
      <w:r>
        <w:t>Salidas: Figuras de capacidades, métricas binarias, umbrales y competing risks</w:t>
      </w:r>
    </w:p>
    <w:p/>
    <w:p>
      <w:pPr>
        <w:pStyle w:val="Heading1"/>
        <w:spacing w:before="120" w:after="80" w:line="276" w:lineRule="auto"/>
      </w:pPr>
      <w:r>
        <w:t>Discusión de resultados y consecuencias para el resto del proyecto</w:t>
      </w:r>
    </w:p>
    <w:p>
      <w:pPr>
        <w:spacing w:before="0" w:after="100" w:line="276" w:lineRule="auto"/>
      </w:pPr>
      <w:r>
        <w:t>El notebook 10 no añade entrenamiento nuevo; añade juicio. Su papel es traducir rendimiento a capacidad y limitación sin exagerar lo que el sistema sabe hacer. Esto es especialmente valioso en un repositorio público, donde el riesgo de sobrerreivindicación es alto.</w:t>
      </w:r>
    </w:p>
    <w:p>
      <w:pPr>
        <w:spacing w:before="0" w:after="100" w:line="276" w:lineRule="auto"/>
      </w:pPr>
      <w:r>
        <w:t>Capacidades y límites resumidos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Can do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Cannot do</w:t>
            </w:r>
          </w:p>
        </w:tc>
      </w:tr>
      <w:tr>
        <w:tc>
          <w:tcPr>
            <w:tcW w:type="dxa" w:w="2592"/>
            <w:vAlign w:val="center"/>
          </w:tcPr>
          <w:p>
            <w:r>
              <w:t>M1a overall survival</w:t>
            </w:r>
          </w:p>
        </w:tc>
        <w:tc>
          <w:tcPr>
            <w:tcW w:type="dxa" w:w="1152"/>
            <w:vAlign w:val="center"/>
          </w:tcPr>
          <w:p>
            <w:r>
              <w:t>AUC-ROC</w:t>
            </w:r>
          </w:p>
        </w:tc>
        <w:tc>
          <w:tcPr>
            <w:tcW w:type="dxa" w:w="1152"/>
            <w:vAlign w:val="center"/>
          </w:tcPr>
          <w:p>
            <w:r>
              <w:t>0.766</w:t>
            </w:r>
          </w:p>
        </w:tc>
        <w:tc>
          <w:tcPr>
            <w:tcW w:type="dxa" w:w="2592"/>
            <w:vAlign w:val="center"/>
          </w:tcPr>
          <w:p>
            <w:r>
              <w:t>Risk stratification</w:t>
            </w:r>
          </w:p>
        </w:tc>
        <w:tc>
          <w:tcPr>
            <w:tcW w:type="dxa" w:w="2592"/>
            <w:vAlign w:val="center"/>
          </w:tcPr>
          <w:p>
            <w:r>
              <w:t>External validation still needed</w:t>
            </w:r>
          </w:p>
        </w:tc>
      </w:tr>
      <w:tr>
        <w:tc>
          <w:tcPr>
            <w:tcW w:type="dxa" w:w="2592"/>
            <w:vAlign w:val="center"/>
          </w:tcPr>
          <w:p>
            <w:r>
              <w:t>M1b cancer-specific survival</w:t>
            </w:r>
          </w:p>
        </w:tc>
        <w:tc>
          <w:tcPr>
            <w:tcW w:type="dxa" w:w="1152"/>
            <w:vAlign w:val="center"/>
          </w:tcPr>
          <w:p>
            <w:r>
              <w:t>AUC-ROC</w:t>
            </w:r>
          </w:p>
        </w:tc>
        <w:tc>
          <w:tcPr>
            <w:tcW w:type="dxa" w:w="1152"/>
            <w:vAlign w:val="center"/>
          </w:tcPr>
          <w:p>
            <w:r>
              <w:t>0.705</w:t>
            </w:r>
          </w:p>
        </w:tc>
        <w:tc>
          <w:tcPr>
            <w:tcW w:type="dxa" w:w="2592"/>
            <w:vAlign w:val="center"/>
          </w:tcPr>
          <w:p>
            <w:r>
              <w:t>Risk stratification</w:t>
            </w:r>
          </w:p>
        </w:tc>
        <w:tc>
          <w:tcPr>
            <w:tcW w:type="dxa" w:w="2592"/>
            <w:vAlign w:val="center"/>
          </w:tcPr>
          <w:p>
            <w:r>
              <w:t>External validation still needed</w:t>
            </w:r>
          </w:p>
        </w:tc>
      </w:tr>
      <w:tr>
        <w:tc>
          <w:tcPr>
            <w:tcW w:type="dxa" w:w="2592"/>
            <w:vAlign w:val="center"/>
          </w:tcPr>
          <w:p>
            <w:r>
              <w:t>M3 PAM50 subtype</w:t>
            </w:r>
          </w:p>
        </w:tc>
        <w:tc>
          <w:tcPr>
            <w:tcW w:type="dxa" w:w="1152"/>
            <w:vAlign w:val="center"/>
          </w:tcPr>
          <w:p>
            <w:r>
              <w:t>Macro-F1</w:t>
            </w:r>
          </w:p>
        </w:tc>
        <w:tc>
          <w:tcPr>
            <w:tcW w:type="dxa" w:w="1152"/>
            <w:vAlign w:val="center"/>
          </w:tcPr>
          <w:p>
            <w:r>
              <w:t>0.747</w:t>
            </w:r>
          </w:p>
        </w:tc>
        <w:tc>
          <w:tcPr>
            <w:tcW w:type="dxa" w:w="2592"/>
            <w:vAlign w:val="center"/>
          </w:tcPr>
          <w:p>
            <w:r>
              <w:t>Subtype prediction</w:t>
            </w:r>
          </w:p>
        </w:tc>
        <w:tc>
          <w:tcPr>
            <w:tcW w:type="dxa" w:w="2592"/>
            <w:vAlign w:val="center"/>
          </w:tcPr>
          <w:p>
            <w:r>
              <w:t>External validation still needed</w:t>
            </w:r>
          </w:p>
        </w:tc>
      </w:tr>
      <w:tr>
        <w:tc>
          <w:tcPr>
            <w:tcW w:type="dxa" w:w="2592"/>
            <w:vAlign w:val="center"/>
          </w:tcPr>
          <w:p>
            <w:r>
              <w:t>M4 histologic grade</w:t>
            </w:r>
          </w:p>
        </w:tc>
        <w:tc>
          <w:tcPr>
            <w:tcW w:type="dxa" w:w="1152"/>
            <w:vAlign w:val="center"/>
          </w:tcPr>
          <w:p>
            <w:r>
              <w:t>QW-Kappa</w:t>
            </w:r>
          </w:p>
        </w:tc>
        <w:tc>
          <w:tcPr>
            <w:tcW w:type="dxa" w:w="1152"/>
            <w:vAlign w:val="center"/>
          </w:tcPr>
          <w:p>
            <w:r>
              <w:t>0.527</w:t>
            </w:r>
          </w:p>
        </w:tc>
        <w:tc>
          <w:tcPr>
            <w:tcW w:type="dxa" w:w="2592"/>
            <w:vAlign w:val="center"/>
          </w:tcPr>
          <w:p>
            <w:r>
              <w:t>Grade support</w:t>
            </w:r>
          </w:p>
        </w:tc>
        <w:tc>
          <w:tcPr>
            <w:tcW w:type="dxa" w:w="2592"/>
            <w:vAlign w:val="center"/>
          </w:tcPr>
          <w:p>
            <w:r>
              <w:t>External validation still needed</w:t>
            </w:r>
          </w:p>
        </w:tc>
      </w:tr>
      <w:tr>
        <w:tc>
          <w:tcPr>
            <w:tcW w:type="dxa" w:w="2592"/>
            <w:vAlign w:val="center"/>
          </w:tcPr>
          <w:p>
            <w:r>
              <w:t>M2a overall survival Cox</w:t>
            </w:r>
          </w:p>
        </w:tc>
        <w:tc>
          <w:tcPr>
            <w:tcW w:type="dxa" w:w="1152"/>
            <w:vAlign w:val="center"/>
          </w:tcPr>
          <w:p>
            <w:r>
              <w:t>C-index</w:t>
            </w:r>
          </w:p>
        </w:tc>
        <w:tc>
          <w:tcPr>
            <w:tcW w:type="dxa" w:w="1152"/>
            <w:vAlign w:val="center"/>
          </w:tcPr>
          <w:p>
            <w:r>
              <w:t>0.756</w:t>
            </w:r>
          </w:p>
        </w:tc>
        <w:tc>
          <w:tcPr>
            <w:tcW w:type="dxa" w:w="2592"/>
            <w:vAlign w:val="center"/>
          </w:tcPr>
          <w:p>
            <w:r>
              <w:t>Ranks patients by survival risk with censoring handled</w:t>
            </w:r>
          </w:p>
        </w:tc>
        <w:tc>
          <w:tcPr>
            <w:tcW w:type="dxa" w:w="2592"/>
            <w:vAlign w:val="center"/>
          </w:tcPr>
          <w:p>
            <w:r>
              <w:t>Provide exact individual survival times</w:t>
            </w:r>
          </w:p>
        </w:tc>
      </w:tr>
      <w:tr>
        <w:tc>
          <w:tcPr>
            <w:tcW w:type="dxa" w:w="2592"/>
            <w:vAlign w:val="center"/>
          </w:tcPr>
          <w:p>
            <w:r>
              <w:t>M2b cancer-specific Cox</w:t>
            </w:r>
          </w:p>
        </w:tc>
        <w:tc>
          <w:tcPr>
            <w:tcW w:type="dxa" w:w="1152"/>
            <w:vAlign w:val="center"/>
          </w:tcPr>
          <w:p>
            <w:r>
              <w:t>C-index</w:t>
            </w:r>
          </w:p>
        </w:tc>
        <w:tc>
          <w:tcPr>
            <w:tcW w:type="dxa" w:w="1152"/>
            <w:vAlign w:val="center"/>
          </w:tcPr>
          <w:p>
            <w:r>
              <w:t>0.724</w:t>
            </w:r>
          </w:p>
        </w:tc>
        <w:tc>
          <w:tcPr>
            <w:tcW w:type="dxa" w:w="2592"/>
            <w:vAlign w:val="center"/>
          </w:tcPr>
          <w:p>
            <w:r>
              <w:t>Ranks patients by survival risk with censoring handled</w:t>
            </w:r>
          </w:p>
        </w:tc>
        <w:tc>
          <w:tcPr>
            <w:tcW w:type="dxa" w:w="2592"/>
            <w:vAlign w:val="center"/>
          </w:tcPr>
          <w:p>
            <w:r>
              <w:t>Provide exact individual survival times</w:t>
            </w:r>
          </w:p>
        </w:tc>
      </w:tr>
    </w:tbl>
    <w:p/>
    <w:p>
      <w:pPr>
        <w:pStyle w:val="Heading1"/>
        <w:spacing w:before="120" w:after="80" w:line="276" w:lineRule="auto"/>
      </w:pPr>
      <w:r>
        <w:t>Explicación detallada de las figuras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907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apability_assess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42. Evaluación de capacidades.</w:t>
      </w:r>
    </w:p>
    <w:p>
      <w:pPr>
        <w:spacing w:before="0" w:after="100" w:line="276" w:lineRule="auto"/>
      </w:pPr>
      <w:r>
        <w:t>La figura traduce métricas en afirmaciones prudentes sobre qué puede hacer cada modelo y qué no. Por ejemplo, M2a y M2b pueden ordenar riesgo con censura, pero no deben presentarse como cronómetros exactos de tiempo individual.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32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key_findings_and_limi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2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43. Hallazgos y limitaciones.</w:t>
      </w:r>
    </w:p>
    <w:p>
      <w:pPr>
        <w:spacing w:before="0" w:after="100" w:line="276" w:lineRule="auto"/>
      </w:pPr>
      <w:r>
        <w:t>Esta figura es importante porque impone disciplina interpretativa. Resume fortalezas reales sin ocultar límites como ausencia de validación externa, variación por cohorte y necesidad de prudencia en la interpretación de probabilidades.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3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binary_metrics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44. Detalle de métricas binarias.</w:t>
      </w:r>
    </w:p>
    <w:p>
      <w:pPr>
        <w:spacing w:before="0" w:after="100" w:line="276" w:lineRule="auto"/>
      </w:pPr>
      <w:r>
        <w:t>El gráfico añade granularidad a los modelos binarios. M1a alcanza AUC 0.766 con PR-AUC ~0.714 y mejor calibración que M1b; M1b se queda en AUC 0.705, PR-AUC 0.516, Brier 0.219 y ECE 0.140.</w:t>
      </w:r>
    </w:p>
    <w:p>
      <w:pPr>
        <w:spacing w:before="0" w:after="100" w:line="276" w:lineRule="auto"/>
      </w:pPr>
      <w:r>
        <w:t>Esto refuerza la idea de que M1b es útil para estratificación, pero que la capa de calibración y umbrales es obligatoria si se quiere discutir despliegue.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28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m1b_threshold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45. Informe de umbrales M1b.</w:t>
      </w:r>
    </w:p>
    <w:p>
      <w:pPr>
        <w:spacing w:before="0" w:after="100" w:line="276" w:lineRule="auto"/>
      </w:pPr>
      <w:r>
        <w:t>La figura operacionaliza el modelo. El punto fuerte es que obliga a declarar explícitamente el compromiso entre sensibilidad y especificidad en vez de esconderlo tras un score continuo.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375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m2b_competing_risk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46. Resumen de competing risks para M2b.</w:t>
      </w:r>
    </w:p>
    <w:p>
      <w:pPr>
        <w:spacing w:before="0" w:after="100" w:line="276" w:lineRule="auto"/>
      </w:pPr>
      <w:r>
        <w:t>Esta figura integra la sensibilidad de riesgos competitivos dentro de la discusión clínica. El mensaje adecuado es que el grupo de alto riesgo no solo tiene peor ordenación hazard-based, sino también mayor incidencia acumulada de muerte por cáncer cuando se reconocen muertes por otras causas como evento competidor.</w:t>
      </w:r>
    </w:p>
    <w:p>
      <w:pPr>
        <w:pStyle w:val="Heading1"/>
        <w:spacing w:before="120" w:after="80" w:line="276" w:lineRule="auto"/>
      </w:pPr>
      <w:r>
        <w:t>Limitaciones y precauciones de lectura</w:t>
      </w:r>
    </w:p>
    <w:p>
      <w:pPr>
        <w:spacing w:before="0" w:after="100" w:line="276" w:lineRule="auto"/>
      </w:pPr>
      <w:r>
        <w:t>El hecho de que el script produzca artefactos coherentes no implica automáticamente validez externa. Muchas comprobaciones son internas a la cohorte analizada.</w:t>
      </w:r>
    </w:p>
    <w:p>
      <w:pPr>
        <w:spacing w:before="0" w:after="100" w:line="276" w:lineRule="auto"/>
      </w:pPr>
      <w:r>
        <w:t>Las cifras y gráficos deben leerse dentro de la lógica completa de la pipeline. Ningún notebook aislado basta para sostener por sí solo todas las afirmaciones del proyecto.</w:t>
      </w:r>
    </w:p>
    <w:p>
      <w:pPr>
        <w:pStyle w:val="Heading1"/>
        <w:spacing w:before="120" w:after="80" w:line="276" w:lineRule="auto"/>
      </w:pPr>
      <w:r>
        <w:t>Conexión con el resto de la pipeline</w:t>
      </w:r>
    </w:p>
    <w:p>
      <w:pPr>
        <w:spacing w:before="0" w:after="100" w:line="276" w:lineRule="auto"/>
      </w:pPr>
      <w:r>
        <w:t>Cierra la lectura técnica con una traducción prudente a capacidades y límites clínicos.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