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  <w:jc w:val="center"/>
      </w:pPr>
      <w:r>
        <w:rPr>
          <w:b/>
          <w:color w:val="1F4E79"/>
          <w:sz w:val="44"/>
        </w:rPr>
        <w:t>11 — Sensibilidad de supervivencia con riesgos competitivos</w:t>
      </w:r>
    </w:p>
    <w:p>
      <w:pPr>
        <w:spacing w:before="0" w:after="280" w:line="276" w:lineRule="auto"/>
        <w:jc w:val="center"/>
      </w:pPr>
      <w:r>
        <w:rPr>
          <w:i/>
          <w:color w:val="5A5A5A"/>
          <w:sz w:val="22"/>
        </w:rPr>
        <w:t>Aalen–Johansen para M2b como comprobación complementaria del modelo Cox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7056"/>
      </w:tblGrid>
      <w:tr>
        <w:tc>
          <w:tcPr>
            <w:tcW w:type="dxa" w:w="4824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type="dxa" w:w="4824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Descripción</w:t>
            </w:r>
          </w:p>
        </w:tc>
      </w:tr>
      <w:tr>
        <w:tc>
          <w:tcPr>
            <w:tcW w:type="dxa" w:w="2736"/>
            <w:vAlign w:val="center"/>
          </w:tcPr>
          <w:p>
            <w:r>
              <w:t>Archivo</w:t>
            </w:r>
          </w:p>
        </w:tc>
        <w:tc>
          <w:tcPr>
            <w:tcW w:type="dxa" w:w="7056"/>
            <w:vAlign w:val="center"/>
          </w:tcPr>
          <w:p>
            <w:r>
              <w:t>src/11_notebook_survival_sensitivity_advanced.py</w:t>
            </w:r>
          </w:p>
        </w:tc>
      </w:tr>
      <w:tr>
        <w:tc>
          <w:tcPr>
            <w:tcW w:type="dxa" w:w="2736"/>
            <w:vAlign w:val="center"/>
          </w:tcPr>
          <w:p>
            <w:r>
              <w:t>Rol</w:t>
            </w:r>
          </w:p>
        </w:tc>
        <w:tc>
          <w:tcPr>
            <w:tcW w:type="dxa" w:w="7056"/>
            <w:vAlign w:val="center"/>
          </w:tcPr>
          <w:p>
            <w:r>
              <w:t>Sensibilidad de riesgos competitivos para M2b</w:t>
            </w:r>
          </w:p>
        </w:tc>
      </w:tr>
      <w:tr>
        <w:tc>
          <w:tcPr>
            <w:tcW w:type="dxa" w:w="2736"/>
            <w:vAlign w:val="center"/>
          </w:tcPr>
          <w:p>
            <w:r>
              <w:t>Entradas</w:t>
            </w:r>
          </w:p>
        </w:tc>
        <w:tc>
          <w:tcPr>
            <w:tcW w:type="dxa" w:w="7056"/>
            <w:vAlign w:val="center"/>
          </w:tcPr>
          <w:p>
            <w:r>
              <w:t>Riesgo M2b en test y eventos de otras causas</w:t>
            </w:r>
          </w:p>
        </w:tc>
      </w:tr>
      <w:tr>
        <w:tc>
          <w:tcPr>
            <w:tcW w:type="dxa" w:w="2736"/>
            <w:vAlign w:val="center"/>
          </w:tcPr>
          <w:p>
            <w:r>
              <w:t>Salidas</w:t>
            </w:r>
          </w:p>
        </w:tc>
        <w:tc>
          <w:tcPr>
            <w:tcW w:type="dxa" w:w="7056"/>
            <w:vAlign w:val="center"/>
          </w:tcPr>
          <w:p>
            <w:r>
              <w:t>54_m2b_competing_risks_sensitivity.png y CSV asociados</w:t>
            </w:r>
          </w:p>
        </w:tc>
      </w:tr>
    </w:tbl>
    <w:p/>
    <w:p>
      <w:pPr>
        <w:pStyle w:val="Heading1"/>
        <w:spacing w:before="120" w:after="80" w:line="276" w:lineRule="auto"/>
      </w:pPr>
      <w:r>
        <w:t>Objetivo y contribución dentro de la pipeline</w:t>
      </w:r>
    </w:p>
    <w:p>
      <w:pPr>
        <w:spacing w:before="0" w:after="100" w:line="276" w:lineRule="auto"/>
      </w:pPr>
      <w:r>
        <w:t>Este script aborda una de las críticas metodológicas más serias del proyecto: si M2b modela muerte específica por cáncer como evento y trata otras causas de muerte como censura en el análisis principal, conviene demostrar que la historia clínica se mantiene en un marco de riesgos competitivos.</w:t>
      </w:r>
    </w:p>
    <w:p>
      <w:pPr>
        <w:spacing w:before="0" w:after="100" w:line="276" w:lineRule="auto"/>
      </w:pPr>
      <w:r>
        <w:t>La decisión tomada es conservadora y buena: añadir una sensibilidad no paramétrica con Aalen–Johansen sin sustituir retrospectivamente el modelo principal.</w:t>
      </w:r>
    </w:p>
    <w:p>
      <w:pPr>
        <w:pStyle w:val="Heading1"/>
        <w:spacing w:before="120" w:after="80" w:line="276" w:lineRule="auto"/>
      </w:pPr>
      <w:r>
        <w:t>Rationale metodológico</w:t>
      </w:r>
    </w:p>
    <w:p>
      <w:pPr>
        <w:spacing w:before="0" w:after="100" w:line="276" w:lineRule="auto"/>
      </w:pPr>
      <w:r>
        <w:t>No toda crítica metodológica debe resolverse reemplazando el modelo original. En este caso, tiene más sentido añadir una capa de sensibilidad bien definida y discutir qué aporta, en lugar de reconstruir todo M2b sobre un estimand distinto sin explicitar ese cambio.</w:t>
      </w:r>
    </w:p>
    <w:p>
      <w:pPr>
        <w:spacing w:before="0" w:after="100" w:line="276" w:lineRule="auto"/>
      </w:pPr>
      <w:r>
        <w:t>El script también mejora la honestidad del repositorio: reconoce que cause-specific Cox y competing risks responden preguntas relacionadas pero no idénticas.</w:t>
      </w:r>
    </w:p>
    <w:p>
      <w:pPr>
        <w:pStyle w:val="Heading1"/>
        <w:spacing w:before="120" w:after="80" w:line="276" w:lineRule="auto"/>
      </w:pPr>
      <w:r>
        <w:t>Estructura del código y funciones clave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768"/>
      </w:tblGrid>
      <w:tr>
        <w:tc>
          <w:tcPr>
            <w:tcW w:type="dxa" w:w="4824"/>
            <w:shd w:fill="EAF2F8"/>
          </w:tcPr>
          <w:p>
            <w:r>
              <w:rPr>
                <w:b/>
              </w:rPr>
              <w:t>Bloque / función</w:t>
            </w:r>
          </w:p>
        </w:tc>
        <w:tc>
          <w:tcPr>
            <w:tcW w:type="dxa" w:w="4824"/>
            <w:shd w:fill="EAF2F8"/>
          </w:tcPr>
          <w:p>
            <w:r>
              <w:rPr>
                <w:b/>
              </w:rPr>
              <w:t>Papel en el script</w:t>
            </w:r>
          </w:p>
        </w:tc>
      </w:tr>
      <w:tr>
        <w:tc>
          <w:tcPr>
            <w:tcW w:type="dxa" w:w="3024"/>
            <w:vAlign w:val="center"/>
          </w:tcPr>
          <w:p>
            <w:r>
              <w:t>save</w:t>
            </w:r>
          </w:p>
        </w:tc>
        <w:tc>
          <w:tcPr>
            <w:tcW w:type="dxa" w:w="6768"/>
            <w:vAlign w:val="center"/>
          </w:tcPr>
          <w:p>
            <w:r>
              <w:t>Guarda la figura o artefacto generado con formato consistente.</w:t>
            </w:r>
          </w:p>
        </w:tc>
      </w:tr>
      <w:tr>
        <w:tc>
          <w:tcPr>
            <w:tcW w:type="dxa" w:w="3024"/>
            <w:vAlign w:val="center"/>
          </w:tcPr>
          <w:p>
            <w:r>
              <w:t>apply_deterministic_fixes</w:t>
            </w:r>
          </w:p>
        </w:tc>
        <w:tc>
          <w:tcPr>
            <w:tcW w:type="dxa" w:w="6768"/>
            <w:vAlign w:val="center"/>
          </w:tcPr>
          <w:p>
            <w:r>
              <w:t>Función auxiliar para apply deterministic fixes.</w:t>
            </w:r>
          </w:p>
        </w:tc>
      </w:tr>
      <w:tr>
        <w:tc>
          <w:tcPr>
            <w:tcW w:type="dxa" w:w="3024"/>
            <w:vAlign w:val="center"/>
          </w:tcPr>
          <w:p>
            <w:r>
              <w:t>reconstruct_split_frame</w:t>
            </w:r>
          </w:p>
        </w:tc>
        <w:tc>
          <w:tcPr>
            <w:tcW w:type="dxa" w:w="6768"/>
            <w:vAlign w:val="center"/>
          </w:tcPr>
          <w:p>
            <w:r>
              <w:t>Función auxiliar para reconstruct split frame.</w:t>
            </w:r>
          </w:p>
        </w:tc>
      </w:tr>
      <w:tr>
        <w:tc>
          <w:tcPr>
            <w:tcW w:type="dxa" w:w="3024"/>
            <w:vAlign w:val="center"/>
          </w:tcPr>
          <w:p>
            <w:r>
              <w:t>status_code_from_label</w:t>
            </w:r>
          </w:p>
        </w:tc>
        <w:tc>
          <w:tcPr>
            <w:tcW w:type="dxa" w:w="6768"/>
            <w:vAlign w:val="center"/>
          </w:tcPr>
          <w:p>
            <w:r>
              <w:t>Función auxiliar para status code from label.</w:t>
            </w:r>
          </w:p>
        </w:tc>
      </w:tr>
      <w:tr>
        <w:tc>
          <w:tcPr>
            <w:tcW w:type="dxa" w:w="3024"/>
            <w:vAlign w:val="center"/>
          </w:tcPr>
          <w:p>
            <w:r>
              <w:t>make_risk_groups</w:t>
            </w:r>
          </w:p>
        </w:tc>
        <w:tc>
          <w:tcPr>
            <w:tcW w:type="dxa" w:w="6768"/>
            <w:vAlign w:val="center"/>
          </w:tcPr>
          <w:p>
            <w:r>
              <w:t>Función auxiliar para make risk groups.</w:t>
            </w:r>
          </w:p>
        </w:tc>
      </w:tr>
      <w:tr>
        <w:tc>
          <w:tcPr>
            <w:tcW w:type="dxa" w:w="3024"/>
            <w:vAlign w:val="center"/>
          </w:tcPr>
          <w:p>
            <w:r>
              <w:t>cumulative_incidence_at_times</w:t>
            </w:r>
          </w:p>
        </w:tc>
        <w:tc>
          <w:tcPr>
            <w:tcW w:type="dxa" w:w="6768"/>
            <w:vAlign w:val="center"/>
          </w:tcPr>
          <w:p>
            <w:r>
              <w:t>Función auxiliar para cumulative incidence at times.</w:t>
            </w:r>
          </w:p>
        </w:tc>
      </w:tr>
      <w:tr>
        <w:tc>
          <w:tcPr>
            <w:tcW w:type="dxa" w:w="3024"/>
            <w:vAlign w:val="center"/>
          </w:tcPr>
          <w:p>
            <w:r>
              <w:t>competing_risk_group_summary</w:t>
            </w:r>
          </w:p>
        </w:tc>
        <w:tc>
          <w:tcPr>
            <w:tcW w:type="dxa" w:w="6768"/>
            <w:vAlign w:val="center"/>
          </w:tcPr>
          <w:p>
            <w:r>
              <w:t>Función auxiliar para competing risk group summary.</w:t>
            </w:r>
          </w:p>
        </w:tc>
      </w:tr>
      <w:tr>
        <w:tc>
          <w:tcPr>
            <w:tcW w:type="dxa" w:w="3024"/>
            <w:vAlign w:val="center"/>
          </w:tcPr>
          <w:p>
            <w:r>
              <w:t>fig_competing_risks</w:t>
            </w:r>
          </w:p>
        </w:tc>
        <w:tc>
          <w:tcPr>
            <w:tcW w:type="dxa" w:w="6768"/>
            <w:vAlign w:val="center"/>
          </w:tcPr>
          <w:p>
            <w:r>
              <w:t>Genera la figura 'competing risks' y calcula internamente los estadísticos que la acompañan.</w:t>
            </w:r>
          </w:p>
        </w:tc>
      </w:tr>
      <w:tr>
        <w:tc>
          <w:tcPr>
            <w:tcW w:type="dxa" w:w="3024"/>
            <w:vAlign w:val="center"/>
          </w:tcPr>
          <w:p>
            <w:r>
              <w:t>main</w:t>
            </w:r>
          </w:p>
        </w:tc>
        <w:tc>
          <w:tcPr>
            <w:tcW w:type="dxa" w:w="6768"/>
            <w:vAlign w:val="center"/>
          </w:tcPr>
          <w:p>
            <w:r>
              <w:t>Orquesta la ejecución completa del script.</w:t>
            </w:r>
          </w:p>
        </w:tc>
      </w:tr>
    </w:tbl>
    <w:p/>
    <w:p>
      <w:pPr>
        <w:pStyle w:val="Heading1"/>
        <w:spacing w:before="120" w:after="80" w:line="276" w:lineRule="auto"/>
      </w:pPr>
      <w:r>
        <w:t>Entradas, salidas y artefactos</w:t>
      </w:r>
    </w:p>
    <w:p>
      <w:pPr>
        <w:spacing w:before="0" w:after="100" w:line="276" w:lineRule="auto"/>
      </w:pPr>
      <w:r>
        <w:t>Este script se apoya en un contrato de entradas y salidas explícito. Esa disciplina es importante porque la pipeline tiene varias etapas encadenadas y un error pequeño en una ruta o en un artefacto puede propagarse a notebooks posteriores.</w:t>
      </w:r>
    </w:p>
    <w:p>
      <w:pPr>
        <w:pStyle w:val="ListBullet"/>
        <w:spacing w:before="0" w:after="0" w:line="276" w:lineRule="auto"/>
      </w:pPr>
      <w:r>
        <w:t>Archivo: src/11_notebook_survival_sensitivity_advanced.py</w:t>
      </w:r>
    </w:p>
    <w:p>
      <w:pPr>
        <w:pStyle w:val="ListBullet"/>
        <w:spacing w:before="0" w:after="0" w:line="276" w:lineRule="auto"/>
      </w:pPr>
      <w:r>
        <w:t>Rol: Sensibilidad de riesgos competitivos para M2b</w:t>
      </w:r>
    </w:p>
    <w:p>
      <w:pPr>
        <w:pStyle w:val="ListBullet"/>
        <w:spacing w:before="0" w:after="0" w:line="276" w:lineRule="auto"/>
      </w:pPr>
      <w:r>
        <w:t>Entradas: Riesgo M2b en test y eventos de otras causas</w:t>
      </w:r>
    </w:p>
    <w:p>
      <w:pPr>
        <w:pStyle w:val="ListBullet"/>
        <w:spacing w:before="0" w:after="0" w:line="276" w:lineRule="auto"/>
      </w:pPr>
      <w:r>
        <w:t>Salidas: 54_m2b_competing_risks_sensitivity.png y CSV asociados</w:t>
      </w:r>
    </w:p>
    <w:p/>
    <w:p>
      <w:pPr>
        <w:pStyle w:val="Heading1"/>
        <w:spacing w:before="120" w:after="80" w:line="276" w:lineRule="auto"/>
      </w:pPr>
      <w:r>
        <w:t>Discusión de resultados y consecuencias para el resto del proyecto</w:t>
      </w:r>
    </w:p>
    <w:p>
      <w:pPr>
        <w:spacing w:before="0" w:after="100" w:line="276" w:lineRule="auto"/>
      </w:pPr>
      <w:r>
        <w:t>Este script no sustituye el Cox principal. Su valor está en responder una crítica metodológica seria: si en M2b se censuran otras causas de muerte, conviene comprobar que la historia clínica se sostiene también en un análisis de incidencia acumulada con eventos competidores.</w:t>
      </w:r>
    </w:p>
    <w:p>
      <w:pPr>
        <w:spacing w:before="0" w:after="100" w:line="276" w:lineRule="auto"/>
      </w:pPr>
      <w:r>
        <w:t>Incidencia acumulada resumida por grupos de riesgo.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group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cif_cancer_60m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cif_other_cause_60m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cif_cancer_120m</w:t>
            </w:r>
          </w:p>
        </w:tc>
      </w:tr>
      <w:tr>
        <w:tc>
          <w:tcPr>
            <w:tcW w:type="dxa" w:w="1728"/>
            <w:vAlign w:val="center"/>
          </w:tcPr>
          <w:p>
            <w:r>
              <w:t>Low risk</w:t>
            </w:r>
          </w:p>
        </w:tc>
        <w:tc>
          <w:tcPr>
            <w:tcW w:type="dxa" w:w="1440"/>
            <w:vAlign w:val="center"/>
          </w:tcPr>
          <w:p>
            <w:r>
              <w:t>0.016</w:t>
            </w:r>
          </w:p>
        </w:tc>
        <w:tc>
          <w:tcPr>
            <w:tcW w:type="dxa" w:w="1584"/>
            <w:vAlign w:val="center"/>
          </w:tcPr>
          <w:p>
            <w:r>
              <w:t>0.040</w:t>
            </w:r>
          </w:p>
        </w:tc>
        <w:tc>
          <w:tcPr>
            <w:tcW w:type="dxa" w:w="1440"/>
            <w:vAlign w:val="center"/>
          </w:tcPr>
          <w:p>
            <w:r>
              <w:t>0.094</w:t>
            </w:r>
          </w:p>
        </w:tc>
      </w:tr>
      <w:tr>
        <w:tc>
          <w:tcPr>
            <w:tcW w:type="dxa" w:w="1728"/>
            <w:vAlign w:val="center"/>
          </w:tcPr>
          <w:p>
            <w:r>
              <w:t>Medium risk</w:t>
            </w:r>
          </w:p>
        </w:tc>
        <w:tc>
          <w:tcPr>
            <w:tcW w:type="dxa" w:w="1440"/>
            <w:vAlign w:val="center"/>
          </w:tcPr>
          <w:p>
            <w:r>
              <w:t>0.145</w:t>
            </w:r>
          </w:p>
        </w:tc>
        <w:tc>
          <w:tcPr>
            <w:tcW w:type="dxa" w:w="1584"/>
            <w:vAlign w:val="center"/>
          </w:tcPr>
          <w:p>
            <w:r>
              <w:t>0.016</w:t>
            </w:r>
          </w:p>
        </w:tc>
        <w:tc>
          <w:tcPr>
            <w:tcW w:type="dxa" w:w="1440"/>
            <w:vAlign w:val="center"/>
          </w:tcPr>
          <w:p>
            <w:r>
              <w:t>0.243</w:t>
            </w:r>
          </w:p>
        </w:tc>
      </w:tr>
      <w:tr>
        <w:tc>
          <w:tcPr>
            <w:tcW w:type="dxa" w:w="1728"/>
            <w:vAlign w:val="center"/>
          </w:tcPr>
          <w:p>
            <w:r>
              <w:t>High risk</w:t>
            </w:r>
          </w:p>
        </w:tc>
        <w:tc>
          <w:tcPr>
            <w:tcW w:type="dxa" w:w="1440"/>
            <w:vAlign w:val="center"/>
          </w:tcPr>
          <w:p>
            <w:r>
              <w:t>0.351</w:t>
            </w:r>
          </w:p>
        </w:tc>
        <w:tc>
          <w:tcPr>
            <w:tcW w:type="dxa" w:w="1584"/>
            <w:vAlign w:val="center"/>
          </w:tcPr>
          <w:p>
            <w:r>
              <w:t>0.048</w:t>
            </w:r>
          </w:p>
        </w:tc>
        <w:tc>
          <w:tcPr>
            <w:tcW w:type="dxa" w:w="1440"/>
            <w:vAlign w:val="center"/>
          </w:tcPr>
          <w:p>
            <w:r>
              <w:t>0.466</w:t>
            </w:r>
          </w:p>
        </w:tc>
      </w:tr>
    </w:tbl>
    <w:p/>
    <w:p>
      <w:pPr>
        <w:pStyle w:val="Heading1"/>
        <w:spacing w:before="120" w:after="80" w:line="276" w:lineRule="auto"/>
      </w:pPr>
      <w:r>
        <w:t>Explicación detallada de las figuras</w:t>
      </w:r>
    </w:p>
    <w:p>
      <w:pPr>
        <w:spacing w:before="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028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_m2b_competing_risks_sensitiv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28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i/>
          <w:color w:val="505050"/>
          <w:sz w:val="19"/>
        </w:rPr>
        <w:t>Figura 54. Sensibilidad de riesgos competitivos en M2b.</w:t>
      </w:r>
    </w:p>
    <w:p>
      <w:pPr>
        <w:spacing w:before="0" w:after="100" w:line="276" w:lineRule="auto"/>
      </w:pPr>
      <w:r>
        <w:t>Esta figura amplía el modelo principal M2b sin reemplazarlo. Usa Aalen–Johansen para estimar incidencia acumulada y mostrar cómo cambian las curvas cuando se respeta la existencia de muertes por otras causas.</w:t>
      </w:r>
    </w:p>
    <w:p>
      <w:pPr>
        <w:spacing w:before="0" w:after="100" w:line="276" w:lineRule="auto"/>
      </w:pPr>
      <w:r>
        <w:t>Los resultados son coherentes con la estratificación del Cox principal. A 60 meses, la incidencia acumulada de muerte por cáncer es aproximadamente 0.016 en bajo riesgo, 0.145 en riesgo intermedio y 0.351 en alto riesgo, mientras que la incidencia por otras causas no sigue el mismo gradiente. Eso refuerza la especificidad biológica del ranking de M2b.</w:t>
      </w:r>
    </w:p>
    <w:p>
      <w:pPr>
        <w:pStyle w:val="Heading1"/>
        <w:spacing w:before="120" w:after="80" w:line="276" w:lineRule="auto"/>
      </w:pPr>
      <w:r>
        <w:t>Limitaciones y precauciones de lectura</w:t>
      </w:r>
    </w:p>
    <w:p>
      <w:pPr>
        <w:spacing w:before="0" w:after="100" w:line="276" w:lineRule="auto"/>
      </w:pPr>
      <w:r>
        <w:t>El hecho de que el script produzca artefactos coherentes no implica automáticamente validez externa. Muchas comprobaciones son internas a la cohorte analizada.</w:t>
      </w:r>
    </w:p>
    <w:p>
      <w:pPr>
        <w:spacing w:before="0" w:after="100" w:line="276" w:lineRule="auto"/>
      </w:pPr>
      <w:r>
        <w:t>Las cifras y gráficos deben leerse dentro de la lógica completa de la pipeline. Ningún notebook aislado basta para sostener por sí solo todas las afirmaciones del proyecto.</w:t>
      </w:r>
    </w:p>
    <w:p>
      <w:pPr>
        <w:spacing w:before="0" w:after="100" w:line="276" w:lineRule="auto"/>
      </w:pPr>
      <w:r>
        <w:t>La sensibilidad con Aalen–Johansen responde a una pregunta complementaria; no autoriza a reinterpretar retrospectivamente el Cox principal como si fuera un modelo Fine–Gray.</w:t>
      </w:r>
    </w:p>
    <w:p>
      <w:pPr>
        <w:pStyle w:val="Heading1"/>
        <w:spacing w:before="120" w:after="80" w:line="276" w:lineRule="auto"/>
      </w:pPr>
      <w:r>
        <w:t>Conexión con el resto de la pipeline</w:t>
      </w:r>
    </w:p>
    <w:p>
      <w:pPr>
        <w:spacing w:before="0" w:after="100" w:line="276" w:lineRule="auto"/>
      </w:pPr>
      <w:r>
        <w:t>Complementa la interpretación de M2b y alimenta la discusión final en 10.</w:t>
      </w:r>
    </w:p>
    <w:sectPr w:rsidR="00FC693F" w:rsidRPr="0006063C" w:rsidSect="00034616">
      <w:footerReference w:type="default" r:id="rId9"/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