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04_notebook_data_cleaning_validation.py</w:t>
      </w:r>
    </w:p>
    <w:p>
      <w:pPr>
        <w:jc w:val="center"/>
      </w:pPr>
      <w:r>
        <w:rPr>
          <w:i/>
          <w:color w:val="5A5A5A"/>
          <w:sz w:val="22"/>
        </w:rPr>
        <w:t>Validación de limpieza, imputación, codificación y NMF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Demostrar que las correcciones y transformaciones aplicadas en 02 son coherentes, seguras y técnicamente justificables.</w:t>
      </w:r>
    </w:p>
    <w:p>
      <w:pPr>
        <w:pStyle w:val="Heading2"/>
      </w:pPr>
      <w:r>
        <w:t>Ubicación en el repositorio</w:t>
      </w:r>
    </w:p>
    <w:p>
      <w:r>
        <w:t>src/04_notebook_data_cleaning_validation.py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El notebook no asume que limpiar es trivial; prueba por qué cada corrección es aceptable.</w:t>
      </w:r>
    </w:p>
    <w:p>
      <w:pPr>
        <w:pStyle w:val="ListBullet"/>
      </w:pPr>
      <w:r>
        <w:t>La validación se divide en fixes deterministas, imputación, codificación, transformaciones logarítmicas, NMF y verificación final del dataset.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7 figuras en outputs/notebook_04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09_deterministic_fixes.png</w:t>
      </w:r>
    </w:p>
    <w:p>
      <w:r>
        <w:drawing>
          <wp:inline xmlns:a="http://schemas.openxmlformats.org/drawingml/2006/main" xmlns:pic="http://schemas.openxmlformats.org/drawingml/2006/picture">
            <wp:extent cx="6035040" cy="2652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terministic_fix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09_deterministic_fixes.png</w:t>
      </w:r>
    </w:p>
    <w:p>
      <w:pPr>
        <w:spacing w:after="160"/>
      </w:pPr>
      <w:r>
        <w:t>Resume las correcciones deterministas previas al split y muestra un ejemplo concreto de limpieza de etiquetas con whitespace. La seguridad de estas correcciones se defiende fila por fila y no como una transformación opaca.</w:t>
      </w:r>
    </w:p>
    <w:p>
      <w:pPr>
        <w:pStyle w:val="Heading2"/>
      </w:pPr>
      <w:r>
        <w:t>10_patient_284_fix.png</w:t>
      </w:r>
    </w:p>
    <w:p>
      <w:r>
        <w:drawing>
          <wp:inline xmlns:a="http://schemas.openxmlformats.org/drawingml/2006/main" xmlns:pic="http://schemas.openxmlformats.org/drawingml/2006/picture">
            <wp:extent cx="6035040" cy="2742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tient_284_f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10_patient_284_fix.png</w:t>
      </w:r>
    </w:p>
    <w:p>
      <w:pPr>
        <w:spacing w:after="160"/>
      </w:pPr>
      <w:r>
        <w:t>Justifica la recodificación del paciente 284. La figura es importante porque muestra una inconsistencia transversal genuina y la resuelve con evidencia clínica concordante.</w:t>
      </w:r>
    </w:p>
    <w:p>
      <w:pPr>
        <w:pStyle w:val="Heading2"/>
      </w:pPr>
      <w:r>
        <w:t>11_imputation_validation.png</w:t>
      </w:r>
    </w:p>
    <w:p>
      <w:r>
        <w:drawing>
          <wp:inline xmlns:a="http://schemas.openxmlformats.org/drawingml/2006/main" xmlns:pic="http://schemas.openxmlformats.org/drawingml/2006/picture">
            <wp:extent cx="6035040" cy="3633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mputation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3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11_imputation_validation.png</w:t>
      </w:r>
    </w:p>
    <w:p>
      <w:pPr>
        <w:spacing w:after="160"/>
      </w:pPr>
      <w:r>
        <w:t>Demuestra que la imputación train-only preserva distribuciones y que las variables usadas por los imputadores son biológicamente razonables.</w:t>
      </w:r>
    </w:p>
    <w:p>
      <w:pPr>
        <w:pStyle w:val="Heading2"/>
      </w:pPr>
      <w:r>
        <w:t>12_encoding_codebook.png</w:t>
      </w:r>
    </w:p>
    <w:p>
      <w:r>
        <w:drawing>
          <wp:inline xmlns:a="http://schemas.openxmlformats.org/drawingml/2006/main" xmlns:pic="http://schemas.openxmlformats.org/drawingml/2006/picture">
            <wp:extent cx="6035040" cy="5979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ncoding_codeb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7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12_encoding_codebook.png</w:t>
      </w:r>
    </w:p>
    <w:p>
      <w:pPr>
        <w:spacing w:after="160"/>
      </w:pPr>
      <w:r>
        <w:t>Funciona como diccionario final de variables. Es la pieza que conecta columnas crudas, variables derivadas y exclusiones por leakage.</w:t>
      </w:r>
    </w:p>
    <w:p>
      <w:pPr>
        <w:pStyle w:val="Heading2"/>
      </w:pPr>
      <w:r>
        <w:t>13_log_transforms.png</w:t>
      </w:r>
    </w:p>
    <w:p>
      <w:r>
        <w:drawing>
          <wp:inline xmlns:a="http://schemas.openxmlformats.org/drawingml/2006/main" xmlns:pic="http://schemas.openxmlformats.org/drawingml/2006/picture">
            <wp:extent cx="6035040" cy="3194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og_transfor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13_log_transforms.png</w:t>
      </w:r>
    </w:p>
    <w:p>
      <w:pPr>
        <w:spacing w:after="160"/>
      </w:pPr>
      <w:r>
        <w:t>Valida que log1p realmente reduce la asimetría de las variables seleccionadas y que la transformación no es arbitraria.</w:t>
      </w:r>
    </w:p>
    <w:p>
      <w:pPr>
        <w:pStyle w:val="Heading2"/>
      </w:pPr>
      <w:r>
        <w:t>14_nmf_gene_programmes.png</w:t>
      </w:r>
    </w:p>
    <w:p>
      <w:r>
        <w:drawing>
          <wp:inline xmlns:a="http://schemas.openxmlformats.org/drawingml/2006/main" xmlns:pic="http://schemas.openxmlformats.org/drawingml/2006/picture">
            <wp:extent cx="6035040" cy="2988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mf_gene_program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14_nmf_gene_programmes.png</w:t>
      </w:r>
    </w:p>
    <w:p>
      <w:pPr>
        <w:spacing w:after="160"/>
      </w:pPr>
      <w:r>
        <w:t>Explica el NMF como capa biológica interpretable: convergencia, rationale frente a PCA y anotación manual de los programas más informativos.</w:t>
      </w:r>
    </w:p>
    <w:p>
      <w:pPr>
        <w:pStyle w:val="Heading2"/>
      </w:pPr>
      <w:r>
        <w:t>15_final_validation.png</w:t>
      </w:r>
    </w:p>
    <w:p>
      <w:r>
        <w:drawing>
          <wp:inline xmlns:a="http://schemas.openxmlformats.org/drawingml/2006/main" xmlns:pic="http://schemas.openxmlformats.org/drawingml/2006/picture">
            <wp:extent cx="6035040" cy="3739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inal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3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15_final_validation.png</w:t>
      </w:r>
    </w:p>
    <w:p>
      <w:pPr>
        <w:spacing w:after="160"/>
      </w:pPr>
      <w:r>
        <w:t>Cierra la etapa de preparación con un chequeo de integridad: tamaño de features por modelo, ausencia de NaN, balance train/test y exclusiones correctamente aplicadas.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