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04c_notebook_product_support_plots.patched.py</w:t>
      </w:r>
    </w:p>
    <w:p>
      <w:pPr>
        <w:jc w:val="center"/>
      </w:pPr>
      <w:r>
        <w:rPr>
          <w:i/>
          <w:color w:val="5A5A5A"/>
          <w:sz w:val="22"/>
        </w:rPr>
        <w:t>Soporte visual orientado a uso productivo: calibración, umbrales y estratificación de riesgo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Generar figuras de interpretación operacional para M1b y M2b una vez bloqueados los modelos ganadores.</w:t>
      </w:r>
    </w:p>
    <w:p>
      <w:pPr>
        <w:pStyle w:val="Heading2"/>
      </w:pPr>
      <w:r>
        <w:t>Ubicación en el repositorio</w:t>
      </w:r>
    </w:p>
    <w:p>
      <w:r>
        <w:t>src_patched/04c_notebook_product_support_plots.patched.py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La calibración y los umbrales se reportan sobre el test bloqueado después de cerrar la selección en training.</w:t>
      </w:r>
    </w:p>
    <w:p>
      <w:pPr>
        <w:pStyle w:val="ListBullet"/>
      </w:pPr>
      <w:r>
        <w:t>Para M2b se prioriza la estratificación por grupos de riesgo y curvas de supervivencia como salida clínicamente interpretable.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28c_m1b_calibration.png</w:t>
      </w:r>
    </w:p>
    <w:p>
      <w:pPr>
        <w:pStyle w:val="ListBullet"/>
      </w:pPr>
      <w:r>
        <w:t>28d_m2b_km_risk_groups.png</w:t>
      </w:r>
    </w:p>
    <w:p>
      <w:pPr>
        <w:pStyle w:val="ListBullet"/>
      </w:pPr>
      <w:r>
        <w:t>28e_m1b_threshold_tradeoffs.png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p>
      <w:r>
        <w:br w:type="page"/>
      </w:r>
    </w:p>
    <w:p>
      <w:pPr>
        <w:pStyle w:val="Heading1"/>
      </w:pPr>
      <w:r>
        <w:t>Figuras y explicación</w:t>
      </w:r>
    </w:p>
    <w:p>
      <w:pPr>
        <w:pStyle w:val="Heading2"/>
      </w:pPr>
      <w:r>
        <w:t>28c_m1b_calibration.png</w:t>
      </w:r>
    </w:p>
    <w:p>
      <w:r>
        <w:drawing>
          <wp:inline xmlns:a="http://schemas.openxmlformats.org/drawingml/2006/main" xmlns:pic="http://schemas.openxmlformats.org/drawingml/2006/picture">
            <wp:extent cx="6035040" cy="2508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c_m1b_calib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08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28c_m1b_calibration.png</w:t>
      </w:r>
    </w:p>
    <w:p>
      <w:pPr>
        <w:spacing w:after="160"/>
      </w:pPr>
      <w:r>
        <w:t>Evalúa si las probabilidades de M1b son utilizables como riesgo absoluto. La combinación de AUC, PR-AUC, Brier y ECE evita resumir el modelo con un solo número.</w:t>
      </w:r>
    </w:p>
    <w:p>
      <w:pPr>
        <w:pStyle w:val="Heading2"/>
      </w:pPr>
      <w:r>
        <w:t>28e_m1b_threshold_tradeoffs.png</w:t>
      </w:r>
    </w:p>
    <w:p>
      <w:r>
        <w:drawing>
          <wp:inline xmlns:a="http://schemas.openxmlformats.org/drawingml/2006/main" xmlns:pic="http://schemas.openxmlformats.org/drawingml/2006/picture">
            <wp:extent cx="6035040" cy="298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e_m1b_threshold_tradeoff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28e_m1b_threshold_tradeoffs.png</w:t>
      </w:r>
    </w:p>
    <w:p>
      <w:pPr>
        <w:spacing w:after="160"/>
      </w:pPr>
      <w:r>
        <w:t>Muestra el coste de mover el umbral operativo. La sensibilidad baja y la especificidad sube al endurecer la decisión; por eso la selección del threshold debe justificarse por contexto de uso.</w:t>
      </w:r>
    </w:p>
    <w:p>
      <w:pPr>
        <w:pStyle w:val="Heading2"/>
      </w:pPr>
      <w:r>
        <w:t>28d_m2b_km_risk_groups.png</w:t>
      </w:r>
    </w:p>
    <w:p>
      <w:r>
        <w:drawing>
          <wp:inline xmlns:a="http://schemas.openxmlformats.org/drawingml/2006/main" xmlns:pic="http://schemas.openxmlformats.org/drawingml/2006/picture">
            <wp:extent cx="6035040" cy="23154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d_m2b_km_risk_grou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15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Figura: 28d_m2b_km_risk_groups.png</w:t>
      </w:r>
    </w:p>
    <w:p>
      <w:pPr>
        <w:spacing w:after="160"/>
      </w:pPr>
      <w:r>
        <w:t>Presenta M2b como una herramienta de estratificación temporal: grupos bajo/medio/alto riesgo con separación visible en las curvas KM y diferencias claras en tasa de evento y tiempo mediano.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