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09_notebook_model_interpretation.patched.py</w:t>
      </w:r>
    </w:p>
    <w:p>
      <w:pPr>
        <w:jc w:val="center"/>
      </w:pPr>
      <w:r>
        <w:rPr>
          <w:i/>
          <w:color w:val="5A5A5A"/>
          <w:sz w:val="22"/>
        </w:rPr>
        <w:t>Interpretación global y coeficientes lineales de los modelos finales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Traducir los modelos finales a variables comprensibles, distinguiendo entre importancia global, coeficientes lineales y señales específicas de Cox.</w:t>
      </w:r>
    </w:p>
    <w:p>
      <w:pPr>
        <w:pStyle w:val="Heading2"/>
      </w:pPr>
      <w:r>
        <w:t>Ubicación en el repositorio</w:t>
      </w:r>
    </w:p>
    <w:p>
      <w:r>
        <w:t>src_patched/09_notebook_model_interpretation.patched.py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La interpretación se apoya en artefactos precomputados para no alterar el estado del modelado.</w:t>
      </w:r>
    </w:p>
    <w:p>
      <w:pPr>
        <w:pStyle w:val="ListBullet"/>
      </w:pPr>
      <w:r>
        <w:t>Se separa importancia por permutación de coeficientes lineales, porque no responden a la misma pregunta.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35_global_importance.png</w:t>
      </w:r>
    </w:p>
    <w:p>
      <w:pPr>
        <w:pStyle w:val="ListBullet"/>
      </w:pPr>
      <w:r>
        <w:t>36_linear_coefficients.png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35_global_importance.png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global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35_global_importance.png</w:t>
      </w:r>
    </w:p>
    <w:p>
      <w:pPr>
        <w:spacing w:after="160"/>
      </w:pPr>
      <w:r>
        <w:t>La importancia global por permutación resume qué variables sostienen la predicción en cada tarea. Es útil para comparación transversal entre tareas y para identificar si dominan señales clínicas, programas o labels derivados.</w:t>
      </w:r>
    </w:p>
    <w:p>
      <w:pPr>
        <w:pStyle w:val="Heading2"/>
      </w:pPr>
      <w:r>
        <w:t>36_linear_coefficients.png</w:t>
      </w:r>
    </w:p>
    <w:p>
      <w:r>
        <w:drawing>
          <wp:inline xmlns:a="http://schemas.openxmlformats.org/drawingml/2006/main" xmlns:pic="http://schemas.openxmlformats.org/drawingml/2006/picture">
            <wp:extent cx="6035040" cy="4514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linear_coeffic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1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36_linear_coefficients.png</w:t>
      </w:r>
    </w:p>
    <w:p>
      <w:pPr>
        <w:spacing w:after="160"/>
      </w:pPr>
      <w:r>
        <w:t>Los coeficientes lineales permiten una lectura más mecanística en los modelos lineales y Cox. Ayudan a discutir dirección del efecto, aunque siempre dentro de la parametrización concreta del modelo.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