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10_notebook_clinical_discussion.patched.py</w:t>
      </w:r>
    </w:p>
    <w:p>
      <w:pPr>
        <w:jc w:val="center"/>
      </w:pPr>
      <w:r>
        <w:rPr>
          <w:i/>
          <w:color w:val="5A5A5A"/>
          <w:sz w:val="22"/>
        </w:rPr>
        <w:t>Discusión final, capacidad real y límites de uso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Convertir métricas y figuras en una lectura final del alcance real de la pipeline: qué puede hacer bien, qué no y qué debe interpretarse con cautela.</w:t>
      </w:r>
    </w:p>
    <w:p>
      <w:pPr>
        <w:pStyle w:val="Heading2"/>
      </w:pPr>
      <w:r>
        <w:t>Ubicación en el repositorio</w:t>
      </w:r>
    </w:p>
    <w:p>
      <w:r>
        <w:t>src_patched/10_notebook_clinical_discussion.patched.py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notebook evita vender el proyecto como sustituto clínico; delimita claramente alcance y limitaciones.</w:t>
      </w:r>
    </w:p>
    <w:p>
      <w:pPr>
        <w:pStyle w:val="ListBullet"/>
      </w:pPr>
      <w:r>
        <w:t>Se incorporan métricas de calibración y umbrales, no solo discriminación.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42_capability_assessment.png</w:t>
      </w:r>
    </w:p>
    <w:p>
      <w:pPr>
        <w:pStyle w:val="ListBullet"/>
      </w:pPr>
      <w:r>
        <w:t>43_key_findings_and_limitations.png</w:t>
      </w:r>
    </w:p>
    <w:p>
      <w:pPr>
        <w:pStyle w:val="ListBullet"/>
      </w:pPr>
      <w:r>
        <w:t>44_binary_metrics_detail.png</w:t>
      </w:r>
    </w:p>
    <w:p>
      <w:pPr>
        <w:pStyle w:val="ListBullet"/>
      </w:pPr>
      <w:r>
        <w:t>45_m1b_threshold_report.png</w:t>
      </w:r>
    </w:p>
    <w:p>
      <w:pPr>
        <w:pStyle w:val="ListBullet"/>
      </w:pPr>
      <w:r>
        <w:t>46_m2b_competing_risk_summary.png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42_capability_assessment.png</w:t>
      </w:r>
    </w:p>
    <w:p>
      <w:r>
        <w:drawing>
          <wp:inline xmlns:a="http://schemas.openxmlformats.org/drawingml/2006/main" xmlns:pic="http://schemas.openxmlformats.org/drawingml/2006/picture">
            <wp:extent cx="6035040" cy="3070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capability_assess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42_capability_assessment.png</w:t>
      </w:r>
    </w:p>
    <w:p>
      <w:pPr>
        <w:spacing w:after="160"/>
      </w:pPr>
      <w:r>
        <w:t>Resume la capacidad práctica de cada modelo final. La clave es que cada tarea se formula con una utilidad distinta: estratificación de riesgo, ranking temporal o apoyo a subtipo/grade.</w:t>
      </w:r>
    </w:p>
    <w:p>
      <w:pPr>
        <w:pStyle w:val="Heading2"/>
      </w:pPr>
      <w:r>
        <w:t>43_key_findings_and_limitations.png</w:t>
      </w:r>
    </w:p>
    <w:p>
      <w:r>
        <w:drawing>
          <wp:inline xmlns:a="http://schemas.openxmlformats.org/drawingml/2006/main" xmlns:pic="http://schemas.openxmlformats.org/drawingml/2006/picture">
            <wp:extent cx="6035040" cy="2993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key_findings_and_limi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43_key_findings_and_limitations.png</w:t>
      </w:r>
    </w:p>
    <w:p>
      <w:pPr>
        <w:spacing w:after="160"/>
      </w:pPr>
      <w:r>
        <w:t>Sintetiza los hallazgos técnicos del proyecto y también sus límites persistentes. Es la figura que mejor explica la versión final del pipeline en términos narrativos.</w:t>
      </w:r>
    </w:p>
    <w:p>
      <w:pPr>
        <w:pStyle w:val="Heading2"/>
      </w:pPr>
      <w:r>
        <w:t>44_binary_metrics_detail.png</w:t>
      </w:r>
    </w:p>
    <w:p>
      <w:r>
        <w:drawing>
          <wp:inline xmlns:a="http://schemas.openxmlformats.org/drawingml/2006/main" xmlns:pic="http://schemas.openxmlformats.org/drawingml/2006/picture">
            <wp:extent cx="6035040" cy="2168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binary_metrics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44_binary_metrics_detail.png</w:t>
      </w:r>
    </w:p>
    <w:p>
      <w:pPr>
        <w:spacing w:after="160"/>
      </w:pPr>
      <w:r>
        <w:t>Detalle específico de métricas diagnósticas para las tareas binarias. Introduce PR-AUC, Brier y ECE como parte del reporte estándar.</w:t>
      </w:r>
    </w:p>
    <w:p>
      <w:pPr>
        <w:pStyle w:val="Heading2"/>
      </w:pPr>
      <w:r>
        <w:t>45_m1b_threshold_report.png</w:t>
      </w:r>
    </w:p>
    <w:p>
      <w:r>
        <w:drawing>
          <wp:inline xmlns:a="http://schemas.openxmlformats.org/drawingml/2006/main" xmlns:pic="http://schemas.openxmlformats.org/drawingml/2006/picture">
            <wp:extent cx="6035040" cy="2987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m1b_threshold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45_m1b_threshold_report.png</w:t>
      </w:r>
    </w:p>
    <w:p>
      <w:pPr>
        <w:spacing w:after="160"/>
      </w:pPr>
      <w:r>
        <w:t>Reitera que M1b necesita una política de umbral explícita. La figura convierte la calibración en una decisión operativa, no solo analítica.</w:t>
      </w:r>
    </w:p>
    <w:p>
      <w:pPr>
        <w:pStyle w:val="Heading2"/>
      </w:pPr>
      <w:r>
        <w:t>46_m2b_competing_risk_summary.png</w:t>
      </w:r>
    </w:p>
    <w:p>
      <w:r>
        <w:drawing>
          <wp:inline xmlns:a="http://schemas.openxmlformats.org/drawingml/2006/main" xmlns:pic="http://schemas.openxmlformats.org/drawingml/2006/picture">
            <wp:extent cx="6035040" cy="251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m2b_competing_risk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46_m2b_competing_risk_summary.png</w:t>
      </w:r>
    </w:p>
    <w:p>
      <w:pPr>
        <w:spacing w:after="160"/>
      </w:pPr>
      <w:r>
        <w:t>Resume la sensibilidad de competing risks para M2b sin confundirla con el modelo principal. Es una lectura complementaria, no un reemplazo del Cox cause-specific.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