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093BB" w14:textId="77777777" w:rsidR="0048737C" w:rsidRDefault="0048737C" w:rsidP="0048737C">
      <w:pPr>
        <w:widowControl w:val="0"/>
        <w:autoSpaceDE w:val="0"/>
        <w:autoSpaceDN w:val="0"/>
        <w:adjustRightInd w:val="0"/>
        <w:rPr>
          <w:rFonts w:ascii="Cambria" w:hAnsi="Cambria" w:cs="Cambria"/>
          <w:b/>
          <w:bCs/>
          <w:color w:val="2A4B7E"/>
          <w:sz w:val="37"/>
          <w:szCs w:val="37"/>
        </w:rPr>
      </w:pPr>
      <w:r>
        <w:rPr>
          <w:rFonts w:ascii="Cambria" w:hAnsi="Cambria" w:cs="Cambria"/>
          <w:b/>
          <w:bCs/>
          <w:color w:val="2A4B7E"/>
          <w:sz w:val="37"/>
          <w:szCs w:val="37"/>
        </w:rPr>
        <w:t>Appendix A to the 2016 PARCC Consortium Growth Model Report:</w:t>
      </w:r>
    </w:p>
    <w:p w14:paraId="48603BE8" w14:textId="77777777" w:rsidR="0048737C" w:rsidRDefault="0048737C" w:rsidP="0048737C">
      <w:pPr>
        <w:widowControl w:val="0"/>
        <w:autoSpaceDE w:val="0"/>
        <w:autoSpaceDN w:val="0"/>
        <w:adjustRightInd w:val="0"/>
        <w:rPr>
          <w:rFonts w:ascii="Cambria" w:hAnsi="Cambria" w:cs="Cambria"/>
          <w:b/>
          <w:bCs/>
          <w:color w:val="3F6CAF"/>
          <w:sz w:val="29"/>
          <w:szCs w:val="29"/>
        </w:rPr>
      </w:pPr>
      <w:r>
        <w:rPr>
          <w:rFonts w:ascii="Cambria" w:hAnsi="Cambria" w:cs="Cambria"/>
          <w:b/>
          <w:bCs/>
          <w:i/>
          <w:iCs/>
          <w:color w:val="3F6CAF"/>
          <w:sz w:val="29"/>
          <w:szCs w:val="29"/>
        </w:rPr>
        <w:t>Growth Model Fit Plots</w:t>
      </w:r>
    </w:p>
    <w:p w14:paraId="2EE71E5B" w14:textId="77777777" w:rsidR="0048737C" w:rsidRDefault="0048737C" w:rsidP="0048737C">
      <w:pPr>
        <w:widowControl w:val="0"/>
        <w:autoSpaceDE w:val="0"/>
        <w:autoSpaceDN w:val="0"/>
        <w:adjustRightInd w:val="0"/>
        <w:rPr>
          <w:rFonts w:ascii="Cambria" w:hAnsi="Cambria" w:cs="Cambria"/>
          <w:b/>
          <w:bCs/>
          <w:i/>
          <w:iCs/>
          <w:color w:val="3F6CAF"/>
          <w:sz w:val="29"/>
          <w:szCs w:val="29"/>
        </w:rPr>
      </w:pPr>
      <w:r>
        <w:rPr>
          <w:rFonts w:ascii="Cambria" w:hAnsi="Cambria" w:cs="Cambria"/>
          <w:b/>
          <w:bCs/>
          <w:i/>
          <w:iCs/>
          <w:color w:val="3F6CAF"/>
          <w:sz w:val="29"/>
          <w:szCs w:val="29"/>
        </w:rPr>
        <w:t>January 2017</w:t>
      </w:r>
    </w:p>
    <w:p w14:paraId="73845230" w14:textId="77777777" w:rsidR="0048737C" w:rsidRDefault="0048737C" w:rsidP="0048737C">
      <w:pPr>
        <w:widowControl w:val="0"/>
        <w:autoSpaceDE w:val="0"/>
        <w:autoSpaceDN w:val="0"/>
        <w:adjustRightInd w:val="0"/>
        <w:rPr>
          <w:rFonts w:ascii="Cambria" w:hAnsi="Cambria" w:cs="Cambria"/>
          <w:b/>
          <w:bCs/>
          <w:color w:val="2A4B7E"/>
          <w:sz w:val="37"/>
          <w:szCs w:val="37"/>
        </w:rPr>
      </w:pPr>
    </w:p>
    <w:p w14:paraId="3651E011" w14:textId="77777777" w:rsidR="0048737C" w:rsidRDefault="0048737C" w:rsidP="0048737C">
      <w:pPr>
        <w:widowControl w:val="0"/>
        <w:autoSpaceDE w:val="0"/>
        <w:autoSpaceDN w:val="0"/>
        <w:adjustRightInd w:val="0"/>
        <w:rPr>
          <w:rFonts w:ascii="Cambria" w:hAnsi="Cambria" w:cs="Cambria"/>
          <w:b/>
          <w:bCs/>
          <w:color w:val="2A4B7E"/>
          <w:sz w:val="37"/>
          <w:szCs w:val="37"/>
        </w:rPr>
      </w:pPr>
    </w:p>
    <w:p w14:paraId="7E0DC3EA" w14:textId="77777777" w:rsidR="0048737C" w:rsidRDefault="0048737C" w:rsidP="0048737C">
      <w:pPr>
        <w:widowControl w:val="0"/>
        <w:autoSpaceDE w:val="0"/>
        <w:autoSpaceDN w:val="0"/>
        <w:adjustRightInd w:val="0"/>
        <w:rPr>
          <w:rFonts w:ascii="Cambria" w:hAnsi="Cambria" w:cs="Cambria"/>
          <w:b/>
          <w:bCs/>
          <w:color w:val="2A4B7E"/>
          <w:sz w:val="37"/>
          <w:szCs w:val="37"/>
        </w:rPr>
      </w:pPr>
      <w:r>
        <w:rPr>
          <w:rFonts w:ascii="Cambria" w:hAnsi="Cambria" w:cs="Cambria"/>
          <w:b/>
          <w:bCs/>
          <w:color w:val="2A4B7E"/>
          <w:sz w:val="37"/>
          <w:szCs w:val="37"/>
        </w:rPr>
        <w:t>1 Student Growth Percentile Fit Plots</w:t>
      </w:r>
    </w:p>
    <w:p w14:paraId="7121DCBE" w14:textId="77777777" w:rsidR="0048737C" w:rsidRDefault="0048737C" w:rsidP="0048737C">
      <w:pPr>
        <w:widowControl w:val="0"/>
        <w:autoSpaceDE w:val="0"/>
        <w:autoSpaceDN w:val="0"/>
        <w:adjustRightInd w:val="0"/>
        <w:rPr>
          <w:rFonts w:ascii="Calibri" w:hAnsi="Calibri" w:cs="Calibri"/>
          <w:sz w:val="29"/>
          <w:szCs w:val="29"/>
        </w:rPr>
      </w:pPr>
      <w:r>
        <w:rPr>
          <w:rFonts w:ascii="Calibri" w:hAnsi="Calibri" w:cs="Calibri"/>
          <w:sz w:val="29"/>
          <w:szCs w:val="29"/>
        </w:rPr>
        <w:t>A goodness of fit plot is produced for each unique Spring 2016 Student Growth Percentile (SGP) analysis. All fit plots will contain at least four panels. Each panel is a different depiction of the distribution of the SGPs calculated in that analysis relative to the students’ prior or current achievement (i.e. the test scores used as the independent and dependent variables in the model).</w:t>
      </w:r>
    </w:p>
    <w:p w14:paraId="3B1E653A" w14:textId="77777777" w:rsidR="0048737C" w:rsidRDefault="0048737C" w:rsidP="0048737C">
      <w:pPr>
        <w:widowControl w:val="0"/>
        <w:autoSpaceDE w:val="0"/>
        <w:autoSpaceDN w:val="0"/>
        <w:adjustRightInd w:val="0"/>
        <w:rPr>
          <w:rFonts w:ascii="Calibri" w:hAnsi="Calibri" w:cs="Calibri"/>
          <w:sz w:val="29"/>
          <w:szCs w:val="29"/>
        </w:rPr>
      </w:pPr>
      <w:r>
        <w:rPr>
          <w:rFonts w:ascii="Calibri" w:hAnsi="Calibri" w:cs="Calibri"/>
          <w:sz w:val="29"/>
          <w:szCs w:val="29"/>
        </w:rPr>
        <w:t>The top panel is a mosaic plot that shows the percentage of students that fall into each prior proficiency level, and the location of the 10</w:t>
      </w:r>
      <w:r>
        <w:rPr>
          <w:rFonts w:ascii="Calibri" w:hAnsi="Calibri" w:cs="Calibri"/>
          <w:vertAlign w:val="superscript"/>
        </w:rPr>
        <w:t>th</w:t>
      </w:r>
      <w:r>
        <w:rPr>
          <w:rFonts w:ascii="Calibri" w:hAnsi="Calibri" w:cs="Calibri"/>
          <w:sz w:val="29"/>
          <w:szCs w:val="29"/>
        </w:rPr>
        <w:t xml:space="preserve"> through 90</w:t>
      </w:r>
      <w:r>
        <w:rPr>
          <w:rFonts w:ascii="Calibri" w:hAnsi="Calibri" w:cs="Calibri"/>
          <w:vertAlign w:val="superscript"/>
        </w:rPr>
        <w:t>th</w:t>
      </w:r>
      <w:r>
        <w:rPr>
          <w:rFonts w:ascii="Calibri" w:hAnsi="Calibri" w:cs="Calibri"/>
          <w:sz w:val="29"/>
          <w:szCs w:val="29"/>
        </w:rPr>
        <w:t xml:space="preserve"> </w:t>
      </w:r>
      <w:proofErr w:type="spellStart"/>
      <w:r>
        <w:rPr>
          <w:rFonts w:ascii="Calibri" w:hAnsi="Calibri" w:cs="Calibri"/>
          <w:sz w:val="29"/>
          <w:szCs w:val="29"/>
        </w:rPr>
        <w:t>quantiles</w:t>
      </w:r>
      <w:proofErr w:type="spellEnd"/>
      <w:r>
        <w:rPr>
          <w:rFonts w:ascii="Calibri" w:hAnsi="Calibri" w:cs="Calibri"/>
          <w:sz w:val="29"/>
          <w:szCs w:val="29"/>
        </w:rPr>
        <w:t xml:space="preserve"> of the SGP distribution represented as dashed white lines (with the exception of the solid white line for the median/50</w:t>
      </w:r>
      <w:r>
        <w:rPr>
          <w:rFonts w:ascii="Calibri" w:hAnsi="Calibri" w:cs="Calibri"/>
          <w:vertAlign w:val="superscript"/>
        </w:rPr>
        <w:t>th</w:t>
      </w:r>
      <w:r>
        <w:rPr>
          <w:rFonts w:ascii="Calibri" w:hAnsi="Calibri" w:cs="Calibri"/>
          <w:sz w:val="29"/>
          <w:szCs w:val="29"/>
        </w:rPr>
        <w:t xml:space="preserve"> percentile). Ideally the median SGP will be at or near 50 for all prior achievement level groups. The top panel is excluded when students’ prior achievement level data is unavailable.</w:t>
      </w:r>
    </w:p>
    <w:p w14:paraId="181E33D2" w14:textId="77777777" w:rsidR="0048737C" w:rsidRDefault="0048737C" w:rsidP="0048737C">
      <w:pPr>
        <w:widowControl w:val="0"/>
        <w:autoSpaceDE w:val="0"/>
        <w:autoSpaceDN w:val="0"/>
        <w:adjustRightInd w:val="0"/>
        <w:rPr>
          <w:rFonts w:ascii="Calibri" w:hAnsi="Calibri" w:cs="Calibri"/>
          <w:sz w:val="29"/>
          <w:szCs w:val="29"/>
        </w:rPr>
      </w:pPr>
      <w:r>
        <w:rPr>
          <w:rFonts w:ascii="Calibri" w:hAnsi="Calibri" w:cs="Calibri"/>
          <w:sz w:val="29"/>
          <w:szCs w:val="29"/>
        </w:rPr>
        <w:t xml:space="preserve">The “Ceiling/Floor Effects Test” panel helps identify problems in SGP estimation at the Highest and Lowest Obtainable/Observed Scale Scores (HOSS and LOSS). Appendix C provides a more detailed description of ceiling and floor effects and their causes. The table of values shows whether the current year scores at both extremes yield expected SGP values. The expectation is that the majority of SGPs for students scoring at or near the LOSS will be low (preferably less than 5 and not higher than 20), and that SGPs for students scoring at or near the HOSS will be high (preferably higher than 95 and not less than 80). Because few students may score </w:t>
      </w:r>
      <w:r>
        <w:rPr>
          <w:rFonts w:ascii="Calibri" w:hAnsi="Calibri" w:cs="Calibri"/>
          <w:i/>
          <w:iCs/>
          <w:sz w:val="29"/>
          <w:szCs w:val="29"/>
        </w:rPr>
        <w:t>exactly</w:t>
      </w:r>
      <w:r>
        <w:rPr>
          <w:rFonts w:ascii="Calibri" w:hAnsi="Calibri" w:cs="Calibri"/>
          <w:sz w:val="29"/>
          <w:szCs w:val="29"/>
        </w:rPr>
        <w:t xml:space="preserve"> at the HOSS/LOSS, the top/bottom 50 students are selected and any student scoring within their range of scores are selected for inclusion in these tables. Consequently, there may be a range of scores at the HOSS/LOSS rather than a single score, and there may be more than 50 students included in the HOSS/LOSS row if the 50 students at the extremes only contain the single HOSS/LOSS score.</w:t>
      </w:r>
    </w:p>
    <w:p w14:paraId="59B6B948" w14:textId="77777777" w:rsidR="0048737C" w:rsidRDefault="0048737C" w:rsidP="0048737C">
      <w:pPr>
        <w:widowControl w:val="0"/>
        <w:autoSpaceDE w:val="0"/>
        <w:autoSpaceDN w:val="0"/>
        <w:adjustRightInd w:val="0"/>
        <w:rPr>
          <w:rFonts w:ascii="Calibri" w:hAnsi="Calibri" w:cs="Calibri"/>
          <w:sz w:val="29"/>
          <w:szCs w:val="29"/>
          <w:u w:color="0000E9"/>
        </w:rPr>
      </w:pPr>
      <w:r>
        <w:rPr>
          <w:rFonts w:ascii="Calibri" w:hAnsi="Calibri" w:cs="Calibri"/>
          <w:sz w:val="29"/>
          <w:szCs w:val="29"/>
        </w:rPr>
        <w:t xml:space="preserve">The “Student Growth Percentile Range” panel at bottom left shows the empirical distribution of SGPs given prior scale score </w:t>
      </w:r>
      <w:proofErr w:type="spellStart"/>
      <w:r>
        <w:rPr>
          <w:rFonts w:ascii="Calibri" w:hAnsi="Calibri" w:cs="Calibri"/>
          <w:sz w:val="29"/>
          <w:szCs w:val="29"/>
        </w:rPr>
        <w:t>deciles</w:t>
      </w:r>
      <w:proofErr w:type="spellEnd"/>
      <w:r>
        <w:rPr>
          <w:rFonts w:ascii="Calibri" w:hAnsi="Calibri" w:cs="Calibri"/>
          <w:sz w:val="29"/>
          <w:szCs w:val="29"/>
        </w:rPr>
        <w:t xml:space="preserve"> in the form of a 10 by 10 cell grid. Percentages of student growth percentiles between the 10</w:t>
      </w:r>
      <w:r>
        <w:rPr>
          <w:rFonts w:ascii="Calibri" w:hAnsi="Calibri" w:cs="Calibri"/>
          <w:vertAlign w:val="superscript"/>
        </w:rPr>
        <w:t>th</w:t>
      </w:r>
      <w:r>
        <w:rPr>
          <w:rFonts w:ascii="Calibri" w:hAnsi="Calibri" w:cs="Calibri"/>
          <w:sz w:val="29"/>
          <w:szCs w:val="29"/>
        </w:rPr>
        <w:t xml:space="preserve">, </w:t>
      </w:r>
      <w:r>
        <w:rPr>
          <w:rFonts w:ascii="Calibri" w:hAnsi="Calibri" w:cs="Calibri"/>
          <w:sz w:val="29"/>
          <w:szCs w:val="29"/>
        </w:rPr>
        <w:lastRenderedPageBreak/>
        <w:t>20</w:t>
      </w:r>
      <w:r>
        <w:rPr>
          <w:rFonts w:ascii="Calibri" w:hAnsi="Calibri" w:cs="Calibri"/>
          <w:vertAlign w:val="superscript"/>
        </w:rPr>
        <w:t>th</w:t>
      </w:r>
      <w:r>
        <w:rPr>
          <w:rFonts w:ascii="Calibri" w:hAnsi="Calibri" w:cs="Calibri"/>
          <w:sz w:val="29"/>
          <w:szCs w:val="29"/>
        </w:rPr>
        <w:t>, 30</w:t>
      </w:r>
      <w:r>
        <w:rPr>
          <w:rFonts w:ascii="Calibri" w:hAnsi="Calibri" w:cs="Calibri"/>
          <w:vertAlign w:val="superscript"/>
        </w:rPr>
        <w:t>th</w:t>
      </w:r>
      <w:r>
        <w:rPr>
          <w:rFonts w:ascii="Calibri" w:hAnsi="Calibri" w:cs="Calibri"/>
          <w:sz w:val="29"/>
          <w:szCs w:val="29"/>
        </w:rPr>
        <w:t>, 40</w:t>
      </w:r>
      <w:r>
        <w:rPr>
          <w:rFonts w:ascii="Calibri" w:hAnsi="Calibri" w:cs="Calibri"/>
          <w:vertAlign w:val="superscript"/>
        </w:rPr>
        <w:t>th</w:t>
      </w:r>
      <w:r>
        <w:rPr>
          <w:rFonts w:ascii="Calibri" w:hAnsi="Calibri" w:cs="Calibri"/>
          <w:sz w:val="29"/>
          <w:szCs w:val="29"/>
        </w:rPr>
        <w:t>, 50</w:t>
      </w:r>
      <w:r>
        <w:rPr>
          <w:rFonts w:ascii="Calibri" w:hAnsi="Calibri" w:cs="Calibri"/>
          <w:vertAlign w:val="superscript"/>
        </w:rPr>
        <w:t>th</w:t>
      </w:r>
      <w:r>
        <w:rPr>
          <w:rFonts w:ascii="Calibri" w:hAnsi="Calibri" w:cs="Calibri"/>
          <w:sz w:val="29"/>
          <w:szCs w:val="29"/>
        </w:rPr>
        <w:t>, 60</w:t>
      </w:r>
      <w:r>
        <w:rPr>
          <w:rFonts w:ascii="Calibri" w:hAnsi="Calibri" w:cs="Calibri"/>
          <w:vertAlign w:val="superscript"/>
        </w:rPr>
        <w:t>th</w:t>
      </w:r>
      <w:r>
        <w:rPr>
          <w:rFonts w:ascii="Calibri" w:hAnsi="Calibri" w:cs="Calibri"/>
          <w:sz w:val="29"/>
          <w:szCs w:val="29"/>
        </w:rPr>
        <w:t>, 70</w:t>
      </w:r>
      <w:r>
        <w:rPr>
          <w:rFonts w:ascii="Calibri" w:hAnsi="Calibri" w:cs="Calibri"/>
          <w:vertAlign w:val="superscript"/>
        </w:rPr>
        <w:t>th</w:t>
      </w:r>
      <w:r>
        <w:rPr>
          <w:rFonts w:ascii="Calibri" w:hAnsi="Calibri" w:cs="Calibri"/>
          <w:sz w:val="29"/>
          <w:szCs w:val="29"/>
        </w:rPr>
        <w:t>, 80</w:t>
      </w:r>
      <w:r>
        <w:rPr>
          <w:rFonts w:ascii="Calibri" w:hAnsi="Calibri" w:cs="Calibri"/>
          <w:vertAlign w:val="superscript"/>
        </w:rPr>
        <w:t>th</w:t>
      </w:r>
      <w:r>
        <w:rPr>
          <w:rFonts w:ascii="Calibri" w:hAnsi="Calibri" w:cs="Calibri"/>
          <w:sz w:val="29"/>
          <w:szCs w:val="29"/>
        </w:rPr>
        <w:t>, and 90</w:t>
      </w:r>
      <w:r>
        <w:rPr>
          <w:rFonts w:ascii="Calibri" w:hAnsi="Calibri" w:cs="Calibri"/>
          <w:vertAlign w:val="superscript"/>
        </w:rPr>
        <w:t>th</w:t>
      </w:r>
      <w:r>
        <w:rPr>
          <w:rFonts w:ascii="Calibri" w:hAnsi="Calibri" w:cs="Calibri"/>
          <w:sz w:val="29"/>
          <w:szCs w:val="29"/>
        </w:rPr>
        <w:t xml:space="preserve"> percentiles were calculated based upon the empirical </w:t>
      </w:r>
      <w:proofErr w:type="spellStart"/>
      <w:r>
        <w:rPr>
          <w:rFonts w:ascii="Calibri" w:hAnsi="Calibri" w:cs="Calibri"/>
          <w:sz w:val="29"/>
          <w:szCs w:val="29"/>
        </w:rPr>
        <w:t>decile</w:t>
      </w:r>
      <w:proofErr w:type="spellEnd"/>
      <w:r>
        <w:rPr>
          <w:rFonts w:ascii="Calibri" w:hAnsi="Calibri" w:cs="Calibri"/>
          <w:sz w:val="29"/>
          <w:szCs w:val="29"/>
        </w:rPr>
        <w:t xml:space="preserve"> of the cohort’s prior year scaled score distribution</w:t>
      </w:r>
      <w:r>
        <w:rPr>
          <w:rFonts w:ascii="Calibri" w:hAnsi="Calibri" w:cs="Calibri"/>
          <w:color w:val="0000E9"/>
          <w:u w:val="single" w:color="0000E9"/>
          <w:vertAlign w:val="superscript"/>
        </w:rPr>
        <w:t>1</w:t>
      </w:r>
      <w:r>
        <w:rPr>
          <w:rFonts w:ascii="Calibri" w:hAnsi="Calibri" w:cs="Calibri"/>
          <w:sz w:val="29"/>
          <w:szCs w:val="29"/>
          <w:u w:color="0000E9"/>
        </w:rPr>
        <w:t xml:space="preserve">. </w:t>
      </w:r>
      <w:proofErr w:type="gramStart"/>
      <w:r>
        <w:rPr>
          <w:rFonts w:ascii="Calibri" w:hAnsi="Calibri" w:cs="Calibri"/>
          <w:sz w:val="29"/>
          <w:szCs w:val="29"/>
          <w:u w:color="0000E9"/>
        </w:rPr>
        <w:t>Deviations from perfect fit are indicated by red and blue shading</w:t>
      </w:r>
      <w:proofErr w:type="gramEnd"/>
      <w:r>
        <w:rPr>
          <w:rFonts w:ascii="Calibri" w:hAnsi="Calibri" w:cs="Calibri"/>
          <w:sz w:val="29"/>
          <w:szCs w:val="29"/>
          <w:u w:color="0000E9"/>
        </w:rPr>
        <w:t xml:space="preserve">. </w:t>
      </w:r>
      <w:proofErr w:type="gramStart"/>
      <w:r>
        <w:rPr>
          <w:rFonts w:ascii="Calibri" w:hAnsi="Calibri" w:cs="Calibri"/>
          <w:sz w:val="29"/>
          <w:szCs w:val="29"/>
          <w:u w:color="0000E9"/>
        </w:rPr>
        <w:t>The further above 10 the darker the red, and the further below 10 the darker the blue.</w:t>
      </w:r>
      <w:proofErr w:type="gramEnd"/>
      <w:r>
        <w:rPr>
          <w:rFonts w:ascii="Calibri" w:hAnsi="Calibri" w:cs="Calibri"/>
          <w:sz w:val="29"/>
          <w:szCs w:val="29"/>
          <w:u w:color="0000E9"/>
        </w:rPr>
        <w:t xml:space="preserve"> A more detailed discussion about the reasons for and implications of model misfit can be found in the “Goodness of Fit” section of the 2016 Georgia Student Growth Model report.</w:t>
      </w:r>
    </w:p>
    <w:p w14:paraId="51EEEF9F" w14:textId="77777777" w:rsidR="0048737C" w:rsidRDefault="0048737C" w:rsidP="0048737C">
      <w:pPr>
        <w:widowControl w:val="0"/>
        <w:autoSpaceDE w:val="0"/>
        <w:autoSpaceDN w:val="0"/>
        <w:adjustRightInd w:val="0"/>
        <w:rPr>
          <w:rFonts w:ascii="Calibri" w:hAnsi="Calibri" w:cs="Calibri"/>
          <w:sz w:val="29"/>
          <w:szCs w:val="29"/>
          <w:u w:color="0000E9"/>
        </w:rPr>
      </w:pPr>
      <w:r>
        <w:rPr>
          <w:rFonts w:ascii="Calibri" w:hAnsi="Calibri" w:cs="Calibri"/>
          <w:sz w:val="29"/>
          <w:szCs w:val="29"/>
          <w:u w:color="0000E9"/>
        </w:rPr>
        <w:t xml:space="preserve">The bottom right panel of each plot is a </w:t>
      </w:r>
      <w:hyperlink r:id="rId5" w:history="1">
        <w:r>
          <w:rPr>
            <w:rFonts w:ascii="Calibri" w:hAnsi="Calibri" w:cs="Calibri"/>
            <w:color w:val="0000E9"/>
            <w:sz w:val="29"/>
            <w:szCs w:val="29"/>
            <w:u w:val="single" w:color="0000E9"/>
          </w:rPr>
          <w:t xml:space="preserve">Q-Q </w:t>
        </w:r>
        <w:proofErr w:type="gramStart"/>
        <w:r>
          <w:rPr>
            <w:rFonts w:ascii="Calibri" w:hAnsi="Calibri" w:cs="Calibri"/>
            <w:color w:val="0000E9"/>
            <w:sz w:val="29"/>
            <w:szCs w:val="29"/>
            <w:u w:val="single" w:color="0000E9"/>
          </w:rPr>
          <w:t>plot</w:t>
        </w:r>
        <w:proofErr w:type="gramEnd"/>
      </w:hyperlink>
      <w:r>
        <w:rPr>
          <w:rFonts w:ascii="Calibri" w:hAnsi="Calibri" w:cs="Calibri"/>
          <w:sz w:val="29"/>
          <w:szCs w:val="29"/>
          <w:u w:color="0000E9"/>
        </w:rPr>
        <w:t xml:space="preserve"> which compares the observed distribution of SGPs with the theoretical (uniform) distribution. An ideal plot here will show black step function lines that do not deviate from the ideal, red line which traces the 45 degree angle of perfect fit.</w:t>
      </w:r>
    </w:p>
    <w:p w14:paraId="566B9940" w14:textId="77777777" w:rsidR="0048737C" w:rsidRDefault="0048737C" w:rsidP="0048737C">
      <w:pPr>
        <w:widowControl w:val="0"/>
        <w:autoSpaceDE w:val="0"/>
        <w:autoSpaceDN w:val="0"/>
        <w:adjustRightInd w:val="0"/>
        <w:rPr>
          <w:rFonts w:ascii="Calibri" w:hAnsi="Calibri" w:cs="Calibri"/>
          <w:sz w:val="29"/>
          <w:szCs w:val="29"/>
          <w:u w:color="0000E9"/>
        </w:rPr>
      </w:pPr>
      <w:r>
        <w:rPr>
          <w:rFonts w:ascii="Calibri" w:hAnsi="Calibri" w:cs="Calibri"/>
          <w:sz w:val="29"/>
          <w:szCs w:val="29"/>
          <w:u w:color="0000E9"/>
        </w:rPr>
        <w:t xml:space="preserve">Goodness of fit plots for SIMEX measurement error corrected models </w:t>
      </w:r>
      <w:proofErr w:type="gramStart"/>
      <w:r>
        <w:rPr>
          <w:rFonts w:ascii="Calibri" w:hAnsi="Calibri" w:cs="Calibri"/>
          <w:sz w:val="29"/>
          <w:szCs w:val="29"/>
          <w:u w:color="0000E9"/>
        </w:rPr>
        <w:t>are</w:t>
      </w:r>
      <w:proofErr w:type="gramEnd"/>
      <w:r>
        <w:rPr>
          <w:rFonts w:ascii="Calibri" w:hAnsi="Calibri" w:cs="Calibri"/>
          <w:sz w:val="29"/>
          <w:szCs w:val="29"/>
          <w:u w:color="0000E9"/>
        </w:rPr>
        <w:t xml:space="preserve"> also presented here for each analysis. The expectations in the SGP distribution panels are different for these models, where lower attaining students will </w:t>
      </w:r>
      <w:r w:rsidR="007B5ED7">
        <w:rPr>
          <w:rFonts w:ascii="Calibri" w:hAnsi="Calibri" w:cs="Calibri"/>
          <w:sz w:val="29"/>
          <w:szCs w:val="29"/>
          <w:u w:color="0000E9"/>
        </w:rPr>
        <w:t>receive</w:t>
      </w:r>
      <w:r>
        <w:rPr>
          <w:rFonts w:ascii="Calibri" w:hAnsi="Calibri" w:cs="Calibri"/>
          <w:sz w:val="29"/>
          <w:szCs w:val="29"/>
          <w:u w:color="0000E9"/>
        </w:rPr>
        <w:t xml:space="preserve"> higher SGPs and vice versa. This typically shifts the median lines in the mosaic plot panel and causes a red shift (more SGPs than expected) in the upper-right and lower-left quadrants of the “Student Growth Percentile Range” panel. See Appendix B of this report for a more detailed discussion of SIMEX models and description of their impact on SGP distributions.</w:t>
      </w:r>
    </w:p>
    <w:p w14:paraId="78E31B11" w14:textId="77777777" w:rsidR="0048737C" w:rsidRDefault="0048737C">
      <w:pPr>
        <w:rPr>
          <w:rFonts w:ascii="Cambria" w:hAnsi="Cambria" w:cs="Cambria"/>
          <w:b/>
          <w:bCs/>
          <w:color w:val="2A4B7E"/>
          <w:sz w:val="37"/>
          <w:szCs w:val="37"/>
          <w:u w:color="0000E9"/>
        </w:rPr>
      </w:pPr>
      <w:r>
        <w:rPr>
          <w:rFonts w:ascii="Cambria" w:hAnsi="Cambria" w:cs="Cambria"/>
          <w:b/>
          <w:bCs/>
          <w:color w:val="2A4B7E"/>
          <w:sz w:val="37"/>
          <w:szCs w:val="37"/>
          <w:u w:color="0000E9"/>
        </w:rPr>
        <w:br w:type="page"/>
      </w:r>
    </w:p>
    <w:p w14:paraId="3B924DD1" w14:textId="77777777" w:rsidR="0048737C" w:rsidRDefault="0048737C" w:rsidP="0048737C">
      <w:pPr>
        <w:widowControl w:val="0"/>
        <w:autoSpaceDE w:val="0"/>
        <w:autoSpaceDN w:val="0"/>
        <w:adjustRightInd w:val="0"/>
        <w:rPr>
          <w:rFonts w:ascii="Cambria" w:hAnsi="Cambria" w:cs="Cambria"/>
          <w:b/>
          <w:bCs/>
          <w:color w:val="2A4B7E"/>
          <w:sz w:val="37"/>
          <w:szCs w:val="37"/>
          <w:u w:color="0000E9"/>
        </w:rPr>
      </w:pPr>
      <w:r>
        <w:rPr>
          <w:rFonts w:ascii="Cambria" w:hAnsi="Cambria" w:cs="Cambria"/>
          <w:b/>
          <w:bCs/>
          <w:color w:val="2A4B7E"/>
          <w:sz w:val="37"/>
          <w:szCs w:val="37"/>
          <w:u w:color="0000E9"/>
        </w:rPr>
        <w:t>2 End-of-Grade Analyses</w:t>
      </w:r>
    </w:p>
    <w:p w14:paraId="76C02177" w14:textId="77777777" w:rsidR="0048737C" w:rsidRDefault="0048737C" w:rsidP="0048737C">
      <w:pPr>
        <w:widowControl w:val="0"/>
        <w:autoSpaceDE w:val="0"/>
        <w:autoSpaceDN w:val="0"/>
        <w:adjustRightInd w:val="0"/>
        <w:rPr>
          <w:rFonts w:ascii="Cambria" w:hAnsi="Cambria" w:cs="Cambria"/>
          <w:b/>
          <w:bCs/>
          <w:color w:val="3F6CAF"/>
          <w:sz w:val="34"/>
          <w:szCs w:val="34"/>
          <w:u w:color="0000E9"/>
        </w:rPr>
      </w:pPr>
      <w:r>
        <w:rPr>
          <w:rFonts w:ascii="Cambria" w:hAnsi="Cambria" w:cs="Cambria"/>
          <w:b/>
          <w:bCs/>
          <w:color w:val="3F6CAF"/>
          <w:sz w:val="34"/>
          <w:szCs w:val="34"/>
          <w:u w:color="0000E9"/>
        </w:rPr>
        <w:t>2.1 ELA</w:t>
      </w:r>
    </w:p>
    <w:p w14:paraId="43D0CA91" w14:textId="77777777" w:rsidR="007B5ED7" w:rsidRDefault="007B5ED7">
      <w:pPr>
        <w:rPr>
          <w:rFonts w:ascii="Cambria" w:hAnsi="Cambria" w:cs="Cambria"/>
          <w:color w:val="1C2F4B"/>
          <w:sz w:val="29"/>
          <w:szCs w:val="29"/>
          <w:u w:color="0000E9"/>
        </w:rPr>
      </w:pPr>
      <w:r>
        <w:rPr>
          <w:rFonts w:ascii="Cambria" w:hAnsi="Cambria" w:cs="Cambria"/>
          <w:noProof/>
          <w:color w:val="1C2F4B"/>
          <w:sz w:val="29"/>
          <w:szCs w:val="29"/>
          <w:u w:color="0000E9"/>
          <w:lang w:eastAsia="en-US"/>
        </w:rPr>
        <w:drawing>
          <wp:inline distT="0" distB="0" distL="0" distR="0" wp14:anchorId="79DD8A0E" wp14:editId="4306221D">
            <wp:extent cx="5943600" cy="7683500"/>
            <wp:effectExtent l="0" t="0" r="0" b="0"/>
            <wp:docPr id="1" name="Picture 1" descr="GoGoGo:Users:avi:Dropbox (SGP):Github_Repos:Documentation:PARCC:SGP_Reports:PARCC:img:Appendices:Goodness_of_Fit:ELA.2015_2016.2:2015_2016-2_ELA_4;2014_2015-2_EL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GoGo:Users:avi:Dropbox (SGP):Github_Repos:Documentation:PARCC:SGP_Reports:PARCC:img:Appendices:Goodness_of_Fit:ELA.2015_2016.2:2015_2016-2_ELA_4;2014_2015-2_ELA_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3BF7EBBA" w14:textId="77777777" w:rsidR="0048737C" w:rsidRDefault="0048737C">
      <w:pPr>
        <w:rPr>
          <w:rFonts w:ascii="Cambria" w:hAnsi="Cambria" w:cs="Cambria"/>
          <w:color w:val="1C2F4B"/>
          <w:sz w:val="29"/>
          <w:szCs w:val="29"/>
          <w:u w:color="0000E9"/>
        </w:rPr>
      </w:pPr>
      <w:r>
        <w:rPr>
          <w:rFonts w:ascii="Cambria" w:hAnsi="Cambria" w:cs="Cambria"/>
          <w:color w:val="1C2F4B"/>
          <w:sz w:val="29"/>
          <w:szCs w:val="29"/>
          <w:u w:color="0000E9"/>
        </w:rPr>
        <w:br w:type="page"/>
      </w:r>
      <w:r w:rsidR="007B5ED7">
        <w:rPr>
          <w:rFonts w:ascii="Cambria" w:hAnsi="Cambria" w:cs="Cambria"/>
          <w:noProof/>
          <w:color w:val="1C2F4B"/>
          <w:sz w:val="29"/>
          <w:szCs w:val="29"/>
          <w:u w:color="0000E9"/>
          <w:lang w:eastAsia="en-US"/>
        </w:rPr>
        <w:drawing>
          <wp:inline distT="0" distB="0" distL="0" distR="0" wp14:anchorId="5D578315" wp14:editId="014CA096">
            <wp:extent cx="5943600" cy="7683500"/>
            <wp:effectExtent l="0" t="0" r="0" b="0"/>
            <wp:docPr id="2" name="Picture 2" descr="GoGoGo:Users:avi:Dropbox (SGP):Github_Repos:Documentation:PARCC:SGP_Reports:PARCC:img:Appendices:Goodness_of_Fit:ELA.2015_2016.2.SIMEX:2015_2016-2_ELA_4;2014_2015-2_EL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GoGo:Users:avi:Dropbox (SGP):Github_Repos:Documentation:PARCC:SGP_Reports:PARCC:img:Appendices:Goodness_of_Fit:ELA.2015_2016.2.SIMEX:2015_2016-2_ELA_4;2014_2015-2_ELA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311B0A40" w14:textId="77777777" w:rsidR="007B5ED7" w:rsidRDefault="007B5ED7">
      <w:pPr>
        <w:rPr>
          <w:rFonts w:ascii="Cambria" w:hAnsi="Cambria" w:cs="Cambria"/>
          <w:b/>
          <w:bCs/>
          <w:color w:val="2A4B7E"/>
          <w:sz w:val="37"/>
          <w:szCs w:val="37"/>
          <w:u w:color="0000E9"/>
        </w:rPr>
      </w:pPr>
      <w:r>
        <w:rPr>
          <w:rFonts w:ascii="Cambria" w:hAnsi="Cambria" w:cs="Cambria"/>
          <w:b/>
          <w:bCs/>
          <w:color w:val="2A4B7E"/>
          <w:sz w:val="37"/>
          <w:szCs w:val="37"/>
          <w:u w:color="0000E9"/>
        </w:rPr>
        <w:br w:type="page"/>
      </w:r>
    </w:p>
    <w:p w14:paraId="7564FE42" w14:textId="77777777" w:rsidR="0048737C" w:rsidRDefault="0048737C" w:rsidP="0048737C">
      <w:pPr>
        <w:widowControl w:val="0"/>
        <w:autoSpaceDE w:val="0"/>
        <w:autoSpaceDN w:val="0"/>
        <w:adjustRightInd w:val="0"/>
        <w:rPr>
          <w:rFonts w:ascii="Cambria" w:hAnsi="Cambria" w:cs="Cambria"/>
          <w:b/>
          <w:bCs/>
          <w:color w:val="2A4B7E"/>
          <w:sz w:val="37"/>
          <w:szCs w:val="37"/>
          <w:u w:color="0000E9"/>
        </w:rPr>
      </w:pPr>
      <w:r>
        <w:rPr>
          <w:rFonts w:ascii="Cambria" w:hAnsi="Cambria" w:cs="Cambria"/>
          <w:b/>
          <w:bCs/>
          <w:color w:val="2A4B7E"/>
          <w:sz w:val="37"/>
          <w:szCs w:val="37"/>
          <w:u w:color="0000E9"/>
        </w:rPr>
        <w:t>3 End-of-Course Analyses (by Course Progression)</w:t>
      </w:r>
    </w:p>
    <w:p w14:paraId="3E7B0EFB" w14:textId="77777777" w:rsidR="0048737C" w:rsidRDefault="0048737C" w:rsidP="0048737C">
      <w:pPr>
        <w:widowControl w:val="0"/>
        <w:autoSpaceDE w:val="0"/>
        <w:autoSpaceDN w:val="0"/>
        <w:adjustRightInd w:val="0"/>
        <w:rPr>
          <w:rFonts w:ascii="Cambria" w:hAnsi="Cambria" w:cs="Cambria"/>
          <w:b/>
          <w:bCs/>
          <w:color w:val="3F6CAF"/>
          <w:sz w:val="34"/>
          <w:szCs w:val="34"/>
          <w:u w:color="0000E9"/>
        </w:rPr>
      </w:pPr>
      <w:r>
        <w:rPr>
          <w:rFonts w:ascii="Cambria" w:hAnsi="Cambria" w:cs="Cambria"/>
          <w:b/>
          <w:bCs/>
          <w:color w:val="3F6CAF"/>
          <w:sz w:val="34"/>
          <w:szCs w:val="34"/>
          <w:u w:color="0000E9"/>
        </w:rPr>
        <w:t>3.1 Algebra I</w:t>
      </w:r>
    </w:p>
    <w:p w14:paraId="11FA8755" w14:textId="77777777" w:rsidR="007B5ED7" w:rsidRDefault="007B5ED7" w:rsidP="0048737C">
      <w:pPr>
        <w:widowControl w:val="0"/>
        <w:autoSpaceDE w:val="0"/>
        <w:autoSpaceDN w:val="0"/>
        <w:adjustRightInd w:val="0"/>
        <w:rPr>
          <w:rFonts w:ascii="Cambria" w:hAnsi="Cambria" w:cs="Cambria"/>
          <w:b/>
          <w:bCs/>
          <w:color w:val="3F6CAF"/>
          <w:sz w:val="34"/>
          <w:szCs w:val="34"/>
          <w:u w:color="0000E9"/>
        </w:rPr>
      </w:pPr>
    </w:p>
    <w:p w14:paraId="53267AAE" w14:textId="77777777" w:rsidR="0048737C" w:rsidRDefault="007B5ED7" w:rsidP="0048737C">
      <w:pPr>
        <w:widowControl w:val="0"/>
        <w:autoSpaceDE w:val="0"/>
        <w:autoSpaceDN w:val="0"/>
        <w:adjustRightInd w:val="0"/>
        <w:rPr>
          <w:rFonts w:ascii="Calibri" w:hAnsi="Calibri" w:cs="Calibri"/>
          <w:sz w:val="29"/>
          <w:szCs w:val="29"/>
          <w:u w:color="0000E9"/>
        </w:rPr>
      </w:pPr>
      <w:r>
        <w:rPr>
          <w:rFonts w:ascii="Calibri" w:hAnsi="Calibri" w:cs="Calibri"/>
          <w:noProof/>
          <w:sz w:val="29"/>
          <w:szCs w:val="29"/>
          <w:u w:color="0000E9"/>
          <w:lang w:eastAsia="en-US"/>
        </w:rPr>
        <w:drawing>
          <wp:inline distT="0" distB="0" distL="0" distR="0" wp14:anchorId="73B959CE" wp14:editId="28B72056">
            <wp:extent cx="5943600" cy="7683500"/>
            <wp:effectExtent l="0" t="0" r="0" b="0"/>
            <wp:docPr id="4" name="Picture 4" descr="GoGoGo:Users:avi:Dropbox (SGP):Github_Repos:Documentation:PARCC:SGP_Reports:PARCC:img:Appendices:Goodness_of_Fit:ALGEBRA_I.2015_2016.2:2015_2016-2_ALGEBRA_I_EOCT;2014_2015-2_MATH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GoGo:Users:avi:Dropbox (SGP):Github_Repos:Documentation:PARCC:SGP_Reports:PARCC:img:Appendices:Goodness_of_Fit:ALGEBRA_I.2015_2016.2:2015_2016-2_ALGEBRA_I_EOCT;2014_2015-2_MATH_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063D44E6" w14:textId="77777777" w:rsidR="007B5ED7" w:rsidRDefault="007B5ED7" w:rsidP="0048737C">
      <w:pPr>
        <w:widowControl w:val="0"/>
        <w:autoSpaceDE w:val="0"/>
        <w:autoSpaceDN w:val="0"/>
        <w:adjustRightInd w:val="0"/>
        <w:rPr>
          <w:rFonts w:ascii="Cambria" w:hAnsi="Cambria" w:cs="Cambria"/>
          <w:b/>
          <w:bCs/>
          <w:color w:val="3F6CAF"/>
          <w:sz w:val="34"/>
          <w:szCs w:val="34"/>
          <w:u w:color="0000E9"/>
        </w:rPr>
      </w:pPr>
    </w:p>
    <w:p w14:paraId="7788DD4E" w14:textId="77777777" w:rsidR="007B5ED7" w:rsidRDefault="007B5ED7" w:rsidP="0048737C">
      <w:pPr>
        <w:widowControl w:val="0"/>
        <w:autoSpaceDE w:val="0"/>
        <w:autoSpaceDN w:val="0"/>
        <w:adjustRightInd w:val="0"/>
        <w:rPr>
          <w:rFonts w:ascii="Cambria" w:hAnsi="Cambria" w:cs="Cambria"/>
          <w:b/>
          <w:bCs/>
          <w:color w:val="3F6CAF"/>
          <w:sz w:val="34"/>
          <w:szCs w:val="34"/>
          <w:u w:color="0000E9"/>
        </w:rPr>
      </w:pPr>
    </w:p>
    <w:p w14:paraId="589EEA8D" w14:textId="77777777" w:rsidR="007B5ED7" w:rsidRDefault="007B5ED7" w:rsidP="0048737C">
      <w:pPr>
        <w:widowControl w:val="0"/>
        <w:autoSpaceDE w:val="0"/>
        <w:autoSpaceDN w:val="0"/>
        <w:adjustRightInd w:val="0"/>
        <w:rPr>
          <w:rFonts w:ascii="Cambria" w:hAnsi="Cambria" w:cs="Cambria"/>
          <w:b/>
          <w:bCs/>
          <w:color w:val="3F6CAF"/>
          <w:sz w:val="34"/>
          <w:szCs w:val="34"/>
          <w:u w:color="0000E9"/>
        </w:rPr>
      </w:pPr>
      <w:r>
        <w:rPr>
          <w:rFonts w:ascii="Cambria" w:hAnsi="Cambria" w:cs="Cambria"/>
          <w:b/>
          <w:bCs/>
          <w:noProof/>
          <w:color w:val="3F6CAF"/>
          <w:sz w:val="34"/>
          <w:szCs w:val="34"/>
          <w:u w:color="0000E9"/>
          <w:lang w:eastAsia="en-US"/>
        </w:rPr>
        <w:drawing>
          <wp:inline distT="0" distB="0" distL="0" distR="0" wp14:anchorId="146042DC" wp14:editId="4BF1AD90">
            <wp:extent cx="5943600" cy="7683500"/>
            <wp:effectExtent l="0" t="0" r="0" b="0"/>
            <wp:docPr id="5" name="Picture 5" descr="GoGoGo:Users:avi:Dropbox (SGP):Github_Repos:Documentation:PARCC:SGP_Reports:PARCC:img:Appendices:Goodness_of_Fit:ALGEBRA_I.2015_2016.2.SIMEX:2015_2016-2_ALGEBRA_I_EOCT;2014_2015-2_MATH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GoGo:Users:avi:Dropbox (SGP):Github_Repos:Documentation:PARCC:SGP_Reports:PARCC:img:Appendices:Goodness_of_Fit:ALGEBRA_I.2015_2016.2.SIMEX:2015_2016-2_ALGEBRA_I_EOCT;2014_2015-2_MATH_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63990EBE" w14:textId="77777777" w:rsidR="007B5ED7" w:rsidRDefault="007B5ED7" w:rsidP="0048737C">
      <w:pPr>
        <w:widowControl w:val="0"/>
        <w:autoSpaceDE w:val="0"/>
        <w:autoSpaceDN w:val="0"/>
        <w:adjustRightInd w:val="0"/>
        <w:rPr>
          <w:rFonts w:ascii="Cambria" w:hAnsi="Cambria" w:cs="Cambria"/>
          <w:b/>
          <w:bCs/>
          <w:color w:val="3F6CAF"/>
          <w:sz w:val="34"/>
          <w:szCs w:val="34"/>
          <w:u w:color="0000E9"/>
        </w:rPr>
      </w:pPr>
    </w:p>
    <w:p w14:paraId="01D781F8" w14:textId="77777777" w:rsidR="007B5ED7" w:rsidRDefault="007B5ED7" w:rsidP="0048737C">
      <w:pPr>
        <w:widowControl w:val="0"/>
        <w:autoSpaceDE w:val="0"/>
        <w:autoSpaceDN w:val="0"/>
        <w:adjustRightInd w:val="0"/>
        <w:rPr>
          <w:rFonts w:ascii="Cambria" w:hAnsi="Cambria" w:cs="Cambria"/>
          <w:b/>
          <w:bCs/>
          <w:color w:val="3F6CAF"/>
          <w:sz w:val="34"/>
          <w:szCs w:val="34"/>
          <w:u w:color="0000E9"/>
        </w:rPr>
      </w:pPr>
    </w:p>
    <w:p w14:paraId="43A1ACA2" w14:textId="77777777" w:rsidR="0048737C" w:rsidRDefault="0048737C" w:rsidP="0048737C">
      <w:pPr>
        <w:widowControl w:val="0"/>
        <w:autoSpaceDE w:val="0"/>
        <w:autoSpaceDN w:val="0"/>
        <w:adjustRightInd w:val="0"/>
        <w:rPr>
          <w:rFonts w:ascii="Cambria" w:hAnsi="Cambria" w:cs="Cambria"/>
          <w:b/>
          <w:bCs/>
          <w:color w:val="3F6CAF"/>
          <w:sz w:val="34"/>
          <w:szCs w:val="34"/>
          <w:u w:color="0000E9"/>
        </w:rPr>
      </w:pPr>
      <w:bookmarkStart w:id="0" w:name="_GoBack"/>
      <w:bookmarkEnd w:id="0"/>
      <w:r>
        <w:rPr>
          <w:rFonts w:ascii="Cambria" w:hAnsi="Cambria" w:cs="Cambria"/>
          <w:b/>
          <w:bCs/>
          <w:color w:val="3F6CAF"/>
          <w:sz w:val="34"/>
          <w:szCs w:val="34"/>
          <w:u w:color="0000E9"/>
        </w:rPr>
        <w:t>3.2 Geometry</w:t>
      </w:r>
    </w:p>
    <w:p w14:paraId="2C689CC5" w14:textId="77777777" w:rsidR="0048737C" w:rsidRDefault="0048737C" w:rsidP="0048737C">
      <w:pPr>
        <w:widowControl w:val="0"/>
        <w:autoSpaceDE w:val="0"/>
        <w:autoSpaceDN w:val="0"/>
        <w:adjustRightInd w:val="0"/>
        <w:rPr>
          <w:rFonts w:ascii="Cambria" w:hAnsi="Cambria" w:cs="Cambria"/>
          <w:color w:val="1C2F4B"/>
          <w:sz w:val="29"/>
          <w:szCs w:val="29"/>
          <w:u w:color="0000E9"/>
        </w:rPr>
      </w:pPr>
    </w:p>
    <w:p w14:paraId="4452FAD9" w14:textId="77777777" w:rsidR="0048737C" w:rsidRDefault="0048737C" w:rsidP="0048737C">
      <w:pPr>
        <w:widowControl w:val="0"/>
        <w:autoSpaceDE w:val="0"/>
        <w:autoSpaceDN w:val="0"/>
        <w:adjustRightInd w:val="0"/>
        <w:rPr>
          <w:rFonts w:ascii="Cambria" w:hAnsi="Cambria" w:cs="Cambria"/>
          <w:b/>
          <w:bCs/>
          <w:color w:val="3F6CAF"/>
          <w:sz w:val="34"/>
          <w:szCs w:val="34"/>
          <w:u w:color="0000E9"/>
        </w:rPr>
      </w:pPr>
      <w:r>
        <w:rPr>
          <w:rFonts w:ascii="Cambria" w:hAnsi="Cambria" w:cs="Cambria"/>
          <w:b/>
          <w:bCs/>
          <w:color w:val="3F6CAF"/>
          <w:sz w:val="34"/>
          <w:szCs w:val="34"/>
          <w:u w:color="0000E9"/>
        </w:rPr>
        <w:t>3.3 Algebra II</w:t>
      </w:r>
    </w:p>
    <w:p w14:paraId="3E6E2309" w14:textId="77777777" w:rsidR="0048737C" w:rsidRDefault="0048737C" w:rsidP="0048737C">
      <w:pPr>
        <w:widowControl w:val="0"/>
        <w:autoSpaceDE w:val="0"/>
        <w:autoSpaceDN w:val="0"/>
        <w:adjustRightInd w:val="0"/>
        <w:rPr>
          <w:rFonts w:ascii="Cambria" w:hAnsi="Cambria" w:cs="Cambria"/>
          <w:color w:val="1C2F4B"/>
          <w:sz w:val="29"/>
          <w:szCs w:val="29"/>
          <w:u w:color="0000E9"/>
        </w:rPr>
      </w:pPr>
    </w:p>
    <w:p w14:paraId="2242DFB2" w14:textId="77777777" w:rsidR="0048737C" w:rsidRDefault="0048737C" w:rsidP="0048737C">
      <w:pPr>
        <w:widowControl w:val="0"/>
        <w:autoSpaceDE w:val="0"/>
        <w:autoSpaceDN w:val="0"/>
        <w:adjustRightInd w:val="0"/>
        <w:rPr>
          <w:rFonts w:ascii="Calibri" w:hAnsi="Calibri" w:cs="Calibri"/>
          <w:sz w:val="29"/>
          <w:szCs w:val="29"/>
          <w:u w:color="0000E9"/>
        </w:rPr>
      </w:pPr>
    </w:p>
    <w:p w14:paraId="7A8C77D1" w14:textId="77777777" w:rsidR="00954804" w:rsidRDefault="0048737C" w:rsidP="0048737C">
      <w:r>
        <w:rPr>
          <w:rFonts w:ascii="Calibri" w:hAnsi="Calibri" w:cs="Calibri"/>
          <w:sz w:val="29"/>
          <w:szCs w:val="29"/>
          <w:u w:color="0000E9"/>
        </w:rPr>
        <w:t xml:space="preserve">The total students in each analysis varies depending on grade and subject, and prior score </w:t>
      </w:r>
      <w:proofErr w:type="spellStart"/>
      <w:r>
        <w:rPr>
          <w:rFonts w:ascii="Calibri" w:hAnsi="Calibri" w:cs="Calibri"/>
          <w:sz w:val="29"/>
          <w:szCs w:val="29"/>
          <w:u w:color="0000E9"/>
        </w:rPr>
        <w:t>deciles</w:t>
      </w:r>
      <w:proofErr w:type="spellEnd"/>
      <w:r>
        <w:rPr>
          <w:rFonts w:ascii="Calibri" w:hAnsi="Calibri" w:cs="Calibri"/>
          <w:sz w:val="29"/>
          <w:szCs w:val="29"/>
          <w:u w:color="0000E9"/>
        </w:rPr>
        <w:t xml:space="preserve"> are based only on scores for students used in the SGP calculations.</w:t>
      </w:r>
      <w:r>
        <w:rPr>
          <w:rFonts w:ascii="Cambria" w:hAnsi="Cambria" w:cs="Cambria"/>
          <w:color w:val="0000E9"/>
          <w:sz w:val="29"/>
          <w:szCs w:val="29"/>
          <w:u w:val="single" w:color="0000E9"/>
        </w:rPr>
        <w:t>↩</w:t>
      </w:r>
    </w:p>
    <w:sectPr w:rsidR="00954804" w:rsidSect="00EA6B6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37C"/>
    <w:rsid w:val="00431AFF"/>
    <w:rsid w:val="00447A32"/>
    <w:rsid w:val="00462222"/>
    <w:rsid w:val="0048737C"/>
    <w:rsid w:val="00597D51"/>
    <w:rsid w:val="007818E3"/>
    <w:rsid w:val="007B5ED7"/>
    <w:rsid w:val="00954804"/>
    <w:rsid w:val="009F50A9"/>
    <w:rsid w:val="00BD0D99"/>
    <w:rsid w:val="00EA6B6A"/>
    <w:rsid w:val="00F44CA2"/>
    <w:rsid w:val="00F762D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36C0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E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5ED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E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5ED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Q%E2%80%93Q_plo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602</Words>
  <Characters>3436</Characters>
  <Application>Microsoft Macintosh Word</Application>
  <DocSecurity>0</DocSecurity>
  <Lines>28</Lines>
  <Paragraphs>8</Paragraphs>
  <ScaleCrop>false</ScaleCrop>
  <Company/>
  <LinksUpToDate>false</LinksUpToDate>
  <CharactersWithSpaces>4030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VanIwaarden</dc:creator>
  <cp:keywords/>
  <dc:description/>
  <cp:lastModifiedBy>Adam VanIwaarden</cp:lastModifiedBy>
  <cp:revision>2</cp:revision>
  <dcterms:created xsi:type="dcterms:W3CDTF">2017-01-31T13:38:00Z</dcterms:created>
  <dcterms:modified xsi:type="dcterms:W3CDTF">2017-01-31T13:44:00Z</dcterms:modified>
</cp:coreProperties>
</file>