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38688" w14:textId="77777777" w:rsidR="008A5243" w:rsidRDefault="008A5243" w:rsidP="008A5243">
      <w:pPr>
        <w:widowControl w:val="0"/>
        <w:autoSpaceDE w:val="0"/>
        <w:autoSpaceDN w:val="0"/>
        <w:adjustRightInd w:val="0"/>
        <w:rPr>
          <w:rFonts w:ascii="Cambria" w:hAnsi="Cambria" w:cs="Cambria"/>
          <w:b/>
          <w:bCs/>
          <w:color w:val="2A4B7E"/>
          <w:sz w:val="37"/>
          <w:szCs w:val="37"/>
        </w:rPr>
      </w:pPr>
      <w:r>
        <w:rPr>
          <w:rFonts w:ascii="Cambria" w:hAnsi="Cambria" w:cs="Cambria"/>
          <w:b/>
          <w:bCs/>
          <w:color w:val="2A4B7E"/>
          <w:sz w:val="37"/>
          <w:szCs w:val="37"/>
        </w:rPr>
        <w:t>The PARCC Consortium Student Growth Model</w:t>
      </w:r>
    </w:p>
    <w:p w14:paraId="38BCD46A" w14:textId="77777777" w:rsidR="008A5243" w:rsidRDefault="008A5243" w:rsidP="008A5243">
      <w:pPr>
        <w:widowControl w:val="0"/>
        <w:autoSpaceDE w:val="0"/>
        <w:autoSpaceDN w:val="0"/>
        <w:adjustRightInd w:val="0"/>
        <w:rPr>
          <w:rFonts w:ascii="Cambria" w:hAnsi="Cambria" w:cs="Cambria"/>
          <w:b/>
          <w:bCs/>
          <w:color w:val="3F6CAF"/>
          <w:sz w:val="29"/>
          <w:szCs w:val="29"/>
        </w:rPr>
      </w:pPr>
      <w:r>
        <w:rPr>
          <w:rFonts w:ascii="Cambria" w:hAnsi="Cambria" w:cs="Cambria"/>
          <w:b/>
          <w:bCs/>
          <w:i/>
          <w:iCs/>
          <w:color w:val="3F6CAF"/>
          <w:sz w:val="29"/>
          <w:szCs w:val="29"/>
        </w:rPr>
        <w:t>A Technical Overview of the Spring 2016 Student Growth Percentile Calculations</w:t>
      </w:r>
    </w:p>
    <w:p w14:paraId="3F2DCB83" w14:textId="77777777" w:rsidR="008A5243" w:rsidRDefault="008A5243" w:rsidP="008A5243">
      <w:pPr>
        <w:widowControl w:val="0"/>
        <w:autoSpaceDE w:val="0"/>
        <w:autoSpaceDN w:val="0"/>
        <w:adjustRightInd w:val="0"/>
        <w:rPr>
          <w:rFonts w:ascii="Cambria" w:hAnsi="Cambria" w:cs="Cambria"/>
          <w:b/>
          <w:bCs/>
          <w:i/>
          <w:iCs/>
          <w:color w:val="3F6CAF"/>
          <w:sz w:val="29"/>
          <w:szCs w:val="29"/>
        </w:rPr>
      </w:pPr>
      <w:r>
        <w:rPr>
          <w:rFonts w:ascii="Cambria" w:hAnsi="Cambria" w:cs="Cambria"/>
          <w:b/>
          <w:bCs/>
          <w:i/>
          <w:iCs/>
          <w:color w:val="3F6CAF"/>
          <w:sz w:val="29"/>
          <w:szCs w:val="29"/>
        </w:rPr>
        <w:t xml:space="preserve">Damian W. </w:t>
      </w:r>
      <w:proofErr w:type="spellStart"/>
      <w:r>
        <w:rPr>
          <w:rFonts w:ascii="Cambria" w:hAnsi="Cambria" w:cs="Cambria"/>
          <w:b/>
          <w:bCs/>
          <w:i/>
          <w:iCs/>
          <w:color w:val="3F6CAF"/>
          <w:sz w:val="29"/>
          <w:szCs w:val="29"/>
        </w:rPr>
        <w:t>Betebenner</w:t>
      </w:r>
      <w:proofErr w:type="spellEnd"/>
    </w:p>
    <w:p w14:paraId="5AE534BC" w14:textId="77777777" w:rsidR="008A5243" w:rsidRDefault="008A5243" w:rsidP="008A5243">
      <w:pPr>
        <w:widowControl w:val="0"/>
        <w:autoSpaceDE w:val="0"/>
        <w:autoSpaceDN w:val="0"/>
        <w:adjustRightInd w:val="0"/>
        <w:rPr>
          <w:rFonts w:ascii="Cambria" w:hAnsi="Cambria" w:cs="Cambria"/>
          <w:b/>
          <w:bCs/>
          <w:i/>
          <w:iCs/>
          <w:color w:val="3F6CAF"/>
          <w:sz w:val="29"/>
          <w:szCs w:val="29"/>
        </w:rPr>
      </w:pPr>
      <w:r>
        <w:rPr>
          <w:rFonts w:ascii="Cambria" w:hAnsi="Cambria" w:cs="Cambria"/>
          <w:b/>
          <w:bCs/>
          <w:i/>
          <w:iCs/>
          <w:color w:val="3F6CAF"/>
          <w:sz w:val="29"/>
          <w:szCs w:val="29"/>
        </w:rPr>
        <w:t>Adam R. VanIwaarden</w:t>
      </w:r>
    </w:p>
    <w:p w14:paraId="2624E977" w14:textId="77777777" w:rsidR="008A5243" w:rsidRDefault="008A5243" w:rsidP="008A5243">
      <w:pPr>
        <w:widowControl w:val="0"/>
        <w:autoSpaceDE w:val="0"/>
        <w:autoSpaceDN w:val="0"/>
        <w:adjustRightInd w:val="0"/>
        <w:rPr>
          <w:rFonts w:ascii="Cambria" w:hAnsi="Cambria" w:cs="Cambria"/>
          <w:b/>
          <w:bCs/>
          <w:i/>
          <w:iCs/>
          <w:color w:val="3F6CAF"/>
          <w:sz w:val="29"/>
          <w:szCs w:val="29"/>
        </w:rPr>
      </w:pPr>
      <w:r>
        <w:rPr>
          <w:rFonts w:ascii="Cambria" w:hAnsi="Cambria" w:cs="Cambria"/>
          <w:b/>
          <w:bCs/>
          <w:i/>
          <w:iCs/>
          <w:color w:val="3F6CAF"/>
          <w:sz w:val="29"/>
          <w:szCs w:val="29"/>
        </w:rPr>
        <w:t>National Center for the Improvement</w:t>
      </w:r>
    </w:p>
    <w:p w14:paraId="711D338C" w14:textId="77777777" w:rsidR="008A5243" w:rsidRDefault="008A5243" w:rsidP="008A5243">
      <w:pPr>
        <w:widowControl w:val="0"/>
        <w:autoSpaceDE w:val="0"/>
        <w:autoSpaceDN w:val="0"/>
        <w:adjustRightInd w:val="0"/>
        <w:rPr>
          <w:rFonts w:ascii="Cambria" w:hAnsi="Cambria" w:cs="Cambria"/>
          <w:b/>
          <w:bCs/>
          <w:i/>
          <w:iCs/>
          <w:color w:val="3F6CAF"/>
          <w:sz w:val="29"/>
          <w:szCs w:val="29"/>
        </w:rPr>
      </w:pPr>
    </w:p>
    <w:p w14:paraId="084F8058" w14:textId="77777777" w:rsidR="008A5243" w:rsidRDefault="008A5243" w:rsidP="008A5243">
      <w:pPr>
        <w:widowControl w:val="0"/>
        <w:autoSpaceDE w:val="0"/>
        <w:autoSpaceDN w:val="0"/>
        <w:adjustRightInd w:val="0"/>
        <w:rPr>
          <w:rFonts w:ascii="Cambria" w:hAnsi="Cambria" w:cs="Cambria"/>
          <w:b/>
          <w:bCs/>
          <w:i/>
          <w:iCs/>
          <w:color w:val="3F6CAF"/>
          <w:sz w:val="29"/>
          <w:szCs w:val="29"/>
        </w:rPr>
      </w:pPr>
      <w:proofErr w:type="gramStart"/>
      <w:r>
        <w:rPr>
          <w:rFonts w:ascii="Cambria" w:hAnsi="Cambria" w:cs="Cambria"/>
          <w:b/>
          <w:bCs/>
          <w:i/>
          <w:iCs/>
          <w:color w:val="3F6CAF"/>
          <w:sz w:val="29"/>
          <w:szCs w:val="29"/>
        </w:rPr>
        <w:t>of</w:t>
      </w:r>
      <w:proofErr w:type="gramEnd"/>
      <w:r>
        <w:rPr>
          <w:rFonts w:ascii="Cambria" w:hAnsi="Cambria" w:cs="Cambria"/>
          <w:b/>
          <w:bCs/>
          <w:i/>
          <w:iCs/>
          <w:color w:val="3F6CAF"/>
          <w:sz w:val="29"/>
          <w:szCs w:val="29"/>
        </w:rPr>
        <w:t xml:space="preserve"> Educational Assessment (NCIEA)</w:t>
      </w:r>
    </w:p>
    <w:p w14:paraId="6CFB5475" w14:textId="77777777" w:rsidR="008A5243" w:rsidRDefault="008A5243" w:rsidP="008A5243">
      <w:pPr>
        <w:widowControl w:val="0"/>
        <w:autoSpaceDE w:val="0"/>
        <w:autoSpaceDN w:val="0"/>
        <w:adjustRightInd w:val="0"/>
        <w:rPr>
          <w:rFonts w:ascii="Cambria" w:hAnsi="Cambria" w:cs="Cambria"/>
          <w:b/>
          <w:bCs/>
          <w:i/>
          <w:iCs/>
          <w:color w:val="3F6CAF"/>
          <w:sz w:val="29"/>
          <w:szCs w:val="29"/>
        </w:rPr>
      </w:pPr>
      <w:r>
        <w:rPr>
          <w:rFonts w:ascii="Cambria" w:hAnsi="Cambria" w:cs="Cambria"/>
          <w:b/>
          <w:bCs/>
          <w:i/>
          <w:iCs/>
          <w:color w:val="3F6CAF"/>
          <w:sz w:val="29"/>
          <w:szCs w:val="29"/>
        </w:rPr>
        <w:t>January 2017</w:t>
      </w:r>
    </w:p>
    <w:p w14:paraId="00E3F7F5" w14:textId="77777777" w:rsidR="008A5243" w:rsidRDefault="008A5243" w:rsidP="008A5243">
      <w:pPr>
        <w:widowControl w:val="0"/>
        <w:autoSpaceDE w:val="0"/>
        <w:autoSpaceDN w:val="0"/>
        <w:adjustRightInd w:val="0"/>
        <w:rPr>
          <w:rFonts w:ascii="Calibri" w:hAnsi="Calibri" w:cs="Calibri"/>
          <w:b/>
          <w:bCs/>
          <w:sz w:val="29"/>
          <w:szCs w:val="29"/>
        </w:rPr>
      </w:pPr>
      <w:r>
        <w:rPr>
          <w:rFonts w:ascii="Calibri" w:hAnsi="Calibri" w:cs="Calibri"/>
          <w:b/>
          <w:bCs/>
          <w:sz w:val="29"/>
          <w:szCs w:val="29"/>
        </w:rPr>
        <w:t>Abstract</w:t>
      </w:r>
    </w:p>
    <w:p w14:paraId="44AC1166" w14:textId="77777777" w:rsidR="008A5243" w:rsidRDefault="008A5243" w:rsidP="008A5243">
      <w:pPr>
        <w:widowControl w:val="0"/>
        <w:autoSpaceDE w:val="0"/>
        <w:autoSpaceDN w:val="0"/>
        <w:adjustRightInd w:val="0"/>
        <w:rPr>
          <w:rFonts w:ascii="Calibri" w:hAnsi="Calibri" w:cs="Calibri"/>
          <w:sz w:val="29"/>
          <w:szCs w:val="29"/>
        </w:rPr>
      </w:pPr>
      <w:r>
        <w:rPr>
          <w:rFonts w:ascii="Calibri" w:hAnsi="Calibri" w:cs="Calibri"/>
          <w:sz w:val="29"/>
          <w:szCs w:val="29"/>
        </w:rPr>
        <w:t xml:space="preserve">DRAFT REPORT - DO NOT CITE! </w:t>
      </w:r>
    </w:p>
    <w:p w14:paraId="18245405" w14:textId="77777777" w:rsidR="008A5243" w:rsidRDefault="008A5243">
      <w:pPr>
        <w:rPr>
          <w:rFonts w:ascii="Calibri" w:hAnsi="Calibri" w:cs="Calibri"/>
          <w:sz w:val="29"/>
          <w:szCs w:val="29"/>
        </w:rPr>
      </w:pPr>
      <w:r>
        <w:rPr>
          <w:rFonts w:ascii="Calibri" w:hAnsi="Calibri" w:cs="Calibri"/>
          <w:sz w:val="29"/>
          <w:szCs w:val="29"/>
        </w:rPr>
        <w:br w:type="page"/>
      </w:r>
    </w:p>
    <w:p w14:paraId="44B7FA37" w14:textId="77777777" w:rsidR="008A5243" w:rsidRDefault="008A5243" w:rsidP="008A5243">
      <w:pPr>
        <w:widowControl w:val="0"/>
        <w:autoSpaceDE w:val="0"/>
        <w:autoSpaceDN w:val="0"/>
        <w:adjustRightInd w:val="0"/>
        <w:rPr>
          <w:rFonts w:ascii="Cambria" w:hAnsi="Cambria" w:cs="Cambria"/>
          <w:b/>
          <w:bCs/>
          <w:color w:val="2A4B7E"/>
          <w:sz w:val="37"/>
          <w:szCs w:val="37"/>
        </w:rPr>
      </w:pPr>
      <w:r>
        <w:rPr>
          <w:rFonts w:ascii="Cambria" w:hAnsi="Cambria" w:cs="Cambria"/>
          <w:b/>
          <w:bCs/>
          <w:color w:val="2A4B7E"/>
          <w:sz w:val="37"/>
          <w:szCs w:val="37"/>
        </w:rPr>
        <w:lastRenderedPageBreak/>
        <w:t>1 Introduction</w:t>
      </w:r>
    </w:p>
    <w:p w14:paraId="6106E4DF" w14:textId="77777777" w:rsidR="008A5243" w:rsidRDefault="008A5243" w:rsidP="008A5243">
      <w:pPr>
        <w:widowControl w:val="0"/>
        <w:autoSpaceDE w:val="0"/>
        <w:autoSpaceDN w:val="0"/>
        <w:adjustRightInd w:val="0"/>
        <w:rPr>
          <w:rFonts w:ascii="Calibri" w:hAnsi="Calibri" w:cs="Calibri"/>
          <w:sz w:val="29"/>
          <w:szCs w:val="29"/>
        </w:rPr>
      </w:pPr>
      <w:r>
        <w:rPr>
          <w:rFonts w:ascii="Calibri" w:hAnsi="Calibri" w:cs="Calibri"/>
          <w:sz w:val="29"/>
          <w:szCs w:val="29"/>
        </w:rPr>
        <w:t xml:space="preserve">This report contains details on the Spring 2016 implementation of the student growth percentiles (SGP) model for the </w:t>
      </w:r>
      <w:hyperlink r:id="rId6" w:history="1">
        <w:r>
          <w:rPr>
            <w:rFonts w:ascii="Calibri" w:hAnsi="Calibri" w:cs="Calibri"/>
            <w:color w:val="0000E9"/>
            <w:sz w:val="29"/>
            <w:szCs w:val="29"/>
            <w:u w:val="single" w:color="0000E9"/>
          </w:rPr>
          <w:t>Partnership for Assessment of Readiness for College and Careers (PARCC) consortium</w:t>
        </w:r>
      </w:hyperlink>
      <w:r>
        <w:rPr>
          <w:rFonts w:ascii="Calibri" w:hAnsi="Calibri" w:cs="Calibri"/>
          <w:sz w:val="29"/>
          <w:szCs w:val="29"/>
        </w:rPr>
        <w:t xml:space="preserve"> and Pearson Education (</w:t>
      </w:r>
      <w:hyperlink r:id="rId7" w:history="1">
        <w:r>
          <w:rPr>
            <w:rFonts w:ascii="Calibri" w:hAnsi="Calibri" w:cs="Calibri"/>
            <w:color w:val="0000E9"/>
            <w:sz w:val="29"/>
            <w:szCs w:val="29"/>
            <w:u w:val="single" w:color="0000E9"/>
          </w:rPr>
          <w:t>Pearson</w:t>
        </w:r>
      </w:hyperlink>
      <w:r>
        <w:rPr>
          <w:rFonts w:ascii="Calibri" w:hAnsi="Calibri" w:cs="Calibri"/>
          <w:sz w:val="29"/>
          <w:szCs w:val="29"/>
        </w:rPr>
        <w:t>). The National Center for the Improvement of Educational Assessment (</w:t>
      </w:r>
      <w:hyperlink r:id="rId8" w:history="1">
        <w:r>
          <w:rPr>
            <w:rFonts w:ascii="Calibri" w:hAnsi="Calibri" w:cs="Calibri"/>
            <w:color w:val="6B006D"/>
            <w:sz w:val="29"/>
            <w:szCs w:val="29"/>
            <w:u w:val="single" w:color="6B006D"/>
          </w:rPr>
          <w:t>NCIEA</w:t>
        </w:r>
      </w:hyperlink>
      <w:r>
        <w:rPr>
          <w:rFonts w:ascii="Calibri" w:hAnsi="Calibri" w:cs="Calibri"/>
          <w:sz w:val="29"/>
          <w:szCs w:val="29"/>
        </w:rPr>
        <w:t xml:space="preserve">) contracted with Pearson to implement the SGP methodology using data derived from the PARCC assessments to create the PARCC Student Growth Model. The goal of the engagement with Pearson is to create a set of open source analytic techniques and conduct the first year of growth analyses. </w:t>
      </w:r>
      <w:proofErr w:type="gramStart"/>
      <w:r>
        <w:rPr>
          <w:rFonts w:ascii="Calibri" w:hAnsi="Calibri" w:cs="Calibri"/>
          <w:sz w:val="29"/>
          <w:szCs w:val="29"/>
        </w:rPr>
        <w:t>These analyses will be conducted exclusively by Pearson</w:t>
      </w:r>
      <w:proofErr w:type="gramEnd"/>
      <w:r>
        <w:rPr>
          <w:rFonts w:ascii="Calibri" w:hAnsi="Calibri" w:cs="Calibri"/>
          <w:sz w:val="29"/>
          <w:szCs w:val="29"/>
        </w:rPr>
        <w:t xml:space="preserve"> in following years.</w:t>
      </w:r>
    </w:p>
    <w:p w14:paraId="6087377F" w14:textId="77777777" w:rsidR="008A5243" w:rsidRDefault="008A5243" w:rsidP="008A5243">
      <w:pPr>
        <w:widowControl w:val="0"/>
        <w:autoSpaceDE w:val="0"/>
        <w:autoSpaceDN w:val="0"/>
        <w:adjustRightInd w:val="0"/>
        <w:rPr>
          <w:rFonts w:ascii="Calibri" w:hAnsi="Calibri" w:cs="Calibri"/>
          <w:sz w:val="29"/>
          <w:szCs w:val="29"/>
        </w:rPr>
      </w:pPr>
      <w:r>
        <w:rPr>
          <w:rFonts w:ascii="Calibri" w:hAnsi="Calibri" w:cs="Calibri"/>
          <w:sz w:val="29"/>
          <w:szCs w:val="29"/>
        </w:rPr>
        <w:t>The SGP methodology is an open source norm- and criterion-referenced student growth analysis that produces student growth percentiles and student growth projections/targets for each student in the PARCC consortium with adequate longitudinal data. This methodology is currently used for many purposes, including parent/student diagnostic reporting, institutional improvement, and school and educator accountability. Specifics about the manner in which growth is included in each PARCC member states’ accountability systems can be provided by their respective state education agencies.</w:t>
      </w:r>
    </w:p>
    <w:p w14:paraId="3E68DFF9" w14:textId="77777777" w:rsidR="008A5243" w:rsidRDefault="008A5243" w:rsidP="008A5243">
      <w:pPr>
        <w:widowControl w:val="0"/>
        <w:autoSpaceDE w:val="0"/>
        <w:autoSpaceDN w:val="0"/>
        <w:adjustRightInd w:val="0"/>
        <w:rPr>
          <w:rFonts w:ascii="Calibri" w:hAnsi="Calibri" w:cs="Calibri"/>
          <w:sz w:val="29"/>
          <w:szCs w:val="29"/>
        </w:rPr>
      </w:pPr>
      <w:r>
        <w:rPr>
          <w:rFonts w:ascii="Calibri" w:hAnsi="Calibri" w:cs="Calibri"/>
          <w:sz w:val="29"/>
          <w:szCs w:val="29"/>
        </w:rPr>
        <w:t>This report includes four sections:</w:t>
      </w:r>
    </w:p>
    <w:p w14:paraId="58652F51" w14:textId="77777777" w:rsidR="008A5243" w:rsidRDefault="008A5243" w:rsidP="008A5243">
      <w:pPr>
        <w:widowControl w:val="0"/>
        <w:numPr>
          <w:ilvl w:val="0"/>
          <w:numId w:val="1"/>
        </w:numPr>
        <w:tabs>
          <w:tab w:val="left" w:pos="220"/>
          <w:tab w:val="left" w:pos="720"/>
        </w:tabs>
        <w:autoSpaceDE w:val="0"/>
        <w:autoSpaceDN w:val="0"/>
        <w:adjustRightInd w:val="0"/>
        <w:ind w:hanging="720"/>
        <w:rPr>
          <w:rFonts w:ascii="Calibri" w:hAnsi="Calibri" w:cs="Calibri"/>
          <w:sz w:val="29"/>
          <w:szCs w:val="29"/>
        </w:rPr>
      </w:pPr>
      <w:r>
        <w:rPr>
          <w:rFonts w:ascii="Calibri" w:hAnsi="Calibri" w:cs="Calibri"/>
          <w:b/>
          <w:bCs/>
          <w:i/>
          <w:iCs/>
          <w:sz w:val="29"/>
          <w:szCs w:val="29"/>
        </w:rPr>
        <w:t xml:space="preserve">Data - </w:t>
      </w:r>
      <w:r>
        <w:rPr>
          <w:rFonts w:ascii="Calibri" w:hAnsi="Calibri" w:cs="Calibri"/>
          <w:sz w:val="29"/>
          <w:szCs w:val="29"/>
        </w:rPr>
        <w:t>includes details on the decision rules used in the raw data preparation and student record validation.</w:t>
      </w:r>
    </w:p>
    <w:p w14:paraId="3CD52ACA" w14:textId="77777777" w:rsidR="008A5243" w:rsidRDefault="008A5243" w:rsidP="008A5243">
      <w:pPr>
        <w:widowControl w:val="0"/>
        <w:numPr>
          <w:ilvl w:val="0"/>
          <w:numId w:val="1"/>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b/>
          <w:bCs/>
          <w:i/>
          <w:iCs/>
          <w:sz w:val="29"/>
          <w:szCs w:val="29"/>
        </w:rPr>
        <w:t xml:space="preserve">Analytics - </w:t>
      </w:r>
      <w:r>
        <w:rPr>
          <w:rFonts w:ascii="Calibri" w:hAnsi="Calibri" w:cs="Calibri"/>
          <w:sz w:val="29"/>
          <w:szCs w:val="29"/>
        </w:rPr>
        <w:t>introduces some of the basic statistical methods and the computational process implemented in the 2016 analyses.</w:t>
      </w:r>
      <w:r>
        <w:rPr>
          <w:rFonts w:ascii="Calibri" w:hAnsi="Calibri" w:cs="Calibri"/>
          <w:color w:val="0000E9"/>
          <w:u w:val="single" w:color="0000E9"/>
          <w:vertAlign w:val="superscript"/>
        </w:rPr>
        <w:t>1</w:t>
      </w:r>
    </w:p>
    <w:p w14:paraId="58D76498" w14:textId="77777777" w:rsidR="008A5243" w:rsidRDefault="008A5243" w:rsidP="008A5243">
      <w:pPr>
        <w:widowControl w:val="0"/>
        <w:numPr>
          <w:ilvl w:val="0"/>
          <w:numId w:val="1"/>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b/>
          <w:bCs/>
          <w:i/>
          <w:iCs/>
          <w:sz w:val="29"/>
          <w:szCs w:val="29"/>
          <w:u w:color="0000E9"/>
        </w:rPr>
        <w:t xml:space="preserve">Goodness of Fit - </w:t>
      </w:r>
      <w:r>
        <w:rPr>
          <w:rFonts w:ascii="Calibri" w:hAnsi="Calibri" w:cs="Calibri"/>
          <w:sz w:val="29"/>
          <w:szCs w:val="29"/>
          <w:u w:color="0000E9"/>
        </w:rPr>
        <w:t>investigates how well the statistical models used to produce SGPs fit PARCC consortium students’ data. This includes discussion of goodness of fit plots and the student-level correlations between SGPs and prior achievement.</w:t>
      </w:r>
    </w:p>
    <w:p w14:paraId="5A3AF38F" w14:textId="77777777" w:rsidR="008A5243" w:rsidRDefault="008A5243" w:rsidP="008A5243">
      <w:pPr>
        <w:widowControl w:val="0"/>
        <w:numPr>
          <w:ilvl w:val="0"/>
          <w:numId w:val="1"/>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b/>
          <w:bCs/>
          <w:i/>
          <w:iCs/>
          <w:sz w:val="29"/>
          <w:szCs w:val="29"/>
          <w:u w:color="0000E9"/>
        </w:rPr>
        <w:t xml:space="preserve">SGP Results - </w:t>
      </w:r>
      <w:r>
        <w:rPr>
          <w:rFonts w:ascii="Calibri" w:hAnsi="Calibri" w:cs="Calibri"/>
          <w:sz w:val="29"/>
          <w:szCs w:val="29"/>
          <w:u w:color="0000E9"/>
        </w:rPr>
        <w:t>provides basic descriptive statistics from the 2016 analyses at both the state and school levels.</w:t>
      </w:r>
    </w:p>
    <w:p w14:paraId="229E94B6"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This report also includes multiple appendices. Appendix A displays Goodness of Fit plots for each analysis conducted in 2016. Appendix B provides a more comprehensive discussion of the SGP methodology. Appendix C is an investigation of potential ceiling and/or floor effects present in the PARCC consortium assessment data and growth analyses.</w:t>
      </w:r>
    </w:p>
    <w:p w14:paraId="38BBC2D7" w14:textId="77777777" w:rsidR="008A5243" w:rsidRDefault="008A5243" w:rsidP="008A5243">
      <w:pPr>
        <w:rPr>
          <w:rFonts w:ascii="Cambria" w:hAnsi="Cambria" w:cs="Cambria"/>
          <w:b/>
          <w:bCs/>
          <w:color w:val="2A4B7E"/>
          <w:sz w:val="37"/>
          <w:szCs w:val="37"/>
          <w:u w:color="0000E9"/>
        </w:rPr>
      </w:pPr>
      <w:r>
        <w:rPr>
          <w:rFonts w:ascii="Cambria" w:hAnsi="Cambria" w:cs="Cambria"/>
          <w:b/>
          <w:bCs/>
          <w:color w:val="2A4B7E"/>
          <w:sz w:val="37"/>
          <w:szCs w:val="37"/>
          <w:u w:color="0000E9"/>
        </w:rPr>
        <w:br w:type="page"/>
      </w:r>
      <w:r>
        <w:rPr>
          <w:rFonts w:ascii="Cambria" w:hAnsi="Cambria" w:cs="Cambria"/>
          <w:b/>
          <w:bCs/>
          <w:color w:val="2A4B7E"/>
          <w:sz w:val="37"/>
          <w:szCs w:val="37"/>
          <w:u w:color="0000E9"/>
        </w:rPr>
        <w:t>2 Data</w:t>
      </w:r>
    </w:p>
    <w:p w14:paraId="162E78D7"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Data for the PARCC grade level and </w:t>
      </w:r>
      <w:proofErr w:type="gramStart"/>
      <w:r>
        <w:rPr>
          <w:rFonts w:ascii="Calibri" w:hAnsi="Calibri" w:cs="Calibri"/>
          <w:sz w:val="29"/>
          <w:szCs w:val="29"/>
          <w:u w:color="0000E9"/>
        </w:rPr>
        <w:t>end-of-course tests (EOCT) used in the SGP analyses were supplied by Pearson to the NCIEA for analysis</w:t>
      </w:r>
      <w:proofErr w:type="gramEnd"/>
      <w:r>
        <w:rPr>
          <w:rFonts w:ascii="Calibri" w:hAnsi="Calibri" w:cs="Calibri"/>
          <w:sz w:val="29"/>
          <w:szCs w:val="29"/>
          <w:u w:color="0000E9"/>
        </w:rPr>
        <w:t xml:space="preserve"> in the summer of 2016. These PARCC test records were added to PARCC assessment program data from the spring 2015 and fall 2015 test administrations to create the longitudinal data set from which the spring 2016 SGPs were calculated. Subsequent years’ analyses will augment this multi-year data set allowing Pearson to maintain a comprehensive longitudinal data set for all students taking the PARCC assessments.</w:t>
      </w:r>
    </w:p>
    <w:p w14:paraId="0FDE9591"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Student Growth Percentiles have been produced for students that have a current score and at least one prior score in either the same subject or a related content area. For the 2016 academic year SGPs were produced for grade-level English Language Arts (ELA) and Mathematics, as well as for EOCT subjects including Algebra I, Algebra II, Geometry, and Integrated Mathematics 1 through 3.</w:t>
      </w:r>
    </w:p>
    <w:p w14:paraId="691C9DC3"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2.1 Longitudinal Data</w:t>
      </w:r>
    </w:p>
    <w:p w14:paraId="09DD23A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Growth analyses of assessment data require test scores that are linked to individual students over time. Student growth percentile analyses require, at a minimum two (and preferably more) years of assessment data for analysis of student progress. To this end it is necessary that a unique student identifier be available so that student data records across years can be merged with one another and subsequently examined. Because some records in the assessment data set contain students with more than one test score in a content area in a given year, a process to create unique student records in each content area by year combination was required.</w:t>
      </w:r>
    </w:p>
    <w:p w14:paraId="03AC662E" w14:textId="77777777" w:rsidR="008A5243" w:rsidRDefault="008A5243" w:rsidP="008A5243">
      <w:pPr>
        <w:widowControl w:val="0"/>
        <w:autoSpaceDE w:val="0"/>
        <w:autoSpaceDN w:val="0"/>
        <w:adjustRightInd w:val="0"/>
        <w:rPr>
          <w:rFonts w:ascii="Calibri" w:hAnsi="Calibri" w:cs="Calibri"/>
          <w:color w:val="0000E9"/>
          <w:u w:val="single" w:color="0000E9"/>
          <w:vertAlign w:val="superscript"/>
        </w:rPr>
      </w:pPr>
      <w:r>
        <w:rPr>
          <w:rFonts w:ascii="Calibri" w:hAnsi="Calibri" w:cs="Calibri"/>
          <w:sz w:val="29"/>
          <w:szCs w:val="29"/>
          <w:u w:color="0000E9"/>
        </w:rPr>
        <w:t>Table 1 shows the number of valid grade level student records available for analysis after applying a set of general business rules. The final raw data submissions provided by Pearson contained no duplicate records or other problematic cases, and therefore these records are all considered valid for use in the SGP models.</w:t>
      </w:r>
      <w:r>
        <w:rPr>
          <w:rFonts w:ascii="Calibri" w:hAnsi="Calibri" w:cs="Calibri"/>
          <w:color w:val="0000E9"/>
          <w:u w:val="single" w:color="0000E9"/>
          <w:vertAlign w:val="superscript"/>
        </w:rPr>
        <w:t>2</w:t>
      </w:r>
    </w:p>
    <w:p w14:paraId="07D896E8" w14:textId="77777777" w:rsidR="008A5243" w:rsidRDefault="008A5243">
      <w:pPr>
        <w:rPr>
          <w:rFonts w:ascii="Calibri" w:hAnsi="Calibri" w:cs="Calibri"/>
          <w:color w:val="0000E9"/>
          <w:u w:val="single" w:color="0000E9"/>
          <w:vertAlign w:val="superscript"/>
        </w:rPr>
      </w:pPr>
      <w:r>
        <w:rPr>
          <w:rFonts w:ascii="Calibri" w:hAnsi="Calibri" w:cs="Calibri"/>
          <w:color w:val="0000E9"/>
          <w:u w:val="single" w:color="0000E9"/>
          <w:vertAlign w:val="superscript"/>
        </w:rPr>
        <w:br w:type="page"/>
      </w:r>
    </w:p>
    <w:p w14:paraId="1B21EB7F" w14:textId="77777777" w:rsidR="008A5243" w:rsidRDefault="008A5243" w:rsidP="008A5243">
      <w:pPr>
        <w:widowControl w:val="0"/>
        <w:autoSpaceDE w:val="0"/>
        <w:autoSpaceDN w:val="0"/>
        <w:adjustRightInd w:val="0"/>
        <w:rPr>
          <w:rFonts w:ascii="Calibri" w:hAnsi="Calibri" w:cs="Calibri"/>
          <w:sz w:val="29"/>
          <w:szCs w:val="29"/>
          <w:u w:color="0000E9"/>
        </w:rPr>
      </w:pPr>
    </w:p>
    <w:tbl>
      <w:tblPr>
        <w:tblW w:w="11690" w:type="dxa"/>
        <w:tblInd w:w="-686" w:type="dxa"/>
        <w:tblBorders>
          <w:top w:val="nil"/>
          <w:left w:val="nil"/>
          <w:right w:val="nil"/>
        </w:tblBorders>
        <w:tblLayout w:type="fixed"/>
        <w:tblLook w:val="0000" w:firstRow="0" w:lastRow="0" w:firstColumn="0" w:lastColumn="0" w:noHBand="0" w:noVBand="0"/>
      </w:tblPr>
      <w:tblGrid>
        <w:gridCol w:w="1594"/>
        <w:gridCol w:w="236"/>
        <w:gridCol w:w="1060"/>
        <w:gridCol w:w="1060"/>
        <w:gridCol w:w="1060"/>
        <w:gridCol w:w="1060"/>
        <w:gridCol w:w="1060"/>
        <w:gridCol w:w="1060"/>
        <w:gridCol w:w="1060"/>
        <w:gridCol w:w="1060"/>
        <w:gridCol w:w="1380"/>
      </w:tblGrid>
      <w:tr w:rsidR="008A5243" w14:paraId="57FE112C" w14:textId="77777777" w:rsidTr="008A5243">
        <w:tblPrEx>
          <w:tblCellMar>
            <w:top w:w="0" w:type="dxa"/>
            <w:bottom w:w="0" w:type="dxa"/>
          </w:tblCellMar>
        </w:tblPrEx>
        <w:tc>
          <w:tcPr>
            <w:tcW w:w="11690" w:type="dxa"/>
            <w:gridSpan w:val="11"/>
            <w:tcMar>
              <w:top w:w="80" w:type="nil"/>
              <w:left w:w="80" w:type="nil"/>
              <w:bottom w:w="40" w:type="nil"/>
              <w:right w:w="80" w:type="nil"/>
            </w:tcMar>
            <w:vAlign w:val="center"/>
          </w:tcPr>
          <w:p w14:paraId="7F5416D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w:t>
            </w:r>
            <w:r>
              <w:rPr>
                <w:rFonts w:ascii="Arial" w:hAnsi="Arial" w:cs="Arial"/>
                <w:sz w:val="26"/>
                <w:szCs w:val="26"/>
                <w:u w:color="0000E9"/>
              </w:rPr>
              <w:t xml:space="preserve"> Number of Valid Grade Level Student Records by Grade and Subject for 2016</w:t>
            </w:r>
          </w:p>
        </w:tc>
      </w:tr>
      <w:tr w:rsidR="008A5243" w14:paraId="5180D308" w14:textId="77777777" w:rsidTr="008A5243">
        <w:tblPrEx>
          <w:tblBorders>
            <w:top w:val="none" w:sz="0" w:space="0" w:color="auto"/>
          </w:tblBorders>
          <w:tblCellMar>
            <w:top w:w="0" w:type="dxa"/>
            <w:bottom w:w="0" w:type="dxa"/>
          </w:tblCellMar>
        </w:tblPrEx>
        <w:tc>
          <w:tcPr>
            <w:tcW w:w="1594" w:type="dxa"/>
            <w:tcBorders>
              <w:top w:val="single" w:sz="16" w:space="0" w:color="6D6D6D"/>
            </w:tcBorders>
            <w:tcMar>
              <w:top w:w="20" w:type="nil"/>
              <w:left w:w="20" w:type="nil"/>
              <w:bottom w:w="20" w:type="nil"/>
              <w:right w:w="20" w:type="nil"/>
            </w:tcMar>
            <w:vAlign w:val="center"/>
          </w:tcPr>
          <w:p w14:paraId="48E5AC9C" w14:textId="77777777" w:rsidR="008A5243" w:rsidRDefault="008A5243">
            <w:pPr>
              <w:widowControl w:val="0"/>
              <w:autoSpaceDE w:val="0"/>
              <w:autoSpaceDN w:val="0"/>
              <w:adjustRightInd w:val="0"/>
              <w:rPr>
                <w:rFonts w:ascii="Arial" w:hAnsi="Arial" w:cs="Arial"/>
                <w:b/>
                <w:bCs/>
                <w:sz w:val="26"/>
                <w:szCs w:val="26"/>
                <w:u w:color="0000E9"/>
              </w:rPr>
            </w:pPr>
          </w:p>
        </w:tc>
        <w:tc>
          <w:tcPr>
            <w:tcW w:w="236" w:type="dxa"/>
            <w:tcBorders>
              <w:top w:val="single" w:sz="16" w:space="0" w:color="6D6D6D"/>
            </w:tcBorders>
            <w:tcMar>
              <w:top w:w="20" w:type="nil"/>
              <w:left w:w="20" w:type="nil"/>
              <w:bottom w:w="20" w:type="nil"/>
              <w:right w:w="20" w:type="nil"/>
            </w:tcMar>
            <w:vAlign w:val="center"/>
          </w:tcPr>
          <w:p w14:paraId="2E1BBE8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9860" w:type="dxa"/>
            <w:gridSpan w:val="9"/>
            <w:tcBorders>
              <w:top w:val="single" w:sz="16" w:space="0" w:color="6D6D6D"/>
              <w:bottom w:val="single" w:sz="8" w:space="0" w:color="6D6D6D"/>
            </w:tcBorders>
            <w:tcMar>
              <w:top w:w="20" w:type="nil"/>
              <w:left w:w="20" w:type="nil"/>
              <w:bottom w:w="20" w:type="nil"/>
              <w:right w:w="20" w:type="nil"/>
            </w:tcMar>
            <w:vAlign w:val="center"/>
          </w:tcPr>
          <w:p w14:paraId="7969236C"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Grades</w:t>
            </w:r>
          </w:p>
        </w:tc>
      </w:tr>
      <w:tr w:rsidR="008A5243" w14:paraId="1AE186F8" w14:textId="77777777" w:rsidTr="008A5243">
        <w:tblPrEx>
          <w:tblBorders>
            <w:top w:val="none" w:sz="0" w:space="0" w:color="auto"/>
          </w:tblBorders>
          <w:tblCellMar>
            <w:top w:w="0" w:type="dxa"/>
            <w:bottom w:w="0" w:type="dxa"/>
          </w:tblCellMar>
        </w:tblPrEx>
        <w:tc>
          <w:tcPr>
            <w:tcW w:w="1594" w:type="dxa"/>
            <w:tcBorders>
              <w:bottom w:val="single" w:sz="8" w:space="0" w:color="6D6D6D"/>
            </w:tcBorders>
            <w:tcMar>
              <w:top w:w="20" w:type="nil"/>
              <w:left w:w="20" w:type="nil"/>
              <w:bottom w:w="20" w:type="nil"/>
              <w:right w:w="20" w:type="nil"/>
            </w:tcMar>
            <w:vAlign w:val="center"/>
          </w:tcPr>
          <w:p w14:paraId="562CA9DB"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236" w:type="dxa"/>
            <w:tcBorders>
              <w:bottom w:val="single" w:sz="8" w:space="0" w:color="6D6D6D"/>
            </w:tcBorders>
            <w:tcMar>
              <w:top w:w="20" w:type="nil"/>
              <w:left w:w="20" w:type="nil"/>
              <w:bottom w:w="20" w:type="nil"/>
              <w:right w:w="20" w:type="nil"/>
            </w:tcMar>
            <w:vAlign w:val="center"/>
          </w:tcPr>
          <w:p w14:paraId="0A7D0922"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1060" w:type="dxa"/>
            <w:tcBorders>
              <w:bottom w:val="single" w:sz="8" w:space="0" w:color="6D6D6D"/>
            </w:tcBorders>
            <w:tcMar>
              <w:top w:w="20" w:type="nil"/>
              <w:left w:w="20" w:type="nil"/>
              <w:bottom w:w="20" w:type="nil"/>
              <w:right w:w="20" w:type="nil"/>
            </w:tcMar>
            <w:vAlign w:val="center"/>
          </w:tcPr>
          <w:p w14:paraId="79D41745"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3</w:t>
            </w:r>
          </w:p>
        </w:tc>
        <w:tc>
          <w:tcPr>
            <w:tcW w:w="1060" w:type="dxa"/>
            <w:tcBorders>
              <w:bottom w:val="single" w:sz="8" w:space="0" w:color="6D6D6D"/>
            </w:tcBorders>
            <w:tcMar>
              <w:top w:w="20" w:type="nil"/>
              <w:left w:w="20" w:type="nil"/>
              <w:bottom w:w="20" w:type="nil"/>
              <w:right w:w="20" w:type="nil"/>
            </w:tcMar>
            <w:vAlign w:val="center"/>
          </w:tcPr>
          <w:p w14:paraId="588D9B9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4</w:t>
            </w:r>
          </w:p>
        </w:tc>
        <w:tc>
          <w:tcPr>
            <w:tcW w:w="1060" w:type="dxa"/>
            <w:tcBorders>
              <w:bottom w:val="single" w:sz="8" w:space="0" w:color="6D6D6D"/>
            </w:tcBorders>
            <w:tcMar>
              <w:top w:w="20" w:type="nil"/>
              <w:left w:w="20" w:type="nil"/>
              <w:bottom w:w="20" w:type="nil"/>
              <w:right w:w="20" w:type="nil"/>
            </w:tcMar>
            <w:vAlign w:val="center"/>
          </w:tcPr>
          <w:p w14:paraId="4B95D9EC"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5</w:t>
            </w:r>
          </w:p>
        </w:tc>
        <w:tc>
          <w:tcPr>
            <w:tcW w:w="1060" w:type="dxa"/>
            <w:tcBorders>
              <w:bottom w:val="single" w:sz="8" w:space="0" w:color="6D6D6D"/>
            </w:tcBorders>
            <w:tcMar>
              <w:top w:w="20" w:type="nil"/>
              <w:left w:w="20" w:type="nil"/>
              <w:bottom w:w="20" w:type="nil"/>
              <w:right w:w="20" w:type="nil"/>
            </w:tcMar>
            <w:vAlign w:val="center"/>
          </w:tcPr>
          <w:p w14:paraId="4ED6212E"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6</w:t>
            </w:r>
          </w:p>
        </w:tc>
        <w:tc>
          <w:tcPr>
            <w:tcW w:w="1060" w:type="dxa"/>
            <w:tcBorders>
              <w:bottom w:val="single" w:sz="8" w:space="0" w:color="6D6D6D"/>
            </w:tcBorders>
            <w:tcMar>
              <w:top w:w="20" w:type="nil"/>
              <w:left w:w="20" w:type="nil"/>
              <w:bottom w:w="20" w:type="nil"/>
              <w:right w:w="20" w:type="nil"/>
            </w:tcMar>
            <w:vAlign w:val="center"/>
          </w:tcPr>
          <w:p w14:paraId="07C3B18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7</w:t>
            </w:r>
          </w:p>
        </w:tc>
        <w:tc>
          <w:tcPr>
            <w:tcW w:w="1060" w:type="dxa"/>
            <w:tcBorders>
              <w:bottom w:val="single" w:sz="8" w:space="0" w:color="6D6D6D"/>
            </w:tcBorders>
            <w:tcMar>
              <w:top w:w="20" w:type="nil"/>
              <w:left w:w="20" w:type="nil"/>
              <w:bottom w:w="20" w:type="nil"/>
              <w:right w:w="20" w:type="nil"/>
            </w:tcMar>
            <w:vAlign w:val="center"/>
          </w:tcPr>
          <w:p w14:paraId="797DB33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8</w:t>
            </w:r>
          </w:p>
        </w:tc>
        <w:tc>
          <w:tcPr>
            <w:tcW w:w="1060" w:type="dxa"/>
            <w:tcBorders>
              <w:bottom w:val="single" w:sz="8" w:space="0" w:color="6D6D6D"/>
            </w:tcBorders>
            <w:tcMar>
              <w:top w:w="20" w:type="nil"/>
              <w:left w:w="20" w:type="nil"/>
              <w:bottom w:w="20" w:type="nil"/>
              <w:right w:w="20" w:type="nil"/>
            </w:tcMar>
            <w:vAlign w:val="center"/>
          </w:tcPr>
          <w:p w14:paraId="66517A3B"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9</w:t>
            </w:r>
          </w:p>
        </w:tc>
        <w:tc>
          <w:tcPr>
            <w:tcW w:w="1060" w:type="dxa"/>
            <w:tcBorders>
              <w:bottom w:val="single" w:sz="8" w:space="0" w:color="6D6D6D"/>
            </w:tcBorders>
            <w:tcMar>
              <w:top w:w="20" w:type="nil"/>
              <w:left w:w="20" w:type="nil"/>
              <w:bottom w:w="20" w:type="nil"/>
              <w:right w:w="20" w:type="nil"/>
            </w:tcMar>
            <w:vAlign w:val="center"/>
          </w:tcPr>
          <w:p w14:paraId="5ECB1242"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10</w:t>
            </w:r>
          </w:p>
        </w:tc>
        <w:tc>
          <w:tcPr>
            <w:tcW w:w="1380" w:type="dxa"/>
            <w:tcBorders>
              <w:bottom w:val="single" w:sz="8" w:space="0" w:color="6D6D6D"/>
            </w:tcBorders>
            <w:tcMar>
              <w:top w:w="20" w:type="nil"/>
              <w:left w:w="20" w:type="nil"/>
              <w:bottom w:w="20" w:type="nil"/>
              <w:right w:w="20" w:type="nil"/>
            </w:tcMar>
            <w:vAlign w:val="center"/>
          </w:tcPr>
          <w:p w14:paraId="2F884C3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11</w:t>
            </w:r>
          </w:p>
        </w:tc>
      </w:tr>
      <w:tr w:rsidR="008A5243" w14:paraId="1C1487B3" w14:textId="77777777" w:rsidTr="008A5243">
        <w:tblPrEx>
          <w:tblBorders>
            <w:top w:val="none" w:sz="0" w:space="0" w:color="auto"/>
          </w:tblBorders>
          <w:tblCellMar>
            <w:top w:w="0" w:type="dxa"/>
            <w:bottom w:w="0" w:type="dxa"/>
          </w:tblCellMar>
        </w:tblPrEx>
        <w:tc>
          <w:tcPr>
            <w:tcW w:w="1594" w:type="dxa"/>
            <w:tcMar>
              <w:top w:w="80" w:type="nil"/>
              <w:left w:w="80" w:type="nil"/>
              <w:bottom w:w="40" w:type="nil"/>
              <w:right w:w="80" w:type="nil"/>
            </w:tcMar>
            <w:vAlign w:val="center"/>
          </w:tcPr>
          <w:p w14:paraId="5903A48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ELA</w:t>
            </w:r>
          </w:p>
        </w:tc>
        <w:tc>
          <w:tcPr>
            <w:tcW w:w="236" w:type="dxa"/>
            <w:tcMar>
              <w:top w:w="80" w:type="nil"/>
              <w:left w:w="80" w:type="nil"/>
              <w:bottom w:w="40" w:type="nil"/>
              <w:right w:w="80" w:type="nil"/>
            </w:tcMar>
            <w:vAlign w:val="center"/>
          </w:tcPr>
          <w:p w14:paraId="7BCB66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060" w:type="dxa"/>
            <w:tcMar>
              <w:top w:w="80" w:type="nil"/>
              <w:left w:w="80" w:type="nil"/>
              <w:bottom w:w="40" w:type="nil"/>
              <w:right w:w="80" w:type="nil"/>
            </w:tcMar>
            <w:vAlign w:val="center"/>
          </w:tcPr>
          <w:p w14:paraId="452DAA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472,408</w:t>
            </w:r>
          </w:p>
        </w:tc>
        <w:tc>
          <w:tcPr>
            <w:tcW w:w="1060" w:type="dxa"/>
            <w:tcMar>
              <w:top w:w="80" w:type="nil"/>
              <w:left w:w="80" w:type="nil"/>
              <w:bottom w:w="40" w:type="nil"/>
              <w:right w:w="80" w:type="nil"/>
            </w:tcMar>
            <w:vAlign w:val="center"/>
          </w:tcPr>
          <w:p w14:paraId="03E3592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461,686</w:t>
            </w:r>
          </w:p>
        </w:tc>
        <w:tc>
          <w:tcPr>
            <w:tcW w:w="1060" w:type="dxa"/>
            <w:tcMar>
              <w:top w:w="80" w:type="nil"/>
              <w:left w:w="80" w:type="nil"/>
              <w:bottom w:w="40" w:type="nil"/>
              <w:right w:w="80" w:type="nil"/>
            </w:tcMar>
            <w:vAlign w:val="center"/>
          </w:tcPr>
          <w:p w14:paraId="43DEE48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456,671</w:t>
            </w:r>
          </w:p>
        </w:tc>
        <w:tc>
          <w:tcPr>
            <w:tcW w:w="1060" w:type="dxa"/>
            <w:tcMar>
              <w:top w:w="80" w:type="nil"/>
              <w:left w:w="80" w:type="nil"/>
              <w:bottom w:w="40" w:type="nil"/>
              <w:right w:w="80" w:type="nil"/>
            </w:tcMar>
            <w:vAlign w:val="center"/>
          </w:tcPr>
          <w:p w14:paraId="58F13EC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456,997</w:t>
            </w:r>
          </w:p>
        </w:tc>
        <w:tc>
          <w:tcPr>
            <w:tcW w:w="1060" w:type="dxa"/>
            <w:tcMar>
              <w:top w:w="80" w:type="nil"/>
              <w:left w:w="80" w:type="nil"/>
              <w:bottom w:w="40" w:type="nil"/>
              <w:right w:w="80" w:type="nil"/>
            </w:tcMar>
            <w:vAlign w:val="center"/>
          </w:tcPr>
          <w:p w14:paraId="3A02DD5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450,997</w:t>
            </w:r>
          </w:p>
        </w:tc>
        <w:tc>
          <w:tcPr>
            <w:tcW w:w="1060" w:type="dxa"/>
            <w:tcMar>
              <w:top w:w="80" w:type="nil"/>
              <w:left w:w="80" w:type="nil"/>
              <w:bottom w:w="40" w:type="nil"/>
              <w:right w:w="80" w:type="nil"/>
            </w:tcMar>
            <w:vAlign w:val="center"/>
          </w:tcPr>
          <w:p w14:paraId="1AF24C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441,617</w:t>
            </w:r>
          </w:p>
        </w:tc>
        <w:tc>
          <w:tcPr>
            <w:tcW w:w="1060" w:type="dxa"/>
            <w:tcMar>
              <w:top w:w="80" w:type="nil"/>
              <w:left w:w="80" w:type="nil"/>
              <w:bottom w:w="40" w:type="nil"/>
              <w:right w:w="80" w:type="nil"/>
            </w:tcMar>
            <w:vAlign w:val="center"/>
          </w:tcPr>
          <w:p w14:paraId="5C6E2B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278,231</w:t>
            </w:r>
          </w:p>
        </w:tc>
        <w:tc>
          <w:tcPr>
            <w:tcW w:w="1060" w:type="dxa"/>
            <w:tcMar>
              <w:top w:w="80" w:type="nil"/>
              <w:left w:w="80" w:type="nil"/>
              <w:bottom w:w="40" w:type="nil"/>
              <w:right w:w="80" w:type="nil"/>
            </w:tcMar>
            <w:vAlign w:val="center"/>
          </w:tcPr>
          <w:p w14:paraId="0990A59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195,612</w:t>
            </w:r>
          </w:p>
        </w:tc>
        <w:tc>
          <w:tcPr>
            <w:tcW w:w="1380" w:type="dxa"/>
            <w:tcMar>
              <w:top w:w="80" w:type="nil"/>
              <w:left w:w="80" w:type="nil"/>
              <w:bottom w:w="40" w:type="nil"/>
              <w:right w:w="80" w:type="nil"/>
            </w:tcMar>
            <w:vAlign w:val="center"/>
          </w:tcPr>
          <w:p w14:paraId="0D2D409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139,109</w:t>
            </w:r>
          </w:p>
        </w:tc>
      </w:tr>
      <w:tr w:rsidR="008A5243" w14:paraId="01E70BC8" w14:textId="77777777" w:rsidTr="008A5243">
        <w:tblPrEx>
          <w:tblCellMar>
            <w:top w:w="0" w:type="dxa"/>
            <w:bottom w:w="0" w:type="dxa"/>
          </w:tblCellMar>
        </w:tblPrEx>
        <w:tc>
          <w:tcPr>
            <w:tcW w:w="1594" w:type="dxa"/>
            <w:tcBorders>
              <w:bottom w:val="single" w:sz="16" w:space="0" w:color="6D6D6D"/>
            </w:tcBorders>
            <w:tcMar>
              <w:top w:w="80" w:type="nil"/>
              <w:left w:w="80" w:type="nil"/>
              <w:bottom w:w="40" w:type="nil"/>
              <w:right w:w="80" w:type="nil"/>
            </w:tcMar>
            <w:vAlign w:val="center"/>
          </w:tcPr>
          <w:p w14:paraId="5AA6AE8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w:t>
            </w:r>
          </w:p>
        </w:tc>
        <w:tc>
          <w:tcPr>
            <w:tcW w:w="236" w:type="dxa"/>
            <w:tcBorders>
              <w:bottom w:val="single" w:sz="16" w:space="0" w:color="6D6D6D"/>
            </w:tcBorders>
            <w:tcMar>
              <w:top w:w="80" w:type="nil"/>
              <w:left w:w="80" w:type="nil"/>
              <w:bottom w:w="40" w:type="nil"/>
              <w:right w:w="80" w:type="nil"/>
            </w:tcMar>
            <w:vAlign w:val="center"/>
          </w:tcPr>
          <w:p w14:paraId="478141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060" w:type="dxa"/>
            <w:tcBorders>
              <w:bottom w:val="single" w:sz="16" w:space="0" w:color="6D6D6D"/>
            </w:tcBorders>
            <w:tcMar>
              <w:top w:w="80" w:type="nil"/>
              <w:left w:w="80" w:type="nil"/>
              <w:bottom w:w="40" w:type="nil"/>
              <w:right w:w="80" w:type="nil"/>
            </w:tcMar>
            <w:vAlign w:val="center"/>
          </w:tcPr>
          <w:p w14:paraId="44BA1BD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477,296</w:t>
            </w:r>
          </w:p>
        </w:tc>
        <w:tc>
          <w:tcPr>
            <w:tcW w:w="1060" w:type="dxa"/>
            <w:tcBorders>
              <w:bottom w:val="single" w:sz="16" w:space="0" w:color="6D6D6D"/>
            </w:tcBorders>
            <w:tcMar>
              <w:top w:w="80" w:type="nil"/>
              <w:left w:w="80" w:type="nil"/>
              <w:bottom w:w="40" w:type="nil"/>
              <w:right w:w="80" w:type="nil"/>
            </w:tcMar>
            <w:vAlign w:val="center"/>
          </w:tcPr>
          <w:p w14:paraId="32CB199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465,122</w:t>
            </w:r>
          </w:p>
        </w:tc>
        <w:tc>
          <w:tcPr>
            <w:tcW w:w="1060" w:type="dxa"/>
            <w:tcBorders>
              <w:bottom w:val="single" w:sz="16" w:space="0" w:color="6D6D6D"/>
            </w:tcBorders>
            <w:tcMar>
              <w:top w:w="80" w:type="nil"/>
              <w:left w:w="80" w:type="nil"/>
              <w:bottom w:w="40" w:type="nil"/>
              <w:right w:w="80" w:type="nil"/>
            </w:tcMar>
            <w:vAlign w:val="center"/>
          </w:tcPr>
          <w:p w14:paraId="34A193D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458,941</w:t>
            </w:r>
          </w:p>
        </w:tc>
        <w:tc>
          <w:tcPr>
            <w:tcW w:w="1060" w:type="dxa"/>
            <w:tcBorders>
              <w:bottom w:val="single" w:sz="16" w:space="0" w:color="6D6D6D"/>
            </w:tcBorders>
            <w:tcMar>
              <w:top w:w="80" w:type="nil"/>
              <w:left w:w="80" w:type="nil"/>
              <w:bottom w:w="40" w:type="nil"/>
              <w:right w:w="80" w:type="nil"/>
            </w:tcMar>
            <w:vAlign w:val="center"/>
          </w:tcPr>
          <w:p w14:paraId="35B08A3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459,031</w:t>
            </w:r>
          </w:p>
        </w:tc>
        <w:tc>
          <w:tcPr>
            <w:tcW w:w="1060" w:type="dxa"/>
            <w:tcBorders>
              <w:bottom w:val="single" w:sz="16" w:space="0" w:color="6D6D6D"/>
            </w:tcBorders>
            <w:tcMar>
              <w:top w:w="80" w:type="nil"/>
              <w:left w:w="80" w:type="nil"/>
              <w:bottom w:w="40" w:type="nil"/>
              <w:right w:w="80" w:type="nil"/>
            </w:tcMar>
            <w:vAlign w:val="center"/>
          </w:tcPr>
          <w:p w14:paraId="50B389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436,963</w:t>
            </w:r>
          </w:p>
        </w:tc>
        <w:tc>
          <w:tcPr>
            <w:tcW w:w="1060" w:type="dxa"/>
            <w:tcBorders>
              <w:bottom w:val="single" w:sz="16" w:space="0" w:color="6D6D6D"/>
            </w:tcBorders>
            <w:tcMar>
              <w:top w:w="80" w:type="nil"/>
              <w:left w:w="80" w:type="nil"/>
              <w:bottom w:w="40" w:type="nil"/>
              <w:right w:w="80" w:type="nil"/>
            </w:tcMar>
            <w:vAlign w:val="center"/>
          </w:tcPr>
          <w:p w14:paraId="12B355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360,753</w:t>
            </w:r>
          </w:p>
        </w:tc>
        <w:tc>
          <w:tcPr>
            <w:tcW w:w="1060" w:type="dxa"/>
            <w:tcBorders>
              <w:bottom w:val="single" w:sz="16" w:space="0" w:color="6D6D6D"/>
            </w:tcBorders>
            <w:tcMar>
              <w:top w:w="80" w:type="nil"/>
              <w:left w:w="80" w:type="nil"/>
              <w:bottom w:w="40" w:type="nil"/>
              <w:right w:w="80" w:type="nil"/>
            </w:tcMar>
            <w:vAlign w:val="center"/>
          </w:tcPr>
          <w:p w14:paraId="04D98251" w14:textId="77777777" w:rsidR="008A5243" w:rsidRDefault="008A5243">
            <w:pPr>
              <w:widowControl w:val="0"/>
              <w:autoSpaceDE w:val="0"/>
              <w:autoSpaceDN w:val="0"/>
              <w:adjustRightInd w:val="0"/>
              <w:rPr>
                <w:rFonts w:ascii="Arial" w:hAnsi="Arial" w:cs="Arial"/>
                <w:sz w:val="26"/>
                <w:szCs w:val="26"/>
                <w:u w:color="0000E9"/>
              </w:rPr>
            </w:pPr>
          </w:p>
        </w:tc>
        <w:tc>
          <w:tcPr>
            <w:tcW w:w="1060" w:type="dxa"/>
            <w:tcBorders>
              <w:bottom w:val="single" w:sz="16" w:space="0" w:color="6D6D6D"/>
            </w:tcBorders>
            <w:tcMar>
              <w:top w:w="80" w:type="nil"/>
              <w:left w:w="80" w:type="nil"/>
              <w:bottom w:w="40" w:type="nil"/>
              <w:right w:w="80" w:type="nil"/>
            </w:tcMar>
            <w:vAlign w:val="center"/>
          </w:tcPr>
          <w:p w14:paraId="276914A6" w14:textId="77777777" w:rsidR="008A5243" w:rsidRDefault="008A5243">
            <w:pPr>
              <w:widowControl w:val="0"/>
              <w:autoSpaceDE w:val="0"/>
              <w:autoSpaceDN w:val="0"/>
              <w:adjustRightInd w:val="0"/>
              <w:rPr>
                <w:rFonts w:ascii="Arial" w:hAnsi="Arial" w:cs="Arial"/>
                <w:sz w:val="26"/>
                <w:szCs w:val="26"/>
                <w:u w:color="0000E9"/>
              </w:rPr>
            </w:pPr>
          </w:p>
        </w:tc>
        <w:tc>
          <w:tcPr>
            <w:tcW w:w="1380" w:type="dxa"/>
            <w:tcBorders>
              <w:bottom w:val="single" w:sz="16" w:space="0" w:color="6D6D6D"/>
            </w:tcBorders>
            <w:tcMar>
              <w:top w:w="80" w:type="nil"/>
              <w:left w:w="80" w:type="nil"/>
              <w:bottom w:w="40" w:type="nil"/>
              <w:right w:w="80" w:type="nil"/>
            </w:tcMar>
            <w:vAlign w:val="center"/>
          </w:tcPr>
          <w:p w14:paraId="0549F921" w14:textId="77777777" w:rsidR="008A5243" w:rsidRDefault="008A5243">
            <w:pPr>
              <w:widowControl w:val="0"/>
              <w:autoSpaceDE w:val="0"/>
              <w:autoSpaceDN w:val="0"/>
              <w:adjustRightInd w:val="0"/>
              <w:rPr>
                <w:rFonts w:ascii="Arial" w:hAnsi="Arial" w:cs="Arial"/>
                <w:sz w:val="26"/>
                <w:szCs w:val="26"/>
                <w:u w:color="0000E9"/>
              </w:rPr>
            </w:pPr>
          </w:p>
        </w:tc>
      </w:tr>
    </w:tbl>
    <w:p w14:paraId="17BBB241" w14:textId="77777777" w:rsidR="008A5243" w:rsidRDefault="008A5243" w:rsidP="008A5243">
      <w:pPr>
        <w:widowControl w:val="0"/>
        <w:autoSpaceDE w:val="0"/>
        <w:autoSpaceDN w:val="0"/>
        <w:adjustRightInd w:val="0"/>
        <w:rPr>
          <w:rFonts w:ascii="Calibri" w:hAnsi="Calibri" w:cs="Calibri"/>
          <w:sz w:val="29"/>
          <w:szCs w:val="29"/>
          <w:u w:color="0000E9"/>
        </w:rPr>
      </w:pPr>
    </w:p>
    <w:p w14:paraId="16B21CBE" w14:textId="77777777" w:rsidR="008A5243" w:rsidRDefault="008A5243" w:rsidP="008A5243">
      <w:pPr>
        <w:widowControl w:val="0"/>
        <w:autoSpaceDE w:val="0"/>
        <w:autoSpaceDN w:val="0"/>
        <w:adjustRightInd w:val="0"/>
        <w:rPr>
          <w:rFonts w:ascii="Calibri" w:hAnsi="Calibri" w:cs="Calibri"/>
          <w:sz w:val="29"/>
          <w:szCs w:val="29"/>
          <w:u w:color="0000E9"/>
        </w:rPr>
      </w:pPr>
    </w:p>
    <w:p w14:paraId="4A05672F"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Table 2 shows the total number of valid EOCT student records from spring 2016 available for analysis.</w:t>
      </w:r>
    </w:p>
    <w:p w14:paraId="4C545ED3" w14:textId="77777777" w:rsidR="008A5243" w:rsidRDefault="008A5243" w:rsidP="008A5243">
      <w:pPr>
        <w:widowControl w:val="0"/>
        <w:autoSpaceDE w:val="0"/>
        <w:autoSpaceDN w:val="0"/>
        <w:adjustRightInd w:val="0"/>
        <w:rPr>
          <w:rFonts w:ascii="Calibri" w:hAnsi="Calibri" w:cs="Calibri"/>
          <w:sz w:val="29"/>
          <w:szCs w:val="29"/>
          <w:u w:color="0000E9"/>
        </w:rPr>
      </w:pPr>
    </w:p>
    <w:p w14:paraId="5BC69BF1" w14:textId="77777777" w:rsidR="008A5243" w:rsidRDefault="008A5243" w:rsidP="008A5243">
      <w:pPr>
        <w:widowControl w:val="0"/>
        <w:autoSpaceDE w:val="0"/>
        <w:autoSpaceDN w:val="0"/>
        <w:adjustRightInd w:val="0"/>
        <w:rPr>
          <w:rFonts w:ascii="Calibri" w:hAnsi="Calibri" w:cs="Calibri"/>
          <w:sz w:val="29"/>
          <w:szCs w:val="29"/>
          <w:u w:color="0000E9"/>
        </w:rPr>
      </w:pPr>
    </w:p>
    <w:tbl>
      <w:tblPr>
        <w:tblW w:w="0" w:type="auto"/>
        <w:tblBorders>
          <w:top w:val="nil"/>
          <w:left w:val="nil"/>
          <w:right w:val="nil"/>
        </w:tblBorders>
        <w:tblLayout w:type="fixed"/>
        <w:tblLook w:val="0000" w:firstRow="0" w:lastRow="0" w:firstColumn="0" w:lastColumn="0" w:noHBand="0" w:noVBand="0"/>
      </w:tblPr>
      <w:tblGrid>
        <w:gridCol w:w="4832"/>
        <w:gridCol w:w="3860"/>
      </w:tblGrid>
      <w:tr w:rsidR="008A5243" w14:paraId="1871F386" w14:textId="77777777" w:rsidTr="008A5243">
        <w:tblPrEx>
          <w:tblCellMar>
            <w:top w:w="0" w:type="dxa"/>
            <w:bottom w:w="0" w:type="dxa"/>
          </w:tblCellMar>
        </w:tblPrEx>
        <w:tc>
          <w:tcPr>
            <w:tcW w:w="8613" w:type="dxa"/>
            <w:gridSpan w:val="2"/>
            <w:tcMar>
              <w:top w:w="80" w:type="nil"/>
              <w:left w:w="80" w:type="nil"/>
              <w:bottom w:w="40" w:type="nil"/>
              <w:right w:w="80" w:type="nil"/>
            </w:tcMar>
            <w:vAlign w:val="center"/>
          </w:tcPr>
          <w:p w14:paraId="6D595D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2:</w:t>
            </w:r>
            <w:r>
              <w:rPr>
                <w:rFonts w:ascii="Arial" w:hAnsi="Arial" w:cs="Arial"/>
                <w:sz w:val="26"/>
                <w:szCs w:val="26"/>
                <w:u w:color="0000E9"/>
              </w:rPr>
              <w:t xml:space="preserve"> Total Number of Valid EOCT Student Records by Subject for 2016</w:t>
            </w:r>
          </w:p>
        </w:tc>
      </w:tr>
      <w:tr w:rsidR="008A5243" w14:paraId="38F6BEBA" w14:textId="77777777">
        <w:tblPrEx>
          <w:tblBorders>
            <w:top w:val="none" w:sz="0" w:space="0" w:color="auto"/>
          </w:tblBorders>
          <w:tblCellMar>
            <w:top w:w="0" w:type="dxa"/>
            <w:bottom w:w="0" w:type="dxa"/>
          </w:tblCellMar>
        </w:tblPrEx>
        <w:tc>
          <w:tcPr>
            <w:tcW w:w="4832" w:type="dxa"/>
            <w:tcBorders>
              <w:top w:val="single" w:sz="16" w:space="0" w:color="6D6D6D"/>
              <w:bottom w:val="single" w:sz="8" w:space="0" w:color="6D6D6D"/>
            </w:tcBorders>
            <w:tcMar>
              <w:top w:w="20" w:type="nil"/>
              <w:left w:w="20" w:type="nil"/>
              <w:bottom w:w="20" w:type="nil"/>
              <w:right w:w="20" w:type="nil"/>
            </w:tcMar>
            <w:vAlign w:val="center"/>
          </w:tcPr>
          <w:p w14:paraId="66981D3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3860" w:type="dxa"/>
            <w:tcBorders>
              <w:top w:val="single" w:sz="16" w:space="0" w:color="6D6D6D"/>
              <w:bottom w:val="single" w:sz="8" w:space="0" w:color="6D6D6D"/>
            </w:tcBorders>
            <w:tcMar>
              <w:top w:w="20" w:type="nil"/>
              <w:left w:w="20" w:type="nil"/>
              <w:bottom w:w="20" w:type="nil"/>
              <w:right w:w="20" w:type="nil"/>
            </w:tcMar>
            <w:vAlign w:val="center"/>
          </w:tcPr>
          <w:p w14:paraId="74A6AAE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Valid Records</w:t>
            </w:r>
          </w:p>
        </w:tc>
      </w:tr>
      <w:tr w:rsidR="008A5243" w14:paraId="11D2E957" w14:textId="77777777">
        <w:tblPrEx>
          <w:tblBorders>
            <w:top w:val="none" w:sz="0" w:space="0" w:color="auto"/>
          </w:tblBorders>
          <w:tblCellMar>
            <w:top w:w="0" w:type="dxa"/>
            <w:bottom w:w="0" w:type="dxa"/>
          </w:tblCellMar>
        </w:tblPrEx>
        <w:tc>
          <w:tcPr>
            <w:tcW w:w="4712" w:type="dxa"/>
            <w:tcMar>
              <w:top w:w="80" w:type="nil"/>
              <w:left w:w="80" w:type="nil"/>
              <w:bottom w:w="40" w:type="nil"/>
              <w:right w:w="80" w:type="nil"/>
            </w:tcMar>
            <w:vAlign w:val="center"/>
          </w:tcPr>
          <w:p w14:paraId="6CFFAD9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3740" w:type="dxa"/>
            <w:tcMar>
              <w:top w:w="80" w:type="nil"/>
              <w:left w:w="80" w:type="nil"/>
              <w:bottom w:w="40" w:type="nil"/>
              <w:right w:w="80" w:type="nil"/>
            </w:tcMar>
            <w:vAlign w:val="center"/>
          </w:tcPr>
          <w:p w14:paraId="27B2CF9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327,946</w:t>
            </w:r>
          </w:p>
        </w:tc>
      </w:tr>
      <w:tr w:rsidR="008A5243" w14:paraId="09FD117B" w14:textId="77777777">
        <w:tblPrEx>
          <w:tblBorders>
            <w:top w:val="none" w:sz="0" w:space="0" w:color="auto"/>
          </w:tblBorders>
          <w:tblCellMar>
            <w:top w:w="0" w:type="dxa"/>
            <w:bottom w:w="0" w:type="dxa"/>
          </w:tblCellMar>
        </w:tblPrEx>
        <w:tc>
          <w:tcPr>
            <w:tcW w:w="4712" w:type="dxa"/>
            <w:tcMar>
              <w:top w:w="80" w:type="nil"/>
              <w:left w:w="80" w:type="nil"/>
              <w:bottom w:w="40" w:type="nil"/>
              <w:right w:w="80" w:type="nil"/>
            </w:tcMar>
            <w:vAlign w:val="center"/>
          </w:tcPr>
          <w:p w14:paraId="634E706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3740" w:type="dxa"/>
            <w:tcMar>
              <w:top w:w="80" w:type="nil"/>
              <w:left w:w="80" w:type="nil"/>
              <w:bottom w:w="40" w:type="nil"/>
              <w:right w:w="80" w:type="nil"/>
            </w:tcMar>
            <w:vAlign w:val="center"/>
          </w:tcPr>
          <w:p w14:paraId="533A989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141,946</w:t>
            </w:r>
          </w:p>
        </w:tc>
      </w:tr>
      <w:tr w:rsidR="008A5243" w14:paraId="60861993" w14:textId="77777777">
        <w:tblPrEx>
          <w:tblBorders>
            <w:top w:val="none" w:sz="0" w:space="0" w:color="auto"/>
          </w:tblBorders>
          <w:tblCellMar>
            <w:top w:w="0" w:type="dxa"/>
            <w:bottom w:w="0" w:type="dxa"/>
          </w:tblCellMar>
        </w:tblPrEx>
        <w:tc>
          <w:tcPr>
            <w:tcW w:w="4712" w:type="dxa"/>
            <w:tcMar>
              <w:top w:w="80" w:type="nil"/>
              <w:left w:w="80" w:type="nil"/>
              <w:bottom w:w="40" w:type="nil"/>
              <w:right w:w="80" w:type="nil"/>
            </w:tcMar>
            <w:vAlign w:val="center"/>
          </w:tcPr>
          <w:p w14:paraId="4C9464B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3740" w:type="dxa"/>
            <w:tcMar>
              <w:top w:w="80" w:type="nil"/>
              <w:left w:w="80" w:type="nil"/>
              <w:bottom w:w="40" w:type="nil"/>
              <w:right w:w="80" w:type="nil"/>
            </w:tcMar>
            <w:vAlign w:val="center"/>
          </w:tcPr>
          <w:p w14:paraId="73E984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147,094</w:t>
            </w:r>
          </w:p>
        </w:tc>
      </w:tr>
      <w:tr w:rsidR="008A5243" w14:paraId="44FB08E8" w14:textId="77777777">
        <w:tblPrEx>
          <w:tblBorders>
            <w:top w:val="none" w:sz="0" w:space="0" w:color="auto"/>
          </w:tblBorders>
          <w:tblCellMar>
            <w:top w:w="0" w:type="dxa"/>
            <w:bottom w:w="0" w:type="dxa"/>
          </w:tblCellMar>
        </w:tblPrEx>
        <w:tc>
          <w:tcPr>
            <w:tcW w:w="4712" w:type="dxa"/>
            <w:tcMar>
              <w:top w:w="80" w:type="nil"/>
              <w:left w:w="80" w:type="nil"/>
              <w:bottom w:w="40" w:type="nil"/>
              <w:right w:w="80" w:type="nil"/>
            </w:tcMar>
            <w:vAlign w:val="center"/>
          </w:tcPr>
          <w:p w14:paraId="139009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1</w:t>
            </w:r>
          </w:p>
        </w:tc>
        <w:tc>
          <w:tcPr>
            <w:tcW w:w="3740" w:type="dxa"/>
            <w:tcMar>
              <w:top w:w="80" w:type="nil"/>
              <w:left w:w="80" w:type="nil"/>
              <w:bottom w:w="40" w:type="nil"/>
              <w:right w:w="80" w:type="nil"/>
            </w:tcMar>
            <w:vAlign w:val="center"/>
          </w:tcPr>
          <w:p w14:paraId="17D798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16,761</w:t>
            </w:r>
          </w:p>
        </w:tc>
      </w:tr>
      <w:tr w:rsidR="008A5243" w14:paraId="6744EDF7" w14:textId="77777777">
        <w:tblPrEx>
          <w:tblBorders>
            <w:top w:val="none" w:sz="0" w:space="0" w:color="auto"/>
          </w:tblBorders>
          <w:tblCellMar>
            <w:top w:w="0" w:type="dxa"/>
            <w:bottom w:w="0" w:type="dxa"/>
          </w:tblCellMar>
        </w:tblPrEx>
        <w:tc>
          <w:tcPr>
            <w:tcW w:w="4712" w:type="dxa"/>
            <w:tcMar>
              <w:top w:w="80" w:type="nil"/>
              <w:left w:w="80" w:type="nil"/>
              <w:bottom w:w="40" w:type="nil"/>
              <w:right w:w="80" w:type="nil"/>
            </w:tcMar>
            <w:vAlign w:val="center"/>
          </w:tcPr>
          <w:p w14:paraId="6D918FE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2</w:t>
            </w:r>
          </w:p>
        </w:tc>
        <w:tc>
          <w:tcPr>
            <w:tcW w:w="3740" w:type="dxa"/>
            <w:tcMar>
              <w:top w:w="80" w:type="nil"/>
              <w:left w:w="80" w:type="nil"/>
              <w:bottom w:w="40" w:type="nil"/>
              <w:right w:w="80" w:type="nil"/>
            </w:tcMar>
            <w:vAlign w:val="center"/>
          </w:tcPr>
          <w:p w14:paraId="044BB3F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4,780</w:t>
            </w:r>
          </w:p>
        </w:tc>
      </w:tr>
      <w:tr w:rsidR="008A5243" w14:paraId="434670A7" w14:textId="77777777">
        <w:tblPrEx>
          <w:tblCellMar>
            <w:top w:w="0" w:type="dxa"/>
            <w:bottom w:w="0" w:type="dxa"/>
          </w:tblCellMar>
        </w:tblPrEx>
        <w:tc>
          <w:tcPr>
            <w:tcW w:w="4712" w:type="dxa"/>
            <w:tcBorders>
              <w:bottom w:val="single" w:sz="16" w:space="0" w:color="6D6D6D"/>
            </w:tcBorders>
            <w:tcMar>
              <w:top w:w="80" w:type="nil"/>
              <w:left w:w="80" w:type="nil"/>
              <w:bottom w:w="40" w:type="nil"/>
              <w:right w:w="80" w:type="nil"/>
            </w:tcMar>
            <w:vAlign w:val="center"/>
          </w:tcPr>
          <w:p w14:paraId="5A69FC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3</w:t>
            </w:r>
          </w:p>
        </w:tc>
        <w:tc>
          <w:tcPr>
            <w:tcW w:w="3740" w:type="dxa"/>
            <w:tcBorders>
              <w:bottom w:val="single" w:sz="16" w:space="0" w:color="6D6D6D"/>
            </w:tcBorders>
            <w:tcMar>
              <w:top w:w="80" w:type="nil"/>
              <w:left w:w="80" w:type="nil"/>
              <w:bottom w:w="40" w:type="nil"/>
              <w:right w:w="80" w:type="nil"/>
            </w:tcMar>
            <w:vAlign w:val="center"/>
          </w:tcPr>
          <w:p w14:paraId="2F0DE63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2,380</w:t>
            </w:r>
          </w:p>
        </w:tc>
      </w:tr>
    </w:tbl>
    <w:p w14:paraId="005C7CE1"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p>
    <w:p w14:paraId="772F7EC7" w14:textId="77777777" w:rsidR="008A5243" w:rsidRDefault="008A5243">
      <w:pPr>
        <w:rPr>
          <w:rFonts w:ascii="Cambria" w:hAnsi="Cambria" w:cs="Cambria"/>
          <w:b/>
          <w:bCs/>
          <w:color w:val="2A4B7E"/>
          <w:sz w:val="37"/>
          <w:szCs w:val="37"/>
          <w:u w:color="0000E9"/>
        </w:rPr>
      </w:pPr>
      <w:r>
        <w:rPr>
          <w:rFonts w:ascii="Cambria" w:hAnsi="Cambria" w:cs="Cambria"/>
          <w:b/>
          <w:bCs/>
          <w:color w:val="2A4B7E"/>
          <w:sz w:val="37"/>
          <w:szCs w:val="37"/>
          <w:u w:color="0000E9"/>
        </w:rPr>
        <w:br w:type="page"/>
      </w:r>
    </w:p>
    <w:p w14:paraId="741F9D97"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r>
        <w:rPr>
          <w:rFonts w:ascii="Cambria" w:hAnsi="Cambria" w:cs="Cambria"/>
          <w:b/>
          <w:bCs/>
          <w:color w:val="2A4B7E"/>
          <w:sz w:val="37"/>
          <w:szCs w:val="37"/>
          <w:u w:color="0000E9"/>
        </w:rPr>
        <w:t>3 Analytics</w:t>
      </w:r>
    </w:p>
    <w:p w14:paraId="7BED9779"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This section provides basic details about the calculation of student growth percentiles from PARCC consortium assessment data using the </w:t>
      </w:r>
      <w:hyperlink r:id="rId9" w:history="1">
        <w:r>
          <w:rPr>
            <w:rFonts w:ascii="Lucida Console" w:hAnsi="Lucida Console" w:cs="Lucida Console"/>
            <w:color w:val="0000E9"/>
            <w:sz w:val="29"/>
            <w:szCs w:val="29"/>
            <w:u w:val="single" w:color="0000E9"/>
          </w:rPr>
          <w:t>R</w:t>
        </w:r>
        <w:r>
          <w:rPr>
            <w:rFonts w:ascii="Calibri" w:hAnsi="Calibri" w:cs="Calibri"/>
            <w:color w:val="0000E9"/>
            <w:sz w:val="29"/>
            <w:szCs w:val="29"/>
            <w:u w:val="single" w:color="0000E9"/>
          </w:rPr>
          <w:t xml:space="preserve"> Software Environment</w:t>
        </w:r>
      </w:hyperlink>
      <w:r>
        <w:rPr>
          <w:rFonts w:ascii="Calibri" w:hAnsi="Calibri" w:cs="Calibri"/>
          <w:sz w:val="29"/>
          <w:szCs w:val="29"/>
          <w:u w:color="0000E9"/>
        </w:rPr>
        <w:t xml:space="preserve"> (R Development Core Team, 2015) in conjunction with the </w:t>
      </w:r>
      <w:hyperlink r:id="rId10" w:history="1">
        <w:r>
          <w:rPr>
            <w:rFonts w:ascii="Lucida Console" w:hAnsi="Lucida Console" w:cs="Lucida Console"/>
            <w:color w:val="6B006D"/>
            <w:sz w:val="29"/>
            <w:szCs w:val="29"/>
            <w:u w:val="single" w:color="6B006D"/>
          </w:rPr>
          <w:t>SGP</w:t>
        </w:r>
        <w:r>
          <w:rPr>
            <w:rFonts w:ascii="Calibri" w:hAnsi="Calibri" w:cs="Calibri"/>
            <w:color w:val="6B006D"/>
            <w:sz w:val="29"/>
            <w:szCs w:val="29"/>
            <w:u w:val="single" w:color="6B006D"/>
          </w:rPr>
          <w:t xml:space="preserve"> package</w:t>
        </w:r>
      </w:hyperlink>
      <w:r>
        <w:rPr>
          <w:rFonts w:ascii="Calibri" w:hAnsi="Calibri" w:cs="Calibri"/>
          <w:sz w:val="29"/>
          <w:szCs w:val="29"/>
          <w:u w:color="0000E9"/>
        </w:rPr>
        <w:t xml:space="preserve"> (Damian W. </w:t>
      </w: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VanIwaarden, </w:t>
      </w:r>
      <w:proofErr w:type="spellStart"/>
      <w:r>
        <w:rPr>
          <w:rFonts w:ascii="Calibri" w:hAnsi="Calibri" w:cs="Calibri"/>
          <w:sz w:val="29"/>
          <w:szCs w:val="29"/>
          <w:u w:color="0000E9"/>
        </w:rPr>
        <w:t>Domingue</w:t>
      </w:r>
      <w:proofErr w:type="spellEnd"/>
      <w:r>
        <w:rPr>
          <w:rFonts w:ascii="Calibri" w:hAnsi="Calibri" w:cs="Calibri"/>
          <w:sz w:val="29"/>
          <w:szCs w:val="29"/>
          <w:u w:color="0000E9"/>
        </w:rPr>
        <w:t>, &amp; Shang, 2016). More in depth treatment of the data analysis process with code examples has been provided to Pearson staff directly.</w:t>
      </w:r>
    </w:p>
    <w:p w14:paraId="64D8F344"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Broadly, the SGP analysis of the PARCC consortium longitudinal student assessment data takes place in two steps:</w:t>
      </w:r>
    </w:p>
    <w:p w14:paraId="71F970B6" w14:textId="77777777" w:rsidR="008A5243" w:rsidRDefault="008A5243" w:rsidP="008A5243">
      <w:pPr>
        <w:widowControl w:val="0"/>
        <w:numPr>
          <w:ilvl w:val="0"/>
          <w:numId w:val="2"/>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Data Preparation</w:t>
      </w:r>
    </w:p>
    <w:p w14:paraId="0965DD5F" w14:textId="77777777" w:rsidR="008A5243" w:rsidRDefault="008A5243" w:rsidP="008A5243">
      <w:pPr>
        <w:widowControl w:val="0"/>
        <w:numPr>
          <w:ilvl w:val="0"/>
          <w:numId w:val="2"/>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Data Analysis</w:t>
      </w:r>
    </w:p>
    <w:p w14:paraId="23EA44AE"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Those familiar with data analysis know that the bulk of the effort in the above </w:t>
      </w:r>
      <w:proofErr w:type="gramStart"/>
      <w:r>
        <w:rPr>
          <w:rFonts w:ascii="Calibri" w:hAnsi="Calibri" w:cs="Calibri"/>
          <w:sz w:val="29"/>
          <w:szCs w:val="29"/>
          <w:u w:color="0000E9"/>
        </w:rPr>
        <w:t>two step</w:t>
      </w:r>
      <w:proofErr w:type="gramEnd"/>
      <w:r>
        <w:rPr>
          <w:rFonts w:ascii="Calibri" w:hAnsi="Calibri" w:cs="Calibri"/>
          <w:sz w:val="29"/>
          <w:szCs w:val="29"/>
          <w:u w:color="0000E9"/>
        </w:rPr>
        <w:t xml:space="preserve"> process lies with Step 1: Data Preparation. Following thorough data cleaning and preparation, data analysis using the </w:t>
      </w:r>
      <w:r>
        <w:rPr>
          <w:rFonts w:ascii="Lucida Console" w:hAnsi="Lucida Console" w:cs="Lucida Console"/>
          <w:sz w:val="29"/>
          <w:szCs w:val="29"/>
          <w:u w:color="0000E9"/>
        </w:rPr>
        <w:t>SGP</w:t>
      </w:r>
      <w:r>
        <w:rPr>
          <w:rFonts w:ascii="Calibri" w:hAnsi="Calibri" w:cs="Calibri"/>
          <w:sz w:val="29"/>
          <w:szCs w:val="29"/>
          <w:u w:color="0000E9"/>
        </w:rPr>
        <w:t xml:space="preserve"> package takes clean data and makes it as easy as possible to calculate, output and </w:t>
      </w:r>
      <w:proofErr w:type="gramStart"/>
      <w:r>
        <w:rPr>
          <w:rFonts w:ascii="Calibri" w:hAnsi="Calibri" w:cs="Calibri"/>
          <w:sz w:val="29"/>
          <w:szCs w:val="29"/>
          <w:u w:color="0000E9"/>
        </w:rPr>
        <w:t>visualize</w:t>
      </w:r>
      <w:proofErr w:type="gramEnd"/>
      <w:r>
        <w:rPr>
          <w:rFonts w:ascii="Calibri" w:hAnsi="Calibri" w:cs="Calibri"/>
          <w:sz w:val="29"/>
          <w:szCs w:val="29"/>
          <w:u w:color="0000E9"/>
        </w:rPr>
        <w:t xml:space="preserve"> the results from SGP analyses.</w:t>
      </w:r>
    </w:p>
    <w:p w14:paraId="6D597F68"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3.1 Data Preparation</w:t>
      </w:r>
    </w:p>
    <w:p w14:paraId="1D799B77"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data preparation step involves taking PARCC consortium assessment data provided by the Pearson Education Corporation and producing a single file that will be subsequently analyzed in Step 2. This process is carried out annually as new data becomes available from the state assessment program.</w:t>
      </w:r>
    </w:p>
    <w:p w14:paraId="5D4DE03F"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data required for the Spring 2016 SGP Analyses were provided at two separate time points, and therefore the data preparation and cleaning was performed in two steps. Data from three previous testing periods were provided to the Center for Assessment in early June 2016, which were used as the prior test scores (i.e. independent variables) in the Spring 2016 Analyses. Data from the spring 2016 testing period (the dependent variable) was provided to the Center for Assessment in July 2016. In both deliveries the data were provided as individual comma separated values (.</w:t>
      </w:r>
      <w:proofErr w:type="spellStart"/>
      <w:r>
        <w:rPr>
          <w:rFonts w:ascii="Calibri" w:hAnsi="Calibri" w:cs="Calibri"/>
          <w:sz w:val="29"/>
          <w:szCs w:val="29"/>
          <w:u w:color="0000E9"/>
        </w:rPr>
        <w:t>csv</w:t>
      </w:r>
      <w:proofErr w:type="spellEnd"/>
      <w:r>
        <w:rPr>
          <w:rFonts w:ascii="Calibri" w:hAnsi="Calibri" w:cs="Calibri"/>
          <w:sz w:val="29"/>
          <w:szCs w:val="29"/>
          <w:u w:color="0000E9"/>
        </w:rPr>
        <w:t>) files for each state in the PARCC consortium.</w:t>
      </w:r>
    </w:p>
    <w:p w14:paraId="0FA0BDB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A custom function was used to read each state specific file into </w:t>
      </w:r>
      <w:r>
        <w:rPr>
          <w:rFonts w:ascii="Lucida Console" w:hAnsi="Lucida Console" w:cs="Lucida Console"/>
          <w:sz w:val="29"/>
          <w:szCs w:val="29"/>
          <w:u w:color="0000E9"/>
        </w:rPr>
        <w:t>R</w:t>
      </w:r>
      <w:r>
        <w:rPr>
          <w:rFonts w:ascii="Calibri" w:hAnsi="Calibri" w:cs="Calibri"/>
          <w:sz w:val="29"/>
          <w:szCs w:val="29"/>
          <w:u w:color="0000E9"/>
        </w:rPr>
        <w:t xml:space="preserve"> and simultaneously combine them into a single data table. The data was then cleaned up variable by variable to ensure that it conforms to data naming and variable format conventions used in the </w:t>
      </w:r>
      <w:r>
        <w:rPr>
          <w:rFonts w:ascii="Lucida Console" w:hAnsi="Lucida Console" w:cs="Lucida Console"/>
          <w:sz w:val="29"/>
          <w:szCs w:val="29"/>
          <w:u w:color="0000E9"/>
        </w:rPr>
        <w:t>SGP</w:t>
      </w:r>
      <w:r>
        <w:rPr>
          <w:rFonts w:ascii="Calibri" w:hAnsi="Calibri" w:cs="Calibri"/>
          <w:sz w:val="29"/>
          <w:szCs w:val="29"/>
          <w:u w:color="0000E9"/>
        </w:rPr>
        <w:t xml:space="preserve"> software package. The result is </w:t>
      </w:r>
      <w:proofErr w:type="gramStart"/>
      <w:r>
        <w:rPr>
          <w:rFonts w:ascii="Calibri" w:hAnsi="Calibri" w:cs="Calibri"/>
          <w:sz w:val="29"/>
          <w:szCs w:val="29"/>
          <w:u w:color="0000E9"/>
        </w:rPr>
        <w:t xml:space="preserve">a </w:t>
      </w:r>
      <w:r>
        <w:rPr>
          <w:rFonts w:ascii="Lucida Console" w:hAnsi="Lucida Console" w:cs="Lucida Console"/>
          <w:sz w:val="29"/>
          <w:szCs w:val="29"/>
          <w:u w:color="0000E9"/>
        </w:rPr>
        <w:t>.</w:t>
      </w:r>
      <w:proofErr w:type="spellStart"/>
      <w:r>
        <w:rPr>
          <w:rFonts w:ascii="Lucida Console" w:hAnsi="Lucida Console" w:cs="Lucida Console"/>
          <w:sz w:val="29"/>
          <w:szCs w:val="29"/>
          <w:u w:color="0000E9"/>
        </w:rPr>
        <w:t>Rdata</w:t>
      </w:r>
      <w:proofErr w:type="spellEnd"/>
      <w:proofErr w:type="gramEnd"/>
      <w:r>
        <w:rPr>
          <w:rFonts w:ascii="Calibri" w:hAnsi="Calibri" w:cs="Calibri"/>
          <w:sz w:val="29"/>
          <w:szCs w:val="29"/>
          <w:u w:color="0000E9"/>
        </w:rPr>
        <w:t xml:space="preserve"> file containing data in the format suitable for analysis with the </w:t>
      </w:r>
      <w:r>
        <w:rPr>
          <w:rFonts w:ascii="Lucida Console" w:hAnsi="Lucida Console" w:cs="Lucida Console"/>
          <w:sz w:val="29"/>
          <w:szCs w:val="29"/>
          <w:u w:color="0000E9"/>
        </w:rPr>
        <w:t>SGP</w:t>
      </w:r>
      <w:r>
        <w:rPr>
          <w:rFonts w:ascii="Calibri" w:hAnsi="Calibri" w:cs="Calibri"/>
          <w:sz w:val="29"/>
          <w:szCs w:val="29"/>
          <w:u w:color="0000E9"/>
        </w:rPr>
        <w:t xml:space="preserve"> package. With an appropriate longitudinal data set prepared, we continued on with the calculation of student-level SGPs.</w:t>
      </w:r>
    </w:p>
    <w:p w14:paraId="2499B286"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3.2 Data Analysis</w:t>
      </w:r>
    </w:p>
    <w:p w14:paraId="3762914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objective of the student growth percentile (SGP) analysis is to describe how (</w:t>
      </w:r>
      <w:proofErr w:type="gramStart"/>
      <w:r>
        <w:rPr>
          <w:rFonts w:ascii="Calibri" w:hAnsi="Calibri" w:cs="Calibri"/>
          <w:sz w:val="29"/>
          <w:szCs w:val="29"/>
          <w:u w:color="0000E9"/>
        </w:rPr>
        <w:t>a)typical</w:t>
      </w:r>
      <w:proofErr w:type="gramEnd"/>
      <w:r>
        <w:rPr>
          <w:rFonts w:ascii="Calibri" w:hAnsi="Calibri" w:cs="Calibri"/>
          <w:sz w:val="29"/>
          <w:szCs w:val="29"/>
          <w:u w:color="0000E9"/>
        </w:rPr>
        <w:t xml:space="preserve"> a student’s growth is by examining his/her current achievement relative to students with a similar achievement history; </w:t>
      </w:r>
      <w:proofErr w:type="spellStart"/>
      <w:r>
        <w:rPr>
          <w:rFonts w:ascii="Calibri" w:hAnsi="Calibri" w:cs="Calibri"/>
          <w:sz w:val="29"/>
          <w:szCs w:val="29"/>
          <w:u w:color="0000E9"/>
        </w:rPr>
        <w:t>i.e</w:t>
      </w:r>
      <w:proofErr w:type="spellEnd"/>
      <w:r>
        <w:rPr>
          <w:rFonts w:ascii="Calibri" w:hAnsi="Calibri" w:cs="Calibri"/>
          <w:sz w:val="29"/>
          <w:szCs w:val="29"/>
          <w:u w:color="0000E9"/>
        </w:rPr>
        <w:t xml:space="preserve"> his/her </w:t>
      </w:r>
      <w:r>
        <w:rPr>
          <w:rFonts w:ascii="Calibri" w:hAnsi="Calibri" w:cs="Calibri"/>
          <w:i/>
          <w:iCs/>
          <w:sz w:val="29"/>
          <w:szCs w:val="29"/>
          <w:u w:color="0000E9"/>
        </w:rPr>
        <w:t>academic peers</w:t>
      </w:r>
      <w:r>
        <w:rPr>
          <w:rFonts w:ascii="Calibri" w:hAnsi="Calibri" w:cs="Calibri"/>
          <w:sz w:val="29"/>
          <w:szCs w:val="29"/>
          <w:u w:color="0000E9"/>
        </w:rPr>
        <w:t xml:space="preserve"> (see </w:t>
      </w:r>
      <w:hyperlink r:id="rId11" w:history="1">
        <w:r>
          <w:rPr>
            <w:rFonts w:ascii="Calibri" w:hAnsi="Calibri" w:cs="Calibri"/>
            <w:color w:val="0000E9"/>
            <w:sz w:val="29"/>
            <w:szCs w:val="29"/>
            <w:u w:val="single" w:color="0000E9"/>
          </w:rPr>
          <w:t>this presentation</w:t>
        </w:r>
      </w:hyperlink>
      <w:r>
        <w:rPr>
          <w:rFonts w:ascii="Calibri" w:hAnsi="Calibri" w:cs="Calibri"/>
          <w:sz w:val="29"/>
          <w:szCs w:val="29"/>
          <w:u w:color="0000E9"/>
        </w:rPr>
        <w:t xml:space="preserve"> for a detailed description of this concept). This norm-referenced growth quantity is estimated using </w:t>
      </w:r>
      <w:proofErr w:type="spellStart"/>
      <w:r>
        <w:rPr>
          <w:rFonts w:ascii="Calibri" w:hAnsi="Calibri" w:cs="Calibri"/>
          <w:sz w:val="29"/>
          <w:szCs w:val="29"/>
          <w:u w:color="0000E9"/>
        </w:rPr>
        <w:t>quantile</w:t>
      </w:r>
      <w:proofErr w:type="spellEnd"/>
      <w:r>
        <w:rPr>
          <w:rFonts w:ascii="Calibri" w:hAnsi="Calibri" w:cs="Calibri"/>
          <w:sz w:val="29"/>
          <w:szCs w:val="29"/>
          <w:u w:color="0000E9"/>
        </w:rPr>
        <w:t xml:space="preserve"> regression (</w:t>
      </w:r>
      <w:proofErr w:type="spellStart"/>
      <w:r>
        <w:rPr>
          <w:rFonts w:ascii="Calibri" w:hAnsi="Calibri" w:cs="Calibri"/>
          <w:sz w:val="29"/>
          <w:szCs w:val="29"/>
          <w:u w:color="0000E9"/>
        </w:rPr>
        <w:t>Koenker</w:t>
      </w:r>
      <w:proofErr w:type="spellEnd"/>
      <w:r>
        <w:rPr>
          <w:rFonts w:ascii="Calibri" w:hAnsi="Calibri" w:cs="Calibri"/>
          <w:sz w:val="29"/>
          <w:szCs w:val="29"/>
          <w:u w:color="0000E9"/>
        </w:rPr>
        <w:t xml:space="preserve">, 2005) to model curvilinear functional relationships between student’s prior and current scores. One hundred such regression models are calculated for each separate analysis (defined as a unique </w:t>
      </w:r>
      <w:r>
        <w:rPr>
          <w:rFonts w:ascii="Calibri" w:hAnsi="Calibri" w:cs="Calibri"/>
          <w:b/>
          <w:bCs/>
          <w:i/>
          <w:iCs/>
          <w:sz w:val="29"/>
          <w:szCs w:val="29"/>
          <w:u w:color="0000E9"/>
        </w:rPr>
        <w:t>year</w:t>
      </w:r>
      <w:r>
        <w:rPr>
          <w:rFonts w:ascii="Calibri" w:hAnsi="Calibri" w:cs="Calibri"/>
          <w:i/>
          <w:iCs/>
          <w:sz w:val="29"/>
          <w:szCs w:val="29"/>
          <w:u w:color="0000E9"/>
        </w:rPr>
        <w:t xml:space="preserve"> by </w:t>
      </w:r>
      <w:r>
        <w:rPr>
          <w:rFonts w:ascii="Calibri" w:hAnsi="Calibri" w:cs="Calibri"/>
          <w:b/>
          <w:bCs/>
          <w:i/>
          <w:iCs/>
          <w:sz w:val="29"/>
          <w:szCs w:val="29"/>
          <w:u w:color="0000E9"/>
        </w:rPr>
        <w:t>content area</w:t>
      </w:r>
      <w:r>
        <w:rPr>
          <w:rFonts w:ascii="Calibri" w:hAnsi="Calibri" w:cs="Calibri"/>
          <w:i/>
          <w:iCs/>
          <w:sz w:val="29"/>
          <w:szCs w:val="29"/>
          <w:u w:color="0000E9"/>
        </w:rPr>
        <w:t xml:space="preserve"> by </w:t>
      </w:r>
      <w:r>
        <w:rPr>
          <w:rFonts w:ascii="Calibri" w:hAnsi="Calibri" w:cs="Calibri"/>
          <w:b/>
          <w:bCs/>
          <w:i/>
          <w:iCs/>
          <w:sz w:val="29"/>
          <w:szCs w:val="29"/>
          <w:u w:color="0000E9"/>
        </w:rPr>
        <w:t>grade</w:t>
      </w:r>
      <w:r>
        <w:rPr>
          <w:rFonts w:ascii="Calibri" w:hAnsi="Calibri" w:cs="Calibri"/>
          <w:i/>
          <w:iCs/>
          <w:sz w:val="29"/>
          <w:szCs w:val="29"/>
          <w:u w:color="0000E9"/>
        </w:rPr>
        <w:t xml:space="preserve"> by </w:t>
      </w:r>
      <w:r>
        <w:rPr>
          <w:rFonts w:ascii="Calibri" w:hAnsi="Calibri" w:cs="Calibri"/>
          <w:b/>
          <w:bCs/>
          <w:i/>
          <w:iCs/>
          <w:sz w:val="29"/>
          <w:szCs w:val="29"/>
          <w:u w:color="0000E9"/>
        </w:rPr>
        <w:t>prior order</w:t>
      </w:r>
      <w:r>
        <w:rPr>
          <w:rFonts w:ascii="Calibri" w:hAnsi="Calibri" w:cs="Calibri"/>
          <w:sz w:val="29"/>
          <w:szCs w:val="29"/>
          <w:u w:color="0000E9"/>
        </w:rPr>
        <w:t xml:space="preserve"> combination). The end product of these 100 separate regression models is a single coefficient matrix, which serves as a look-up table to relate prior student achievement to current achievement for each percentile. This process ultimately leads to tens of thousands of model calculations during each of the PARCC consortium’s seasonal batch of analyses (and many more when simulation-extrapolation, or SIMEX, methods of measurement error corrections are performed). For a more in-depth discussion of SGP calculation, see </w:t>
      </w: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(2009) and Appendix B of this report, and see Shang, VanIwaarden and </w:t>
      </w: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(2015) for further information on the SIMEX measurement error correction methodology.</w:t>
      </w:r>
    </w:p>
    <w:p w14:paraId="5B6B2488"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Spring 2016 PARCC SGP analyses follow a </w:t>
      </w:r>
      <w:proofErr w:type="gramStart"/>
      <w:r>
        <w:rPr>
          <w:rFonts w:ascii="Calibri" w:hAnsi="Calibri" w:cs="Calibri"/>
          <w:sz w:val="29"/>
          <w:szCs w:val="29"/>
          <w:u w:color="0000E9"/>
        </w:rPr>
        <w:t>work flow</w:t>
      </w:r>
      <w:proofErr w:type="gramEnd"/>
      <w:r>
        <w:rPr>
          <w:rFonts w:ascii="Calibri" w:hAnsi="Calibri" w:cs="Calibri"/>
          <w:sz w:val="29"/>
          <w:szCs w:val="29"/>
          <w:u w:color="0000E9"/>
        </w:rPr>
        <w:t xml:space="preserve"> that includes the following four steps:</w:t>
      </w:r>
    </w:p>
    <w:p w14:paraId="38655EE8" w14:textId="77777777" w:rsidR="008A5243" w:rsidRDefault="008A5243" w:rsidP="008A5243">
      <w:pPr>
        <w:widowControl w:val="0"/>
        <w:numPr>
          <w:ilvl w:val="0"/>
          <w:numId w:val="3"/>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 xml:space="preserve">Update the PARCC assessment meta-data required for SGP calculations using the </w:t>
      </w:r>
      <w:r>
        <w:rPr>
          <w:rFonts w:ascii="Lucida Console" w:hAnsi="Lucida Console" w:cs="Lucida Console"/>
          <w:sz w:val="29"/>
          <w:szCs w:val="29"/>
          <w:u w:color="0000E9"/>
        </w:rPr>
        <w:t>SGP</w:t>
      </w:r>
      <w:r>
        <w:rPr>
          <w:rFonts w:ascii="Calibri" w:hAnsi="Calibri" w:cs="Calibri"/>
          <w:sz w:val="29"/>
          <w:szCs w:val="29"/>
          <w:u w:color="0000E9"/>
        </w:rPr>
        <w:t xml:space="preserve"> package.</w:t>
      </w:r>
    </w:p>
    <w:p w14:paraId="23F6BA88" w14:textId="77777777" w:rsidR="008A5243" w:rsidRDefault="008A5243" w:rsidP="008A5243">
      <w:pPr>
        <w:widowControl w:val="0"/>
        <w:numPr>
          <w:ilvl w:val="0"/>
          <w:numId w:val="3"/>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Create SGP configurations for analyses.</w:t>
      </w:r>
    </w:p>
    <w:p w14:paraId="4B5EBB7D" w14:textId="77777777" w:rsidR="008A5243" w:rsidRDefault="008A5243" w:rsidP="008A5243">
      <w:pPr>
        <w:widowControl w:val="0"/>
        <w:numPr>
          <w:ilvl w:val="0"/>
          <w:numId w:val="3"/>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Conduct all grade level and EOCT SGP analyses.</w:t>
      </w:r>
    </w:p>
    <w:p w14:paraId="0C4B7A36" w14:textId="77777777" w:rsidR="008A5243" w:rsidRDefault="008A5243" w:rsidP="008A5243">
      <w:pPr>
        <w:widowControl w:val="0"/>
        <w:numPr>
          <w:ilvl w:val="0"/>
          <w:numId w:val="3"/>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Combine results into the master longitudinal data set and output data in the format requested by Pearson.</w:t>
      </w:r>
    </w:p>
    <w:p w14:paraId="469C2E40"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3.2.1 Update PARCC meta-data</w:t>
      </w:r>
    </w:p>
    <w:p w14:paraId="70A735C6"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use of higher-level functions included in the </w:t>
      </w:r>
      <w:r>
        <w:rPr>
          <w:rFonts w:ascii="Lucida Console" w:hAnsi="Lucida Console" w:cs="Lucida Console"/>
          <w:sz w:val="29"/>
          <w:szCs w:val="29"/>
          <w:u w:color="0000E9"/>
        </w:rPr>
        <w:t>SGP</w:t>
      </w:r>
      <w:r>
        <w:rPr>
          <w:rFonts w:ascii="Calibri" w:hAnsi="Calibri" w:cs="Calibri"/>
          <w:sz w:val="29"/>
          <w:szCs w:val="29"/>
          <w:u w:color="0000E9"/>
        </w:rPr>
        <w:t xml:space="preserve"> package (e.g. </w:t>
      </w:r>
      <w:proofErr w:type="spellStart"/>
      <w:r>
        <w:rPr>
          <w:rFonts w:ascii="Lucida Console" w:hAnsi="Lucida Console" w:cs="Lucida Console"/>
          <w:sz w:val="29"/>
          <w:szCs w:val="29"/>
          <w:u w:color="0000E9"/>
        </w:rPr>
        <w:t>analyzeSGP</w:t>
      </w:r>
      <w:proofErr w:type="spellEnd"/>
      <w:r>
        <w:rPr>
          <w:rFonts w:ascii="Calibri" w:hAnsi="Calibri" w:cs="Calibri"/>
          <w:sz w:val="29"/>
          <w:szCs w:val="29"/>
          <w:u w:color="0000E9"/>
        </w:rPr>
        <w:t xml:space="preserve">) requires the availability of state specific assessment information. The meta-data for all States and other education agencies is compiled in </w:t>
      </w:r>
      <w:proofErr w:type="gramStart"/>
      <w:r>
        <w:rPr>
          <w:rFonts w:ascii="Calibri" w:hAnsi="Calibri" w:cs="Calibri"/>
          <w:sz w:val="29"/>
          <w:szCs w:val="29"/>
          <w:u w:color="0000E9"/>
        </w:rPr>
        <w:t>a</w:t>
      </w:r>
      <w:proofErr w:type="gramEnd"/>
      <w:r>
        <w:rPr>
          <w:rFonts w:ascii="Calibri" w:hAnsi="Calibri" w:cs="Calibri"/>
          <w:sz w:val="29"/>
          <w:szCs w:val="29"/>
          <w:u w:color="0000E9"/>
        </w:rPr>
        <w:t xml:space="preserve"> </w:t>
      </w:r>
      <w:r>
        <w:rPr>
          <w:rFonts w:ascii="Lucida Console" w:hAnsi="Lucida Console" w:cs="Lucida Console"/>
          <w:sz w:val="29"/>
          <w:szCs w:val="29"/>
          <w:u w:color="0000E9"/>
        </w:rPr>
        <w:t>R</w:t>
      </w:r>
      <w:r>
        <w:rPr>
          <w:rFonts w:ascii="Calibri" w:hAnsi="Calibri" w:cs="Calibri"/>
          <w:sz w:val="29"/>
          <w:szCs w:val="29"/>
          <w:u w:color="0000E9"/>
        </w:rPr>
        <w:t xml:space="preserve"> data file named </w:t>
      </w:r>
      <w:proofErr w:type="spellStart"/>
      <w:r>
        <w:rPr>
          <w:rFonts w:ascii="Lucida Console" w:hAnsi="Lucida Console" w:cs="Lucida Console"/>
          <w:sz w:val="29"/>
          <w:szCs w:val="29"/>
          <w:u w:color="0000E9"/>
        </w:rPr>
        <w:t>SGPstateData</w:t>
      </w:r>
      <w:proofErr w:type="spellEnd"/>
      <w:r>
        <w:rPr>
          <w:rFonts w:ascii="Calibri" w:hAnsi="Calibri" w:cs="Calibri"/>
          <w:sz w:val="29"/>
          <w:szCs w:val="29"/>
          <w:u w:color="0000E9"/>
        </w:rPr>
        <w:t xml:space="preserve"> that is housed in the package. The initial PARCC meta-data entry included </w:t>
      </w:r>
      <w:r>
        <w:rPr>
          <w:rFonts w:ascii="Calibri" w:hAnsi="Calibri" w:cs="Calibri"/>
          <w:i/>
          <w:iCs/>
          <w:sz w:val="29"/>
          <w:szCs w:val="29"/>
          <w:u w:color="0000E9"/>
        </w:rPr>
        <w:t>a)</w:t>
      </w:r>
      <w:r>
        <w:rPr>
          <w:rFonts w:ascii="Calibri" w:hAnsi="Calibri" w:cs="Calibri"/>
          <w:sz w:val="29"/>
          <w:szCs w:val="29"/>
          <w:u w:color="0000E9"/>
        </w:rPr>
        <w:t xml:space="preserve"> the knots and boundary values for each assessment score distribution, </w:t>
      </w:r>
      <w:r>
        <w:rPr>
          <w:rFonts w:ascii="Calibri" w:hAnsi="Calibri" w:cs="Calibri"/>
          <w:i/>
          <w:iCs/>
          <w:sz w:val="29"/>
          <w:szCs w:val="29"/>
          <w:u w:color="0000E9"/>
        </w:rPr>
        <w:t>b)</w:t>
      </w:r>
      <w:r>
        <w:rPr>
          <w:rFonts w:ascii="Calibri" w:hAnsi="Calibri" w:cs="Calibri"/>
          <w:sz w:val="29"/>
          <w:szCs w:val="29"/>
          <w:u w:color="0000E9"/>
        </w:rPr>
        <w:t xml:space="preserve"> the proficiency level </w:t>
      </w:r>
      <w:proofErr w:type="spellStart"/>
      <w:r>
        <w:rPr>
          <w:rFonts w:ascii="Calibri" w:hAnsi="Calibri" w:cs="Calibri"/>
          <w:sz w:val="29"/>
          <w:szCs w:val="29"/>
          <w:u w:color="0000E9"/>
        </w:rPr>
        <w:t>cutscores</w:t>
      </w:r>
      <w:proofErr w:type="spellEnd"/>
      <w:r>
        <w:rPr>
          <w:rFonts w:ascii="Calibri" w:hAnsi="Calibri" w:cs="Calibri"/>
          <w:sz w:val="29"/>
          <w:szCs w:val="29"/>
          <w:u w:color="0000E9"/>
        </w:rPr>
        <w:t xml:space="preserve"> designated by Pearson and the PARCC consortium members, and </w:t>
      </w:r>
      <w:r>
        <w:rPr>
          <w:rFonts w:ascii="Calibri" w:hAnsi="Calibri" w:cs="Calibri"/>
          <w:i/>
          <w:iCs/>
          <w:sz w:val="29"/>
          <w:szCs w:val="29"/>
          <w:u w:color="0000E9"/>
        </w:rPr>
        <w:t>c)</w:t>
      </w:r>
      <w:r>
        <w:rPr>
          <w:rFonts w:ascii="Calibri" w:hAnsi="Calibri" w:cs="Calibri"/>
          <w:sz w:val="29"/>
          <w:szCs w:val="29"/>
          <w:u w:color="0000E9"/>
        </w:rPr>
        <w:t xml:space="preserve"> a table that identifies an ordered preference for norm groups from which SGPs might be produced. Other SGP configuration metadata was ultimately included in the PARCC </w:t>
      </w:r>
      <w:proofErr w:type="spellStart"/>
      <w:r>
        <w:rPr>
          <w:rFonts w:ascii="Lucida Console" w:hAnsi="Lucida Console" w:cs="Lucida Console"/>
          <w:sz w:val="29"/>
          <w:szCs w:val="29"/>
          <w:u w:color="0000E9"/>
        </w:rPr>
        <w:t>SGPstateData</w:t>
      </w:r>
      <w:proofErr w:type="spellEnd"/>
      <w:r>
        <w:rPr>
          <w:rFonts w:ascii="Calibri" w:hAnsi="Calibri" w:cs="Calibri"/>
          <w:sz w:val="29"/>
          <w:szCs w:val="29"/>
          <w:u w:color="0000E9"/>
        </w:rPr>
        <w:t xml:space="preserve"> entry, which can be viewed </w:t>
      </w:r>
      <w:hyperlink r:id="rId12" w:history="1">
        <w:r>
          <w:rPr>
            <w:rFonts w:ascii="Calibri" w:hAnsi="Calibri" w:cs="Calibri"/>
            <w:color w:val="6B006D"/>
            <w:sz w:val="29"/>
            <w:szCs w:val="29"/>
            <w:u w:val="single" w:color="6B006D"/>
          </w:rPr>
          <w:t xml:space="preserve">here on </w:t>
        </w:r>
        <w:proofErr w:type="spellStart"/>
        <w:r>
          <w:rPr>
            <w:rFonts w:ascii="Calibri" w:hAnsi="Calibri" w:cs="Calibri"/>
            <w:color w:val="6B006D"/>
            <w:sz w:val="29"/>
            <w:szCs w:val="29"/>
            <w:u w:val="single" w:color="6B006D"/>
          </w:rPr>
          <w:t>Github</w:t>
        </w:r>
        <w:proofErr w:type="spellEnd"/>
      </w:hyperlink>
      <w:r>
        <w:rPr>
          <w:rFonts w:ascii="Calibri" w:hAnsi="Calibri" w:cs="Calibri"/>
          <w:sz w:val="29"/>
          <w:szCs w:val="29"/>
          <w:u w:color="0000E9"/>
        </w:rPr>
        <w:t>.</w:t>
      </w:r>
    </w:p>
    <w:p w14:paraId="59C6D5AE" w14:textId="77777777" w:rsidR="008A5243" w:rsidRDefault="008A5243" w:rsidP="008A5243">
      <w:pPr>
        <w:widowControl w:val="0"/>
        <w:autoSpaceDE w:val="0"/>
        <w:autoSpaceDN w:val="0"/>
        <w:adjustRightInd w:val="0"/>
        <w:rPr>
          <w:rFonts w:ascii="Calibri" w:hAnsi="Calibri" w:cs="Calibri"/>
          <w:b/>
          <w:bCs/>
          <w:color w:val="3F6CAF"/>
          <w:u w:color="0000E9"/>
        </w:rPr>
      </w:pPr>
      <w:r>
        <w:rPr>
          <w:rFonts w:ascii="Calibri" w:hAnsi="Calibri" w:cs="Calibri"/>
          <w:b/>
          <w:bCs/>
          <w:color w:val="3F6CAF"/>
          <w:u w:color="0000E9"/>
        </w:rPr>
        <w:t>Knots and boundaries</w:t>
      </w:r>
    </w:p>
    <w:p w14:paraId="3C004BA7"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Cubic B-spline basis functions are used in the calculation of SGPs to more adequately model the </w:t>
      </w:r>
      <w:proofErr w:type="spellStart"/>
      <w:r>
        <w:rPr>
          <w:rFonts w:ascii="Calibri" w:hAnsi="Calibri" w:cs="Calibri"/>
          <w:sz w:val="29"/>
          <w:szCs w:val="29"/>
          <w:u w:color="0000E9"/>
        </w:rPr>
        <w:t>heteroscedasticity</w:t>
      </w:r>
      <w:proofErr w:type="spellEnd"/>
      <w:r>
        <w:rPr>
          <w:rFonts w:ascii="Calibri" w:hAnsi="Calibri" w:cs="Calibri"/>
          <w:sz w:val="29"/>
          <w:szCs w:val="29"/>
          <w:u w:color="0000E9"/>
        </w:rPr>
        <w:t xml:space="preserve"> and non-linearity found in assessment data. These functions require the selection of boundary and interior knots. Boundary knots (i.e. “boundaries”) are end-points outside of the test score distribution that anchor the B-spline basis. These are typically selected by extending the entire range of test scores by 10%. That is, they are defined as lying 10% below the lowest obtainable/observed scale score (LOSS) and 10% above the highest obtainable/observed scale score (HOSS). The interior knots (i.e. “knots”) are the </w:t>
      </w:r>
      <w:r>
        <w:rPr>
          <w:rFonts w:ascii="Calibri" w:hAnsi="Calibri" w:cs="Calibri"/>
          <w:i/>
          <w:iCs/>
          <w:sz w:val="29"/>
          <w:szCs w:val="29"/>
          <w:u w:color="0000E9"/>
        </w:rPr>
        <w:t>internal</w:t>
      </w:r>
      <w:r>
        <w:rPr>
          <w:rFonts w:ascii="Calibri" w:hAnsi="Calibri" w:cs="Calibri"/>
          <w:sz w:val="29"/>
          <w:szCs w:val="29"/>
          <w:u w:color="0000E9"/>
        </w:rPr>
        <w:t xml:space="preserve"> breakpoints that define the spline. The default choice in the </w:t>
      </w:r>
      <w:r>
        <w:rPr>
          <w:rFonts w:ascii="Lucida Console" w:hAnsi="Lucida Console" w:cs="Lucida Console"/>
          <w:sz w:val="29"/>
          <w:szCs w:val="29"/>
          <w:u w:color="0000E9"/>
        </w:rPr>
        <w:t>SGP</w:t>
      </w:r>
      <w:r>
        <w:rPr>
          <w:rFonts w:ascii="Calibri" w:hAnsi="Calibri" w:cs="Calibri"/>
          <w:sz w:val="29"/>
          <w:szCs w:val="29"/>
          <w:u w:color="0000E9"/>
        </w:rPr>
        <w:t xml:space="preserve"> package is to select the 20</w:t>
      </w:r>
      <w:r>
        <w:rPr>
          <w:rFonts w:ascii="Calibri" w:hAnsi="Calibri" w:cs="Calibri"/>
          <w:u w:color="0000E9"/>
          <w:vertAlign w:val="superscript"/>
        </w:rPr>
        <w:t>th</w:t>
      </w:r>
      <w:r>
        <w:rPr>
          <w:rFonts w:ascii="Calibri" w:hAnsi="Calibri" w:cs="Calibri"/>
          <w:sz w:val="29"/>
          <w:szCs w:val="29"/>
          <w:u w:color="0000E9"/>
        </w:rPr>
        <w:t>, 40</w:t>
      </w:r>
      <w:r>
        <w:rPr>
          <w:rFonts w:ascii="Calibri" w:hAnsi="Calibri" w:cs="Calibri"/>
          <w:u w:color="0000E9"/>
          <w:vertAlign w:val="superscript"/>
        </w:rPr>
        <w:t>th</w:t>
      </w:r>
      <w:r>
        <w:rPr>
          <w:rFonts w:ascii="Calibri" w:hAnsi="Calibri" w:cs="Calibri"/>
          <w:sz w:val="29"/>
          <w:szCs w:val="29"/>
          <w:u w:color="0000E9"/>
        </w:rPr>
        <w:t>, 60</w:t>
      </w:r>
      <w:r>
        <w:rPr>
          <w:rFonts w:ascii="Calibri" w:hAnsi="Calibri" w:cs="Calibri"/>
          <w:u w:color="0000E9"/>
          <w:vertAlign w:val="superscript"/>
        </w:rPr>
        <w:t>th</w:t>
      </w:r>
      <w:r>
        <w:rPr>
          <w:rFonts w:ascii="Calibri" w:hAnsi="Calibri" w:cs="Calibri"/>
          <w:sz w:val="29"/>
          <w:szCs w:val="29"/>
          <w:u w:color="0000E9"/>
        </w:rPr>
        <w:t xml:space="preserve"> and 80</w:t>
      </w:r>
      <w:r>
        <w:rPr>
          <w:rFonts w:ascii="Calibri" w:hAnsi="Calibri" w:cs="Calibri"/>
          <w:u w:color="0000E9"/>
          <w:vertAlign w:val="superscript"/>
        </w:rPr>
        <w:t>th</w:t>
      </w:r>
      <w:r>
        <w:rPr>
          <w:rFonts w:ascii="Calibri" w:hAnsi="Calibri" w:cs="Calibri"/>
          <w:sz w:val="29"/>
          <w:szCs w:val="29"/>
          <w:u w:color="0000E9"/>
        </w:rPr>
        <w:t xml:space="preserve"> </w:t>
      </w:r>
      <w:proofErr w:type="spellStart"/>
      <w:r>
        <w:rPr>
          <w:rFonts w:ascii="Calibri" w:hAnsi="Calibri" w:cs="Calibri"/>
          <w:sz w:val="29"/>
          <w:szCs w:val="29"/>
          <w:u w:color="0000E9"/>
        </w:rPr>
        <w:t>quantiles</w:t>
      </w:r>
      <w:proofErr w:type="spellEnd"/>
      <w:r>
        <w:rPr>
          <w:rFonts w:ascii="Calibri" w:hAnsi="Calibri" w:cs="Calibri"/>
          <w:sz w:val="29"/>
          <w:szCs w:val="29"/>
          <w:u w:color="0000E9"/>
        </w:rPr>
        <w:t xml:space="preserve"> of the observed scale score distribution.</w:t>
      </w:r>
    </w:p>
    <w:p w14:paraId="72631E88"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In general the knots and boundaries are computed from a distribution comprised of several years of test data (i.e. multiple cohorts combined into a single distribution) so that any irregularities in a single year are smoothed out. This is important because subsequent annual analyses use these same knots and boundaries as well. All defaults were used to compile the knots and boundaries for PARCC using the two available years of test data.</w:t>
      </w:r>
    </w:p>
    <w:p w14:paraId="5F973194" w14:textId="77777777" w:rsidR="008A5243" w:rsidRDefault="008A5243" w:rsidP="008A5243">
      <w:pPr>
        <w:widowControl w:val="0"/>
        <w:autoSpaceDE w:val="0"/>
        <w:autoSpaceDN w:val="0"/>
        <w:adjustRightInd w:val="0"/>
        <w:rPr>
          <w:rFonts w:ascii="Calibri" w:hAnsi="Calibri" w:cs="Calibri"/>
          <w:b/>
          <w:bCs/>
          <w:color w:val="3F6CAF"/>
          <w:u w:color="0000E9"/>
        </w:rPr>
      </w:pPr>
      <w:r>
        <w:rPr>
          <w:rFonts w:ascii="Calibri" w:hAnsi="Calibri" w:cs="Calibri"/>
          <w:b/>
          <w:bCs/>
          <w:color w:val="3F6CAF"/>
          <w:u w:color="0000E9"/>
        </w:rPr>
        <w:t xml:space="preserve">Proficiency level </w:t>
      </w:r>
      <w:proofErr w:type="spellStart"/>
      <w:r>
        <w:rPr>
          <w:rFonts w:ascii="Calibri" w:hAnsi="Calibri" w:cs="Calibri"/>
          <w:b/>
          <w:bCs/>
          <w:color w:val="3F6CAF"/>
          <w:u w:color="0000E9"/>
        </w:rPr>
        <w:t>cutscores</w:t>
      </w:r>
      <w:proofErr w:type="spellEnd"/>
    </w:p>
    <w:p w14:paraId="4655E371" w14:textId="77777777" w:rsidR="008A5243" w:rsidRDefault="008A5243" w:rsidP="008A5243">
      <w:pPr>
        <w:widowControl w:val="0"/>
        <w:autoSpaceDE w:val="0"/>
        <w:autoSpaceDN w:val="0"/>
        <w:adjustRightInd w:val="0"/>
        <w:rPr>
          <w:rFonts w:ascii="Calibri" w:hAnsi="Calibri" w:cs="Calibri"/>
          <w:sz w:val="29"/>
          <w:szCs w:val="29"/>
          <w:u w:color="0000E9"/>
        </w:rPr>
      </w:pPr>
      <w:proofErr w:type="spellStart"/>
      <w:r>
        <w:rPr>
          <w:rFonts w:ascii="Calibri" w:hAnsi="Calibri" w:cs="Calibri"/>
          <w:sz w:val="29"/>
          <w:szCs w:val="29"/>
          <w:u w:color="0000E9"/>
        </w:rPr>
        <w:t>Cutscores</w:t>
      </w:r>
      <w:proofErr w:type="spellEnd"/>
      <w:r>
        <w:rPr>
          <w:rFonts w:ascii="Calibri" w:hAnsi="Calibri" w:cs="Calibri"/>
          <w:sz w:val="29"/>
          <w:szCs w:val="29"/>
          <w:u w:color="0000E9"/>
        </w:rPr>
        <w:t xml:space="preserve">, which are set externally by the PARCC consortium through standard-setting processes, are mainly required for student growth projections. </w:t>
      </w:r>
      <w:proofErr w:type="spellStart"/>
      <w:r>
        <w:rPr>
          <w:rFonts w:ascii="Calibri" w:hAnsi="Calibri" w:cs="Calibri"/>
          <w:sz w:val="29"/>
          <w:szCs w:val="29"/>
          <w:u w:color="0000E9"/>
        </w:rPr>
        <w:t>Cutscores</w:t>
      </w:r>
      <w:proofErr w:type="spellEnd"/>
      <w:r>
        <w:rPr>
          <w:rFonts w:ascii="Calibri" w:hAnsi="Calibri" w:cs="Calibri"/>
          <w:sz w:val="29"/>
          <w:szCs w:val="29"/>
          <w:u w:color="0000E9"/>
        </w:rPr>
        <w:t xml:space="preserve"> for all content areas and grade levels were added. Additionally, </w:t>
      </w:r>
      <w:proofErr w:type="spellStart"/>
      <w:r>
        <w:rPr>
          <w:rFonts w:ascii="Calibri" w:hAnsi="Calibri" w:cs="Calibri"/>
          <w:sz w:val="29"/>
          <w:szCs w:val="29"/>
          <w:u w:color="0000E9"/>
        </w:rPr>
        <w:t>cutscores</w:t>
      </w:r>
      <w:proofErr w:type="spellEnd"/>
      <w:r>
        <w:rPr>
          <w:rFonts w:ascii="Calibri" w:hAnsi="Calibri" w:cs="Calibri"/>
          <w:sz w:val="29"/>
          <w:szCs w:val="29"/>
          <w:u w:color="0000E9"/>
        </w:rPr>
        <w:t xml:space="preserve"> corresponding to both the scaled scores and the base scores (Item Response Theory “theta” values) are included in the PARCC meta-data entry.</w:t>
      </w:r>
    </w:p>
    <w:p w14:paraId="6803365F" w14:textId="77777777" w:rsidR="008A5243" w:rsidRDefault="008A5243" w:rsidP="008A5243">
      <w:pPr>
        <w:widowControl w:val="0"/>
        <w:autoSpaceDE w:val="0"/>
        <w:autoSpaceDN w:val="0"/>
        <w:adjustRightInd w:val="0"/>
        <w:rPr>
          <w:rFonts w:ascii="Calibri" w:hAnsi="Calibri" w:cs="Calibri"/>
          <w:b/>
          <w:bCs/>
          <w:color w:val="3F6CAF"/>
          <w:u w:color="0000E9"/>
        </w:rPr>
      </w:pPr>
      <w:r>
        <w:rPr>
          <w:rFonts w:ascii="Calibri" w:hAnsi="Calibri" w:cs="Calibri"/>
          <w:b/>
          <w:bCs/>
          <w:color w:val="3F6CAF"/>
          <w:u w:color="0000E9"/>
        </w:rPr>
        <w:t>Norm group preferences</w:t>
      </w:r>
    </w:p>
    <w:p w14:paraId="5E49CFEC"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process through which some SGP analyses are run can produce multiple SGPs for some students (particularly in EOCT math where students may have multiple prior math test scores). In order to identify which quantity will be used as the students’ “official” SGP and subsequently merged into the master longitudinal data set, a system of norm group </w:t>
      </w:r>
      <w:proofErr w:type="spellStart"/>
      <w:r>
        <w:rPr>
          <w:rFonts w:ascii="Calibri" w:hAnsi="Calibri" w:cs="Calibri"/>
          <w:sz w:val="29"/>
          <w:szCs w:val="29"/>
          <w:u w:color="0000E9"/>
        </w:rPr>
        <w:t>preferencing</w:t>
      </w:r>
      <w:proofErr w:type="spellEnd"/>
      <w:r>
        <w:rPr>
          <w:rFonts w:ascii="Calibri" w:hAnsi="Calibri" w:cs="Calibri"/>
          <w:sz w:val="29"/>
          <w:szCs w:val="29"/>
          <w:u w:color="0000E9"/>
        </w:rPr>
        <w:t xml:space="preserve"> is established and is encoded into a lookup table included in the </w:t>
      </w:r>
      <w:proofErr w:type="spellStart"/>
      <w:r>
        <w:rPr>
          <w:rFonts w:ascii="Lucida Console" w:hAnsi="Lucida Console" w:cs="Lucida Console"/>
          <w:sz w:val="29"/>
          <w:szCs w:val="29"/>
          <w:u w:color="0000E9"/>
        </w:rPr>
        <w:t>SGPstateData</w:t>
      </w:r>
      <w:proofErr w:type="spellEnd"/>
      <w:r>
        <w:rPr>
          <w:rFonts w:ascii="Calibri" w:hAnsi="Calibri" w:cs="Calibri"/>
          <w:sz w:val="29"/>
          <w:szCs w:val="29"/>
          <w:u w:color="0000E9"/>
        </w:rPr>
        <w:t>. In general, preference is given to:</w:t>
      </w:r>
    </w:p>
    <w:p w14:paraId="50BA82C6" w14:textId="77777777" w:rsidR="008A5243" w:rsidRDefault="008A5243" w:rsidP="008A5243">
      <w:pPr>
        <w:widowControl w:val="0"/>
        <w:numPr>
          <w:ilvl w:val="0"/>
          <w:numId w:val="4"/>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Progressions with the most recent prior scale score.</w:t>
      </w:r>
    </w:p>
    <w:p w14:paraId="1E37D14E" w14:textId="77777777" w:rsidR="008A5243" w:rsidRDefault="008A5243" w:rsidP="008A5243">
      <w:pPr>
        <w:widowControl w:val="0"/>
        <w:numPr>
          <w:ilvl w:val="0"/>
          <w:numId w:val="4"/>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 xml:space="preserve">Progressions with the most common course progression, which is </w:t>
      </w:r>
      <w:proofErr w:type="gramStart"/>
      <w:r>
        <w:rPr>
          <w:rFonts w:ascii="Calibri" w:hAnsi="Calibri" w:cs="Calibri"/>
          <w:sz w:val="29"/>
          <w:szCs w:val="29"/>
          <w:u w:color="0000E9"/>
        </w:rPr>
        <w:t>generally</w:t>
      </w:r>
      <w:proofErr w:type="gramEnd"/>
      <w:r>
        <w:rPr>
          <w:rFonts w:ascii="Calibri" w:hAnsi="Calibri" w:cs="Calibri"/>
          <w:sz w:val="29"/>
          <w:szCs w:val="29"/>
          <w:u w:color="0000E9"/>
        </w:rPr>
        <w:t xml:space="preserve"> also used in student growth projections (in order to ensure correspondence between their reported growth percentile and projection).</w:t>
      </w:r>
    </w:p>
    <w:p w14:paraId="5E655BF9" w14:textId="77777777" w:rsidR="008A5243" w:rsidRDefault="008A5243" w:rsidP="008A5243">
      <w:pPr>
        <w:widowControl w:val="0"/>
        <w:numPr>
          <w:ilvl w:val="0"/>
          <w:numId w:val="4"/>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Progressions with the greatest number of prior scale scores.</w:t>
      </w:r>
    </w:p>
    <w:p w14:paraId="718659F6"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next section describes the process by which individual course progressions are established with analyses configuration code, which incorporates the </w:t>
      </w:r>
      <w:proofErr w:type="spellStart"/>
      <w:r>
        <w:rPr>
          <w:rFonts w:ascii="Calibri" w:hAnsi="Calibri" w:cs="Calibri"/>
          <w:sz w:val="29"/>
          <w:szCs w:val="29"/>
          <w:u w:color="0000E9"/>
        </w:rPr>
        <w:t>preferencing</w:t>
      </w:r>
      <w:proofErr w:type="spellEnd"/>
      <w:r>
        <w:rPr>
          <w:rFonts w:ascii="Calibri" w:hAnsi="Calibri" w:cs="Calibri"/>
          <w:sz w:val="29"/>
          <w:szCs w:val="29"/>
          <w:u w:color="0000E9"/>
        </w:rPr>
        <w:t xml:space="preserve"> system within it.</w:t>
      </w:r>
    </w:p>
    <w:p w14:paraId="4A3631E5"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3.2.2 Specify SGP configurations</w:t>
      </w:r>
    </w:p>
    <w:p w14:paraId="1C24FE07"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Many SGP analyses are specialized enough that it is necessary to specify each analyses to be performed via explicit configuration code. Such configurations were required to conduct the EOCT mathematics SGP analyses for the PARCC consortium. Although not necessary for the grade level content areas, explicit configuration </w:t>
      </w:r>
      <w:proofErr w:type="gramStart"/>
      <w:r>
        <w:rPr>
          <w:rFonts w:ascii="Calibri" w:hAnsi="Calibri" w:cs="Calibri"/>
          <w:sz w:val="29"/>
          <w:szCs w:val="29"/>
          <w:u w:color="0000E9"/>
        </w:rPr>
        <w:t>code were</w:t>
      </w:r>
      <w:proofErr w:type="gramEnd"/>
      <w:r>
        <w:rPr>
          <w:rFonts w:ascii="Calibri" w:hAnsi="Calibri" w:cs="Calibri"/>
          <w:sz w:val="29"/>
          <w:szCs w:val="29"/>
          <w:u w:color="0000E9"/>
        </w:rPr>
        <w:t xml:space="preserve"> also used for these analyses to provide greater coding consistency and allow for all analyses to be run concurrently.</w:t>
      </w:r>
    </w:p>
    <w:p w14:paraId="5232123B"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Configurations are </w:t>
      </w:r>
      <w:r>
        <w:rPr>
          <w:rFonts w:ascii="Lucida Console" w:hAnsi="Lucida Console" w:cs="Lucida Console"/>
          <w:sz w:val="29"/>
          <w:szCs w:val="29"/>
          <w:u w:color="0000E9"/>
        </w:rPr>
        <w:t>R</w:t>
      </w:r>
      <w:r>
        <w:rPr>
          <w:rFonts w:ascii="Calibri" w:hAnsi="Calibri" w:cs="Calibri"/>
          <w:sz w:val="29"/>
          <w:szCs w:val="29"/>
          <w:u w:color="0000E9"/>
        </w:rPr>
        <w:t xml:space="preserve"> code scripts that are used primarily in the SGP analysis to be discussed later, but are also used initially to construct the norm group preference object prior to analysis. They are broken up into four separate R scripts based on content domain (ELA and mathematics) and test score metric (IRT theta and scaled scores). Each configuration code chunk specifies a set of parameters that defines the norm group of students to be examined. Every potential norm group is defined by, at a minimum, the progressions of content area, academic year and grade-level. Therefore, every configuration used contains the first three elements and some analyses also contain the fourth and/or fifth elements:</w:t>
      </w:r>
    </w:p>
    <w:p w14:paraId="65F24A68" w14:textId="77777777" w:rsidR="008A5243" w:rsidRDefault="008A5243" w:rsidP="008A5243">
      <w:pPr>
        <w:widowControl w:val="0"/>
        <w:numPr>
          <w:ilvl w:val="0"/>
          <w:numId w:val="5"/>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sgp.content.areas</w:t>
      </w:r>
      <w:proofErr w:type="spellEnd"/>
      <w:proofErr w:type="gramEnd"/>
      <w:r>
        <w:rPr>
          <w:rFonts w:ascii="Calibri" w:hAnsi="Calibri" w:cs="Calibri"/>
          <w:b/>
          <w:bCs/>
          <w:sz w:val="29"/>
          <w:szCs w:val="29"/>
          <w:u w:color="0000E9"/>
        </w:rPr>
        <w:t>:</w:t>
      </w:r>
      <w:r>
        <w:rPr>
          <w:rFonts w:ascii="Calibri" w:hAnsi="Calibri" w:cs="Calibri"/>
          <w:sz w:val="29"/>
          <w:szCs w:val="29"/>
          <w:u w:color="0000E9"/>
        </w:rPr>
        <w:t xml:space="preserve"> The ordered progression of content areas to be looked at.</w:t>
      </w:r>
    </w:p>
    <w:p w14:paraId="1B1D63FB" w14:textId="77777777" w:rsidR="008A5243" w:rsidRDefault="008A5243" w:rsidP="008A5243">
      <w:pPr>
        <w:widowControl w:val="0"/>
        <w:numPr>
          <w:ilvl w:val="0"/>
          <w:numId w:val="5"/>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sgp.panel.years</w:t>
      </w:r>
      <w:proofErr w:type="spellEnd"/>
      <w:proofErr w:type="gramEnd"/>
      <w:r>
        <w:rPr>
          <w:rFonts w:ascii="Calibri" w:hAnsi="Calibri" w:cs="Calibri"/>
          <w:b/>
          <w:bCs/>
          <w:sz w:val="29"/>
          <w:szCs w:val="29"/>
          <w:u w:color="0000E9"/>
        </w:rPr>
        <w:t>:</w:t>
      </w:r>
      <w:r>
        <w:rPr>
          <w:rFonts w:ascii="Calibri" w:hAnsi="Calibri" w:cs="Calibri"/>
          <w:sz w:val="29"/>
          <w:szCs w:val="29"/>
          <w:u w:color="0000E9"/>
        </w:rPr>
        <w:t xml:space="preserve"> The progression of the years associated with the content area progression (</w:t>
      </w:r>
      <w:proofErr w:type="spellStart"/>
      <w:r>
        <w:rPr>
          <w:rFonts w:ascii="Lucida Console" w:hAnsi="Lucida Console" w:cs="Lucida Console"/>
          <w:sz w:val="29"/>
          <w:szCs w:val="29"/>
          <w:u w:color="0000E9"/>
        </w:rPr>
        <w:t>sgp.content.areas</w:t>
      </w:r>
      <w:proofErr w:type="spellEnd"/>
      <w:r>
        <w:rPr>
          <w:rFonts w:ascii="Calibri" w:hAnsi="Calibri" w:cs="Calibri"/>
          <w:sz w:val="29"/>
          <w:szCs w:val="29"/>
          <w:u w:color="0000E9"/>
        </w:rPr>
        <w:t xml:space="preserve">), potentially allowing for skipped or repeated years, fall to spring within year analyses, etc. Because some PARCC states administer tests in both </w:t>
      </w:r>
      <w:proofErr w:type="gramStart"/>
      <w:r>
        <w:rPr>
          <w:rFonts w:ascii="Calibri" w:hAnsi="Calibri" w:cs="Calibri"/>
          <w:sz w:val="29"/>
          <w:szCs w:val="29"/>
          <w:u w:color="0000E9"/>
        </w:rPr>
        <w:t>Fall</w:t>
      </w:r>
      <w:proofErr w:type="gramEnd"/>
      <w:r>
        <w:rPr>
          <w:rFonts w:ascii="Calibri" w:hAnsi="Calibri" w:cs="Calibri"/>
          <w:sz w:val="29"/>
          <w:szCs w:val="29"/>
          <w:u w:color="0000E9"/>
        </w:rPr>
        <w:t xml:space="preserve"> and Spring, a season or period indicator is required as well. This is encoded here as either a “</w:t>
      </w:r>
      <w:proofErr w:type="gramStart"/>
      <w:r>
        <w:rPr>
          <w:rFonts w:ascii="Calibri" w:hAnsi="Calibri" w:cs="Calibri"/>
          <w:sz w:val="29"/>
          <w:szCs w:val="29"/>
          <w:u w:color="0000E9"/>
        </w:rPr>
        <w:t>.1</w:t>
      </w:r>
      <w:proofErr w:type="gramEnd"/>
      <w:r>
        <w:rPr>
          <w:rFonts w:ascii="Calibri" w:hAnsi="Calibri" w:cs="Calibri"/>
          <w:sz w:val="29"/>
          <w:szCs w:val="29"/>
          <w:u w:color="0000E9"/>
        </w:rPr>
        <w:t>” or “.2” suffix to the academic year (“2015_2016.1” for Fall 2015 and “2015_2016.2” for Spring 2016).</w:t>
      </w:r>
    </w:p>
    <w:p w14:paraId="519152BF" w14:textId="77777777" w:rsidR="008A5243" w:rsidRDefault="008A5243" w:rsidP="008A5243">
      <w:pPr>
        <w:widowControl w:val="0"/>
        <w:numPr>
          <w:ilvl w:val="0"/>
          <w:numId w:val="5"/>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sgp.grade.sequences</w:t>
      </w:r>
      <w:proofErr w:type="spellEnd"/>
      <w:proofErr w:type="gramEnd"/>
      <w:r>
        <w:rPr>
          <w:rFonts w:ascii="Calibri" w:hAnsi="Calibri" w:cs="Calibri"/>
          <w:b/>
          <w:bCs/>
          <w:sz w:val="29"/>
          <w:szCs w:val="29"/>
          <w:u w:color="0000E9"/>
        </w:rPr>
        <w:t>:</w:t>
      </w:r>
      <w:r>
        <w:rPr>
          <w:rFonts w:ascii="Calibri" w:hAnsi="Calibri" w:cs="Calibri"/>
          <w:sz w:val="29"/>
          <w:szCs w:val="29"/>
          <w:u w:color="0000E9"/>
        </w:rPr>
        <w:t xml:space="preserve"> The grade progression associated with the configuration content areas and years. The value </w:t>
      </w:r>
      <w:r>
        <w:rPr>
          <w:rFonts w:ascii="Calibri" w:hAnsi="Calibri" w:cs="Calibri"/>
          <w:b/>
          <w:bCs/>
          <w:sz w:val="29"/>
          <w:szCs w:val="29"/>
          <w:u w:color="0000E9"/>
        </w:rPr>
        <w:t>‘EOCT’</w:t>
      </w:r>
      <w:r>
        <w:rPr>
          <w:rFonts w:ascii="Calibri" w:hAnsi="Calibri" w:cs="Calibri"/>
          <w:sz w:val="29"/>
          <w:szCs w:val="29"/>
          <w:u w:color="0000E9"/>
        </w:rPr>
        <w:t xml:space="preserve"> stands for ‘End Of Course Test’. The use of the generic ‘EOCT’ allows for secondary students to be compared based on the pattern of course taking rather than being dependent upon grade-level designation.</w:t>
      </w:r>
    </w:p>
    <w:p w14:paraId="4F205CED" w14:textId="77777777" w:rsidR="008A5243" w:rsidRDefault="008A5243" w:rsidP="008A5243">
      <w:pPr>
        <w:widowControl w:val="0"/>
        <w:numPr>
          <w:ilvl w:val="0"/>
          <w:numId w:val="5"/>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sgp.projection.grade.sequences</w:t>
      </w:r>
      <w:proofErr w:type="spellEnd"/>
      <w:proofErr w:type="gramEnd"/>
      <w:r>
        <w:rPr>
          <w:rFonts w:ascii="Calibri" w:hAnsi="Calibri" w:cs="Calibri"/>
          <w:b/>
          <w:bCs/>
          <w:sz w:val="29"/>
          <w:szCs w:val="29"/>
          <w:u w:color="0000E9"/>
        </w:rPr>
        <w:t>:</w:t>
      </w:r>
      <w:r>
        <w:rPr>
          <w:rFonts w:ascii="Calibri" w:hAnsi="Calibri" w:cs="Calibri"/>
          <w:sz w:val="29"/>
          <w:szCs w:val="29"/>
          <w:u w:color="0000E9"/>
        </w:rPr>
        <w:t xml:space="preserve"> This element is used to identify the grade sequence that will be used to produce student growth projections. It can either be left out or set explicitly to </w:t>
      </w:r>
      <w:r>
        <w:rPr>
          <w:rFonts w:ascii="Lucida Console" w:hAnsi="Lucida Console" w:cs="Lucida Console"/>
          <w:sz w:val="29"/>
          <w:szCs w:val="29"/>
          <w:u w:color="0000E9"/>
        </w:rPr>
        <w:t>NULL</w:t>
      </w:r>
      <w:r>
        <w:rPr>
          <w:rFonts w:ascii="Calibri" w:hAnsi="Calibri" w:cs="Calibri"/>
          <w:sz w:val="29"/>
          <w:szCs w:val="29"/>
          <w:u w:color="0000E9"/>
        </w:rPr>
        <w:t xml:space="preserve"> to produce projections based on the values provided in the </w:t>
      </w:r>
      <w:proofErr w:type="spellStart"/>
      <w:r>
        <w:rPr>
          <w:rFonts w:ascii="Lucida Console" w:hAnsi="Lucida Console" w:cs="Lucida Console"/>
          <w:sz w:val="29"/>
          <w:szCs w:val="29"/>
          <w:u w:color="0000E9"/>
        </w:rPr>
        <w:t>sgp.content.areas</w:t>
      </w:r>
      <w:proofErr w:type="spellEnd"/>
      <w:r>
        <w:rPr>
          <w:rFonts w:ascii="Calibri" w:hAnsi="Calibri" w:cs="Calibri"/>
          <w:sz w:val="29"/>
          <w:szCs w:val="29"/>
          <w:u w:color="0000E9"/>
        </w:rPr>
        <w:t xml:space="preserve"> and </w:t>
      </w:r>
      <w:proofErr w:type="spellStart"/>
      <w:r>
        <w:rPr>
          <w:rFonts w:ascii="Lucida Console" w:hAnsi="Lucida Console" w:cs="Lucida Console"/>
          <w:sz w:val="29"/>
          <w:szCs w:val="29"/>
          <w:u w:color="0000E9"/>
        </w:rPr>
        <w:t>sgp.grade.sequences</w:t>
      </w:r>
      <w:proofErr w:type="spellEnd"/>
      <w:r>
        <w:rPr>
          <w:rFonts w:ascii="Calibri" w:hAnsi="Calibri" w:cs="Calibri"/>
          <w:sz w:val="29"/>
          <w:szCs w:val="29"/>
          <w:u w:color="0000E9"/>
        </w:rPr>
        <w:t xml:space="preserve"> elements. Alternatively, when set to “</w:t>
      </w:r>
      <w:r>
        <w:rPr>
          <w:rFonts w:ascii="Lucida Console" w:hAnsi="Lucida Console" w:cs="Lucida Console"/>
          <w:sz w:val="29"/>
          <w:szCs w:val="29"/>
          <w:u w:color="0000E9"/>
        </w:rPr>
        <w:t>NO_PROJECTIONS</w:t>
      </w:r>
      <w:r>
        <w:rPr>
          <w:rFonts w:ascii="Calibri" w:hAnsi="Calibri" w:cs="Calibri"/>
          <w:sz w:val="29"/>
          <w:szCs w:val="29"/>
          <w:u w:color="0000E9"/>
        </w:rPr>
        <w:t xml:space="preserve">”, no projections will be produced. For EOCT analyses, only configurations that correspond to the canonical course progressions can produce student growth projections. The canonical progressions are codified in the </w:t>
      </w:r>
      <w:r>
        <w:rPr>
          <w:rFonts w:ascii="Lucida Console" w:hAnsi="Lucida Console" w:cs="Lucida Console"/>
          <w:sz w:val="29"/>
          <w:szCs w:val="29"/>
          <w:u w:color="0000E9"/>
        </w:rPr>
        <w:t>SGP</w:t>
      </w:r>
      <w:r>
        <w:rPr>
          <w:rFonts w:ascii="Calibri" w:hAnsi="Calibri" w:cs="Calibri"/>
          <w:sz w:val="29"/>
          <w:szCs w:val="29"/>
          <w:u w:color="0000E9"/>
        </w:rPr>
        <w:t xml:space="preserve"> package here: </w:t>
      </w:r>
      <w:hyperlink r:id="rId13" w:history="1">
        <w:proofErr w:type="spellStart"/>
        <w:proofErr w:type="gramStart"/>
        <w:r>
          <w:rPr>
            <w:rFonts w:ascii="Lucida Console" w:hAnsi="Lucida Console" w:cs="Lucida Console"/>
            <w:color w:val="6B006D"/>
            <w:sz w:val="29"/>
            <w:szCs w:val="29"/>
            <w:u w:val="single" w:color="6B006D"/>
          </w:rPr>
          <w:t>SGPstateData</w:t>
        </w:r>
        <w:proofErr w:type="spellEnd"/>
        <w:r>
          <w:rPr>
            <w:rFonts w:ascii="Lucida Console" w:hAnsi="Lucida Console" w:cs="Lucida Console"/>
            <w:color w:val="6B006D"/>
            <w:sz w:val="29"/>
            <w:szCs w:val="29"/>
            <w:u w:val="single" w:color="6B006D"/>
          </w:rPr>
          <w:t>[</w:t>
        </w:r>
        <w:proofErr w:type="gramEnd"/>
        <w:r>
          <w:rPr>
            <w:rFonts w:ascii="Lucida Console" w:hAnsi="Lucida Console" w:cs="Lucida Console"/>
            <w:color w:val="6B006D"/>
            <w:sz w:val="29"/>
            <w:szCs w:val="29"/>
            <w:u w:val="single" w:color="6B006D"/>
          </w:rPr>
          <w:t>["PARCC"]][["</w:t>
        </w:r>
        <w:proofErr w:type="spellStart"/>
        <w:r>
          <w:rPr>
            <w:rFonts w:ascii="Lucida Console" w:hAnsi="Lucida Console" w:cs="Lucida Console"/>
            <w:color w:val="6B006D"/>
            <w:sz w:val="29"/>
            <w:szCs w:val="29"/>
            <w:u w:val="single" w:color="6B006D"/>
          </w:rPr>
          <w:t>SGP_Configuration</w:t>
        </w:r>
        <w:proofErr w:type="spellEnd"/>
        <w:r>
          <w:rPr>
            <w:rFonts w:ascii="Lucida Console" w:hAnsi="Lucida Console" w:cs="Lucida Console"/>
            <w:color w:val="6B006D"/>
            <w:sz w:val="29"/>
            <w:szCs w:val="29"/>
            <w:u w:val="single" w:color="6B006D"/>
          </w:rPr>
          <w:t>"]][["</w:t>
        </w:r>
        <w:proofErr w:type="spellStart"/>
        <w:r>
          <w:rPr>
            <w:rFonts w:ascii="Lucida Console" w:hAnsi="Lucida Console" w:cs="Lucida Console"/>
            <w:color w:val="6B006D"/>
            <w:sz w:val="29"/>
            <w:szCs w:val="29"/>
            <w:u w:val="single" w:color="6B006D"/>
          </w:rPr>
          <w:t>content_area.projection.sequence</w:t>
        </w:r>
        <w:proofErr w:type="spellEnd"/>
        <w:r>
          <w:rPr>
            <w:rFonts w:ascii="Lucida Console" w:hAnsi="Lucida Console" w:cs="Lucida Console"/>
            <w:color w:val="6B006D"/>
            <w:sz w:val="29"/>
            <w:szCs w:val="29"/>
            <w:u w:val="single" w:color="6B006D"/>
          </w:rPr>
          <w:t>"]]</w:t>
        </w:r>
      </w:hyperlink>
      <w:r>
        <w:rPr>
          <w:rFonts w:ascii="Calibri" w:hAnsi="Calibri" w:cs="Calibri"/>
          <w:sz w:val="29"/>
          <w:szCs w:val="29"/>
          <w:u w:color="0000E9"/>
        </w:rPr>
        <w:t>. Note also that grade level Mathematics can have two different EOCT trajectories - one that follows the Integrated Math courses and another that goes from Algebra I to Geometry to Algebra II.</w:t>
      </w:r>
    </w:p>
    <w:p w14:paraId="2799CD63" w14:textId="77777777" w:rsidR="008A5243" w:rsidRPr="008A5243" w:rsidRDefault="008A5243" w:rsidP="008A5243">
      <w:pPr>
        <w:widowControl w:val="0"/>
        <w:numPr>
          <w:ilvl w:val="0"/>
          <w:numId w:val="5"/>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sgp.norm.group.preference</w:t>
      </w:r>
      <w:proofErr w:type="spellEnd"/>
      <w:proofErr w:type="gramEnd"/>
      <w:r>
        <w:rPr>
          <w:rFonts w:ascii="Calibri" w:hAnsi="Calibri" w:cs="Calibri"/>
          <w:b/>
          <w:bCs/>
          <w:sz w:val="29"/>
          <w:szCs w:val="29"/>
          <w:u w:color="0000E9"/>
        </w:rPr>
        <w:t>:</w:t>
      </w:r>
      <w:r>
        <w:rPr>
          <w:rFonts w:ascii="Calibri" w:hAnsi="Calibri" w:cs="Calibri"/>
          <w:sz w:val="29"/>
          <w:szCs w:val="29"/>
          <w:u w:color="0000E9"/>
        </w:rPr>
        <w:t xml:space="preserve"> Because a student can potentially be included in more than one analysis/configuration, multiple SGPs will be produced for some students and a system is required to identify the preferred SGP that will be matched with the student in the </w:t>
      </w:r>
      <w:proofErr w:type="spellStart"/>
      <w:r>
        <w:rPr>
          <w:rFonts w:ascii="Lucida Console" w:hAnsi="Lucida Console" w:cs="Lucida Console"/>
          <w:sz w:val="29"/>
          <w:szCs w:val="29"/>
          <w:u w:color="0000E9"/>
        </w:rPr>
        <w:t>combineSGP</w:t>
      </w:r>
      <w:proofErr w:type="spellEnd"/>
      <w:r>
        <w:rPr>
          <w:rFonts w:ascii="Calibri" w:hAnsi="Calibri" w:cs="Calibri"/>
          <w:sz w:val="29"/>
          <w:szCs w:val="29"/>
          <w:u w:color="0000E9"/>
        </w:rPr>
        <w:t xml:space="preserve"> step. This argument provides a numeric ranking that specifies how preferable SGPs produced from the analysis in question is relative to other possible analyses. </w:t>
      </w:r>
      <w:r>
        <w:rPr>
          <w:rFonts w:ascii="Calibri" w:hAnsi="Calibri" w:cs="Calibri"/>
          <w:b/>
          <w:bCs/>
          <w:i/>
          <w:iCs/>
          <w:sz w:val="29"/>
          <w:szCs w:val="29"/>
          <w:u w:color="0000E9"/>
        </w:rPr>
        <w:t>Lower numbers correspond with higher preference.</w:t>
      </w:r>
    </w:p>
    <w:p w14:paraId="526907E9" w14:textId="77777777" w:rsidR="008A5243" w:rsidRDefault="008A5243" w:rsidP="008A5243">
      <w:pPr>
        <w:widowControl w:val="0"/>
        <w:tabs>
          <w:tab w:val="left" w:pos="220"/>
          <w:tab w:val="left" w:pos="720"/>
        </w:tabs>
        <w:autoSpaceDE w:val="0"/>
        <w:autoSpaceDN w:val="0"/>
        <w:adjustRightInd w:val="0"/>
        <w:ind w:left="720"/>
        <w:rPr>
          <w:rFonts w:ascii="Calibri" w:hAnsi="Calibri" w:cs="Calibri"/>
          <w:sz w:val="29"/>
          <w:szCs w:val="29"/>
          <w:u w:color="0000E9"/>
        </w:rPr>
      </w:pPr>
    </w:p>
    <w:p w14:paraId="22615149"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As an example, here is the Algebra I configuration used to define the 2016 SGP analysis with the highest preference:</w:t>
      </w:r>
    </w:p>
    <w:p w14:paraId="0A78169E"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w:t>
      </w:r>
    </w:p>
    <w:p w14:paraId="3C086E9C"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p>
    <w:p w14:paraId="2A882DE4"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 xml:space="preserve">    ALGEBRA_I.2015_2016 = </w:t>
      </w:r>
      <w:proofErr w:type="gramStart"/>
      <w:r>
        <w:rPr>
          <w:rFonts w:ascii="Lucida Console" w:hAnsi="Lucida Console" w:cs="Lucida Console"/>
          <w:sz w:val="29"/>
          <w:szCs w:val="29"/>
          <w:u w:color="0000E9"/>
        </w:rPr>
        <w:t>list(</w:t>
      </w:r>
      <w:proofErr w:type="gramEnd"/>
    </w:p>
    <w:p w14:paraId="455547CA"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 xml:space="preserve">        </w:t>
      </w:r>
      <w:proofErr w:type="spellStart"/>
      <w:proofErr w:type="gramStart"/>
      <w:r>
        <w:rPr>
          <w:rFonts w:ascii="Lucida Console" w:hAnsi="Lucida Console" w:cs="Lucida Console"/>
          <w:sz w:val="29"/>
          <w:szCs w:val="29"/>
          <w:u w:color="0000E9"/>
        </w:rPr>
        <w:t>sgp.content.areas</w:t>
      </w:r>
      <w:proofErr w:type="spellEnd"/>
      <w:proofErr w:type="gramEnd"/>
      <w:r>
        <w:rPr>
          <w:rFonts w:ascii="Lucida Console" w:hAnsi="Lucida Console" w:cs="Lucida Console"/>
          <w:sz w:val="29"/>
          <w:szCs w:val="29"/>
          <w:u w:color="0000E9"/>
        </w:rPr>
        <w:t>=c("MATHEMATICS", "ALGEBRA_I"),</w:t>
      </w:r>
    </w:p>
    <w:p w14:paraId="73AFE08E"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 xml:space="preserve">        </w:t>
      </w:r>
      <w:proofErr w:type="spellStart"/>
      <w:proofErr w:type="gramStart"/>
      <w:r>
        <w:rPr>
          <w:rFonts w:ascii="Lucida Console" w:hAnsi="Lucida Console" w:cs="Lucida Console"/>
          <w:sz w:val="29"/>
          <w:szCs w:val="29"/>
          <w:u w:color="0000E9"/>
        </w:rPr>
        <w:t>sgp.panel.years</w:t>
      </w:r>
      <w:proofErr w:type="spellEnd"/>
      <w:proofErr w:type="gramEnd"/>
      <w:r>
        <w:rPr>
          <w:rFonts w:ascii="Lucida Console" w:hAnsi="Lucida Console" w:cs="Lucida Console"/>
          <w:sz w:val="29"/>
          <w:szCs w:val="29"/>
          <w:u w:color="0000E9"/>
        </w:rPr>
        <w:t>=c("2014_2015.2", "2015_2016.2"),</w:t>
      </w:r>
    </w:p>
    <w:p w14:paraId="3D468F10"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 xml:space="preserve">        </w:t>
      </w:r>
      <w:proofErr w:type="spellStart"/>
      <w:proofErr w:type="gramStart"/>
      <w:r>
        <w:rPr>
          <w:rFonts w:ascii="Lucida Console" w:hAnsi="Lucida Console" w:cs="Lucida Console"/>
          <w:sz w:val="29"/>
          <w:szCs w:val="29"/>
          <w:u w:color="0000E9"/>
        </w:rPr>
        <w:t>sgp.grade.sequences</w:t>
      </w:r>
      <w:proofErr w:type="spellEnd"/>
      <w:proofErr w:type="gramEnd"/>
      <w:r>
        <w:rPr>
          <w:rFonts w:ascii="Lucida Console" w:hAnsi="Lucida Console" w:cs="Lucida Console"/>
          <w:sz w:val="29"/>
          <w:szCs w:val="29"/>
          <w:u w:color="0000E9"/>
        </w:rPr>
        <w:t>=list(c("8", "EOCT")),</w:t>
      </w:r>
    </w:p>
    <w:p w14:paraId="56EB2CCE"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 xml:space="preserve">        </w:t>
      </w:r>
      <w:proofErr w:type="spellStart"/>
      <w:proofErr w:type="gramStart"/>
      <w:r>
        <w:rPr>
          <w:rFonts w:ascii="Lucida Console" w:hAnsi="Lucida Console" w:cs="Lucida Console"/>
          <w:sz w:val="29"/>
          <w:szCs w:val="29"/>
          <w:u w:color="0000E9"/>
        </w:rPr>
        <w:t>sgp.norm.group.preference</w:t>
      </w:r>
      <w:proofErr w:type="spellEnd"/>
      <w:proofErr w:type="gramEnd"/>
      <w:r>
        <w:rPr>
          <w:rFonts w:ascii="Lucida Console" w:hAnsi="Lucida Console" w:cs="Lucida Console"/>
          <w:sz w:val="29"/>
          <w:szCs w:val="29"/>
          <w:u w:color="0000E9"/>
        </w:rPr>
        <w:t>=0),</w:t>
      </w:r>
    </w:p>
    <w:p w14:paraId="1722CC6E"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p>
    <w:p w14:paraId="2D095986" w14:textId="77777777" w:rsidR="008A5243" w:rsidRDefault="008A5243" w:rsidP="008A5243">
      <w:pPr>
        <w:widowControl w:val="0"/>
        <w:autoSpaceDE w:val="0"/>
        <w:autoSpaceDN w:val="0"/>
        <w:adjustRightInd w:val="0"/>
        <w:rPr>
          <w:rFonts w:ascii="Lucida Console" w:hAnsi="Lucida Console" w:cs="Lucida Console"/>
          <w:sz w:val="29"/>
          <w:szCs w:val="29"/>
          <w:u w:color="0000E9"/>
        </w:rPr>
      </w:pPr>
      <w:r>
        <w:rPr>
          <w:rFonts w:ascii="Lucida Console" w:hAnsi="Lucida Console" w:cs="Lucida Console"/>
          <w:sz w:val="29"/>
          <w:szCs w:val="29"/>
          <w:u w:color="0000E9"/>
        </w:rPr>
        <w:t>...</w:t>
      </w:r>
    </w:p>
    <w:p w14:paraId="5ABC410B"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3.2.3 Conduct SGP analyses</w:t>
      </w:r>
    </w:p>
    <w:p w14:paraId="03183B43"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All cohort-referenced (unadjusted) and SIMEX corrected grade level and EOCT SGPs were calculated concurrently. Data analysis is conducted using the </w:t>
      </w:r>
      <w:hyperlink r:id="rId14" w:history="1">
        <w:r>
          <w:rPr>
            <w:rFonts w:ascii="Lucida Console" w:hAnsi="Lucida Console" w:cs="Lucida Console"/>
            <w:color w:val="0000E9"/>
            <w:sz w:val="29"/>
            <w:szCs w:val="29"/>
            <w:u w:val="single" w:color="0000E9"/>
          </w:rPr>
          <w:t>R</w:t>
        </w:r>
        <w:r>
          <w:rPr>
            <w:rFonts w:ascii="Calibri" w:hAnsi="Calibri" w:cs="Calibri"/>
            <w:color w:val="0000E9"/>
            <w:sz w:val="29"/>
            <w:szCs w:val="29"/>
            <w:u w:val="single" w:color="0000E9"/>
          </w:rPr>
          <w:t xml:space="preserve"> Software Environment</w:t>
        </w:r>
      </w:hyperlink>
      <w:r>
        <w:rPr>
          <w:rFonts w:ascii="Calibri" w:hAnsi="Calibri" w:cs="Calibri"/>
          <w:sz w:val="29"/>
          <w:szCs w:val="29"/>
          <w:u w:color="0000E9"/>
        </w:rPr>
        <w:t xml:space="preserve"> in conjunction with the </w:t>
      </w:r>
      <w:hyperlink r:id="rId15" w:history="1">
        <w:r>
          <w:rPr>
            <w:rFonts w:ascii="Lucida Console" w:hAnsi="Lucida Console" w:cs="Lucida Console"/>
            <w:color w:val="6B006D"/>
            <w:sz w:val="29"/>
            <w:szCs w:val="29"/>
            <w:u w:val="single" w:color="6B006D"/>
          </w:rPr>
          <w:t>SGP</w:t>
        </w:r>
        <w:r>
          <w:rPr>
            <w:rFonts w:ascii="Calibri" w:hAnsi="Calibri" w:cs="Calibri"/>
            <w:color w:val="6B006D"/>
            <w:sz w:val="29"/>
            <w:szCs w:val="29"/>
            <w:u w:val="single" w:color="6B006D"/>
          </w:rPr>
          <w:t xml:space="preserve"> package</w:t>
        </w:r>
      </w:hyperlink>
      <w:r>
        <w:rPr>
          <w:rFonts w:ascii="Calibri" w:hAnsi="Calibri" w:cs="Calibri"/>
          <w:sz w:val="29"/>
          <w:szCs w:val="29"/>
          <w:u w:color="0000E9"/>
        </w:rPr>
        <w:t>. Broadly, the analysis takes place in 6 steps.</w:t>
      </w:r>
    </w:p>
    <w:p w14:paraId="53A61AE8"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prepareSGP</w:t>
      </w:r>
      <w:proofErr w:type="spellEnd"/>
      <w:proofErr w:type="gramEnd"/>
    </w:p>
    <w:p w14:paraId="26631E83"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analyzeSGP</w:t>
      </w:r>
      <w:proofErr w:type="spellEnd"/>
      <w:proofErr w:type="gramEnd"/>
    </w:p>
    <w:p w14:paraId="4396451B"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combineSGP</w:t>
      </w:r>
      <w:proofErr w:type="spellEnd"/>
      <w:proofErr w:type="gramEnd"/>
    </w:p>
    <w:p w14:paraId="76E5FB84"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summarizeSGP</w:t>
      </w:r>
      <w:proofErr w:type="spellEnd"/>
      <w:proofErr w:type="gramEnd"/>
    </w:p>
    <w:p w14:paraId="6FEEE791"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visualizeSGP</w:t>
      </w:r>
      <w:proofErr w:type="spellEnd"/>
      <w:proofErr w:type="gramEnd"/>
    </w:p>
    <w:p w14:paraId="3B36A62E" w14:textId="77777777" w:rsidR="008A5243" w:rsidRDefault="008A5243" w:rsidP="008A5243">
      <w:pPr>
        <w:widowControl w:val="0"/>
        <w:numPr>
          <w:ilvl w:val="0"/>
          <w:numId w:val="6"/>
        </w:numPr>
        <w:tabs>
          <w:tab w:val="left" w:pos="220"/>
          <w:tab w:val="left" w:pos="720"/>
        </w:tabs>
        <w:autoSpaceDE w:val="0"/>
        <w:autoSpaceDN w:val="0"/>
        <w:adjustRightInd w:val="0"/>
        <w:ind w:hanging="720"/>
        <w:rPr>
          <w:rFonts w:ascii="Calibri" w:hAnsi="Calibri" w:cs="Calibri"/>
          <w:sz w:val="29"/>
          <w:szCs w:val="29"/>
          <w:u w:color="0000E9"/>
        </w:rPr>
      </w:pPr>
      <w:proofErr w:type="spellStart"/>
      <w:proofErr w:type="gramStart"/>
      <w:r>
        <w:rPr>
          <w:rFonts w:ascii="Lucida Console" w:hAnsi="Lucida Console" w:cs="Lucida Console"/>
          <w:sz w:val="29"/>
          <w:szCs w:val="29"/>
          <w:u w:color="0000E9"/>
        </w:rPr>
        <w:t>outputSGP</w:t>
      </w:r>
      <w:proofErr w:type="spellEnd"/>
      <w:proofErr w:type="gramEnd"/>
    </w:p>
    <w:p w14:paraId="3A91F9F8"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Because these steps are almost always conducted simultaneously, the </w:t>
      </w:r>
      <w:r>
        <w:rPr>
          <w:rFonts w:ascii="Lucida Console" w:hAnsi="Lucida Console" w:cs="Lucida Console"/>
          <w:sz w:val="29"/>
          <w:szCs w:val="29"/>
          <w:u w:color="0000E9"/>
        </w:rPr>
        <w:t>SGP</w:t>
      </w:r>
      <w:r>
        <w:rPr>
          <w:rFonts w:ascii="Calibri" w:hAnsi="Calibri" w:cs="Calibri"/>
          <w:sz w:val="29"/>
          <w:szCs w:val="29"/>
          <w:u w:color="0000E9"/>
        </w:rPr>
        <w:t xml:space="preserve"> package has wrapper functions </w:t>
      </w:r>
      <w:proofErr w:type="spellStart"/>
      <w:r>
        <w:rPr>
          <w:rFonts w:ascii="Lucida Console" w:hAnsi="Lucida Console" w:cs="Lucida Console"/>
          <w:sz w:val="29"/>
          <w:szCs w:val="29"/>
          <w:u w:color="0000E9"/>
        </w:rPr>
        <w:t>abcSGP</w:t>
      </w:r>
      <w:proofErr w:type="spellEnd"/>
      <w:r>
        <w:rPr>
          <w:rFonts w:ascii="Calibri" w:hAnsi="Calibri" w:cs="Calibri"/>
          <w:sz w:val="29"/>
          <w:szCs w:val="29"/>
          <w:u w:color="0000E9"/>
        </w:rPr>
        <w:t xml:space="preserve"> and </w:t>
      </w:r>
      <w:proofErr w:type="spellStart"/>
      <w:r>
        <w:rPr>
          <w:rFonts w:ascii="Lucida Console" w:hAnsi="Lucida Console" w:cs="Lucida Console"/>
          <w:sz w:val="29"/>
          <w:szCs w:val="29"/>
          <w:u w:color="0000E9"/>
        </w:rPr>
        <w:t>updateSGP</w:t>
      </w:r>
      <w:proofErr w:type="spellEnd"/>
      <w:r>
        <w:rPr>
          <w:rFonts w:ascii="Calibri" w:hAnsi="Calibri" w:cs="Calibri"/>
          <w:sz w:val="29"/>
          <w:szCs w:val="29"/>
          <w:u w:color="0000E9"/>
        </w:rPr>
        <w:t xml:space="preserve"> that “wrap” the above 6 steps into a single function call and simplify the source code associated with the analysis. Documentation for all SGP functions can be found </w:t>
      </w:r>
      <w:hyperlink r:id="rId16" w:history="1">
        <w:r>
          <w:rPr>
            <w:rFonts w:ascii="Calibri" w:hAnsi="Calibri" w:cs="Calibri"/>
            <w:color w:val="6B006D"/>
            <w:sz w:val="29"/>
            <w:szCs w:val="29"/>
            <w:u w:val="single" w:color="6B006D"/>
          </w:rPr>
          <w:t>at this online link.</w:t>
        </w:r>
      </w:hyperlink>
    </w:p>
    <w:p w14:paraId="0D2F6EF9"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SGP analyses were conducted at both the consortium and state level. In the consortium analyses we use the </w:t>
      </w:r>
      <w:proofErr w:type="spellStart"/>
      <w:r>
        <w:rPr>
          <w:rFonts w:ascii="Lucida Console" w:hAnsi="Lucida Console" w:cs="Lucida Console"/>
          <w:sz w:val="29"/>
          <w:szCs w:val="29"/>
          <w:u w:color="0000E9"/>
        </w:rPr>
        <w:t>updateSGP</w:t>
      </w:r>
      <w:proofErr w:type="spellEnd"/>
      <w:r>
        <w:rPr>
          <w:rFonts w:ascii="Calibri" w:hAnsi="Calibri" w:cs="Calibri"/>
          <w:sz w:val="29"/>
          <w:szCs w:val="29"/>
          <w:u w:color="0000E9"/>
        </w:rPr>
        <w:t xml:space="preserve"> function to </w:t>
      </w:r>
      <w:r>
        <w:rPr>
          <w:rFonts w:ascii="Calibri" w:hAnsi="Calibri" w:cs="Calibri"/>
          <w:b/>
          <w:bCs/>
          <w:i/>
          <w:iCs/>
          <w:sz w:val="29"/>
          <w:szCs w:val="29"/>
          <w:u w:color="0000E9"/>
        </w:rPr>
        <w:t>a)</w:t>
      </w:r>
      <w:r>
        <w:rPr>
          <w:rFonts w:ascii="Calibri" w:hAnsi="Calibri" w:cs="Calibri"/>
          <w:sz w:val="29"/>
          <w:szCs w:val="29"/>
          <w:u w:color="0000E9"/>
        </w:rPr>
        <w:t xml:space="preserve"> do the final preparation and addition of the cleaned and formatted Spring 2016 data to an </w:t>
      </w:r>
      <w:r>
        <w:rPr>
          <w:rFonts w:ascii="Lucida Console" w:hAnsi="Lucida Console" w:cs="Lucida Console"/>
          <w:sz w:val="29"/>
          <w:szCs w:val="29"/>
          <w:u w:color="0000E9"/>
        </w:rPr>
        <w:t>SGP</w:t>
      </w:r>
      <w:r>
        <w:rPr>
          <w:rFonts w:ascii="Calibri" w:hAnsi="Calibri" w:cs="Calibri"/>
          <w:sz w:val="29"/>
          <w:szCs w:val="29"/>
          <w:u w:color="0000E9"/>
        </w:rPr>
        <w:t xml:space="preserve"> class object created for the Fall 2015 analyses (</w:t>
      </w:r>
      <w:proofErr w:type="spellStart"/>
      <w:r>
        <w:rPr>
          <w:rFonts w:ascii="Lucida Console" w:hAnsi="Lucida Console" w:cs="Lucida Console"/>
          <w:sz w:val="29"/>
          <w:szCs w:val="29"/>
          <w:u w:color="0000E9"/>
        </w:rPr>
        <w:t>prepareSGP</w:t>
      </w:r>
      <w:proofErr w:type="spellEnd"/>
      <w:r>
        <w:rPr>
          <w:rFonts w:ascii="Calibri" w:hAnsi="Calibri" w:cs="Calibri"/>
          <w:sz w:val="29"/>
          <w:szCs w:val="29"/>
          <w:u w:color="0000E9"/>
        </w:rPr>
        <w:t xml:space="preserve"> step) and </w:t>
      </w:r>
      <w:r>
        <w:rPr>
          <w:rFonts w:ascii="Calibri" w:hAnsi="Calibri" w:cs="Calibri"/>
          <w:b/>
          <w:bCs/>
          <w:i/>
          <w:iCs/>
          <w:sz w:val="29"/>
          <w:szCs w:val="29"/>
          <w:u w:color="0000E9"/>
        </w:rPr>
        <w:t>b)</w:t>
      </w:r>
      <w:r>
        <w:rPr>
          <w:rFonts w:ascii="Calibri" w:hAnsi="Calibri" w:cs="Calibri"/>
          <w:sz w:val="29"/>
          <w:szCs w:val="29"/>
          <w:u w:color="0000E9"/>
        </w:rPr>
        <w:t xml:space="preserve"> calculate SGP estimates (</w:t>
      </w:r>
      <w:proofErr w:type="spellStart"/>
      <w:r>
        <w:rPr>
          <w:rFonts w:ascii="Lucida Console" w:hAnsi="Lucida Console" w:cs="Lucida Console"/>
          <w:sz w:val="29"/>
          <w:szCs w:val="29"/>
          <w:u w:color="0000E9"/>
        </w:rPr>
        <w:t>analyzeSGP</w:t>
      </w:r>
      <w:proofErr w:type="spellEnd"/>
      <w:r>
        <w:rPr>
          <w:rFonts w:ascii="Calibri" w:hAnsi="Calibri" w:cs="Calibri"/>
          <w:sz w:val="29"/>
          <w:szCs w:val="29"/>
          <w:u w:color="0000E9"/>
        </w:rPr>
        <w:t xml:space="preserve"> step). In the individual state analyses, these two steps were performed using the individual functions separately in order to establish the states’ </w:t>
      </w:r>
      <w:r>
        <w:rPr>
          <w:rFonts w:ascii="Lucida Console" w:hAnsi="Lucida Console" w:cs="Lucida Console"/>
          <w:sz w:val="29"/>
          <w:szCs w:val="29"/>
          <w:u w:color="0000E9"/>
        </w:rPr>
        <w:t>SGP</w:t>
      </w:r>
      <w:r>
        <w:rPr>
          <w:rFonts w:ascii="Calibri" w:hAnsi="Calibri" w:cs="Calibri"/>
          <w:sz w:val="29"/>
          <w:szCs w:val="29"/>
          <w:u w:color="0000E9"/>
        </w:rPr>
        <w:t xml:space="preserve"> class objects (i.e. Fall state-level analyses were not feasible due to small cohort sizes).</w:t>
      </w:r>
    </w:p>
    <w:p w14:paraId="6FC0EBB2"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3.2.4 Merge, output, summarize and visualize results</w:t>
      </w:r>
    </w:p>
    <w:p w14:paraId="571EF011"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Once all analyses were completed the results were merged into the master longitudinal data set (</w:t>
      </w:r>
      <w:proofErr w:type="spellStart"/>
      <w:r>
        <w:rPr>
          <w:rFonts w:ascii="Lucida Console" w:hAnsi="Lucida Console" w:cs="Lucida Console"/>
          <w:sz w:val="29"/>
          <w:szCs w:val="29"/>
          <w:u w:color="0000E9"/>
        </w:rPr>
        <w:t>combineSGP</w:t>
      </w:r>
      <w:proofErr w:type="spellEnd"/>
      <w:r>
        <w:rPr>
          <w:rFonts w:ascii="Calibri" w:hAnsi="Calibri" w:cs="Calibri"/>
          <w:sz w:val="29"/>
          <w:szCs w:val="29"/>
          <w:u w:color="0000E9"/>
        </w:rPr>
        <w:t xml:space="preserve"> step). A pipe delimited version of the complete long data is output (</w:t>
      </w:r>
      <w:proofErr w:type="spellStart"/>
      <w:r>
        <w:rPr>
          <w:rFonts w:ascii="Lucida Console" w:hAnsi="Lucida Console" w:cs="Lucida Console"/>
          <w:sz w:val="29"/>
          <w:szCs w:val="29"/>
          <w:u w:color="0000E9"/>
        </w:rPr>
        <w:t>outputSGP</w:t>
      </w:r>
      <w:proofErr w:type="spellEnd"/>
      <w:r>
        <w:rPr>
          <w:rFonts w:ascii="Calibri" w:hAnsi="Calibri" w:cs="Calibri"/>
          <w:sz w:val="29"/>
          <w:szCs w:val="29"/>
          <w:u w:color="0000E9"/>
        </w:rPr>
        <w:t xml:space="preserve"> step) and submitted to Pearson after some additional formatting to add requested information. Finally, visualizations (such as growth achievement charts) are produced from the results data using the </w:t>
      </w:r>
      <w:proofErr w:type="spellStart"/>
      <w:r>
        <w:rPr>
          <w:rFonts w:ascii="Lucida Console" w:hAnsi="Lucida Console" w:cs="Lucida Console"/>
          <w:sz w:val="29"/>
          <w:szCs w:val="29"/>
          <w:u w:color="0000E9"/>
        </w:rPr>
        <w:t>visualizeSGP</w:t>
      </w:r>
      <w:proofErr w:type="spellEnd"/>
      <w:r>
        <w:rPr>
          <w:rFonts w:ascii="Calibri" w:hAnsi="Calibri" w:cs="Calibri"/>
          <w:sz w:val="29"/>
          <w:szCs w:val="29"/>
          <w:u w:color="0000E9"/>
        </w:rPr>
        <w:t xml:space="preserve"> function.</w:t>
      </w:r>
    </w:p>
    <w:p w14:paraId="58ECA54D" w14:textId="77777777" w:rsidR="008A5243" w:rsidRDefault="008A5243">
      <w:pPr>
        <w:rPr>
          <w:rFonts w:ascii="Cambria" w:hAnsi="Cambria" w:cs="Cambria"/>
          <w:b/>
          <w:bCs/>
          <w:color w:val="2A4B7E"/>
          <w:sz w:val="37"/>
          <w:szCs w:val="37"/>
          <w:u w:color="0000E9"/>
        </w:rPr>
      </w:pPr>
      <w:r>
        <w:rPr>
          <w:rFonts w:ascii="Cambria" w:hAnsi="Cambria" w:cs="Cambria"/>
          <w:b/>
          <w:bCs/>
          <w:color w:val="2A4B7E"/>
          <w:sz w:val="37"/>
          <w:szCs w:val="37"/>
          <w:u w:color="0000E9"/>
        </w:rPr>
        <w:br w:type="page"/>
      </w:r>
    </w:p>
    <w:p w14:paraId="098E4EBF"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r>
        <w:rPr>
          <w:rFonts w:ascii="Cambria" w:hAnsi="Cambria" w:cs="Cambria"/>
          <w:b/>
          <w:bCs/>
          <w:color w:val="2A4B7E"/>
          <w:sz w:val="37"/>
          <w:szCs w:val="37"/>
          <w:u w:color="0000E9"/>
        </w:rPr>
        <w:t>4 Goodness of Fit</w:t>
      </w:r>
    </w:p>
    <w:p w14:paraId="336FABB6"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Despite the use of B-splines to accommodate </w:t>
      </w:r>
      <w:proofErr w:type="spellStart"/>
      <w:r>
        <w:rPr>
          <w:rFonts w:ascii="Calibri" w:hAnsi="Calibri" w:cs="Calibri"/>
          <w:sz w:val="29"/>
          <w:szCs w:val="29"/>
          <w:u w:color="0000E9"/>
        </w:rPr>
        <w:t>heteroscedasticity</w:t>
      </w:r>
      <w:proofErr w:type="spellEnd"/>
      <w:r>
        <w:rPr>
          <w:rFonts w:ascii="Calibri" w:hAnsi="Calibri" w:cs="Calibri"/>
          <w:sz w:val="29"/>
          <w:szCs w:val="29"/>
          <w:u w:color="0000E9"/>
        </w:rPr>
        <w:t xml:space="preserve"> and </w:t>
      </w:r>
      <w:proofErr w:type="spellStart"/>
      <w:r>
        <w:rPr>
          <w:rFonts w:ascii="Calibri" w:hAnsi="Calibri" w:cs="Calibri"/>
          <w:sz w:val="29"/>
          <w:szCs w:val="29"/>
          <w:u w:color="0000E9"/>
        </w:rPr>
        <w:t>skewness</w:t>
      </w:r>
      <w:proofErr w:type="spellEnd"/>
      <w:r>
        <w:rPr>
          <w:rFonts w:ascii="Calibri" w:hAnsi="Calibri" w:cs="Calibri"/>
          <w:sz w:val="29"/>
          <w:szCs w:val="29"/>
          <w:u w:color="0000E9"/>
        </w:rPr>
        <w:t xml:space="preserve"> of the test score distributions, assumptions that are made in the statistical modeling process can impact how well the percentile curves fit the data. </w:t>
      </w:r>
      <w:proofErr w:type="gramStart"/>
      <w:r>
        <w:rPr>
          <w:rFonts w:ascii="Calibri" w:hAnsi="Calibri" w:cs="Calibri"/>
          <w:sz w:val="29"/>
          <w:szCs w:val="29"/>
          <w:u w:color="0000E9"/>
        </w:rPr>
        <w:t xml:space="preserve">Examination of goodness-of-fit was conducted by first inspecting model fit plots the </w:t>
      </w:r>
      <w:r>
        <w:rPr>
          <w:rFonts w:ascii="Lucida Console" w:hAnsi="Lucida Console" w:cs="Lucida Console"/>
          <w:sz w:val="29"/>
          <w:szCs w:val="29"/>
          <w:u w:color="0000E9"/>
        </w:rPr>
        <w:t>SGP</w:t>
      </w:r>
      <w:r>
        <w:rPr>
          <w:rFonts w:ascii="Calibri" w:hAnsi="Calibri" w:cs="Calibri"/>
          <w:sz w:val="29"/>
          <w:szCs w:val="29"/>
          <w:u w:color="0000E9"/>
        </w:rPr>
        <w:t xml:space="preserve"> software package produces for each analysis, and subsequently inspecting student level correlations between growth and achievement</w:t>
      </w:r>
      <w:proofErr w:type="gramEnd"/>
      <w:r>
        <w:rPr>
          <w:rFonts w:ascii="Calibri" w:hAnsi="Calibri" w:cs="Calibri"/>
          <w:sz w:val="29"/>
          <w:szCs w:val="29"/>
          <w:u w:color="0000E9"/>
        </w:rPr>
        <w:t>. Discussion of the model fit plots in general and examples of them are provided below, as are tables of the correlation results. The complete portfolio of model fit plots is provided in Appendix A of this report.</w:t>
      </w:r>
    </w:p>
    <w:p w14:paraId="5E1B330B"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4.1 Model Fit Plots</w:t>
      </w:r>
    </w:p>
    <w:p w14:paraId="5482033D"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Using all available grade level and EOCT scores as the variables, estimation of student growth percentiles was conducted for each possible student (those with a current score and at least one prior score). </w:t>
      </w:r>
      <w:proofErr w:type="gramStart"/>
      <w:r>
        <w:rPr>
          <w:rFonts w:ascii="Calibri" w:hAnsi="Calibri" w:cs="Calibri"/>
          <w:sz w:val="29"/>
          <w:szCs w:val="29"/>
          <w:u w:color="0000E9"/>
        </w:rPr>
        <w:t>Each analysis is defined by the grade and content area for the grade-level analyses and exact content area (and grade when relevant) sequences for the EOCT subjects</w:t>
      </w:r>
      <w:proofErr w:type="gramEnd"/>
      <w:r>
        <w:rPr>
          <w:rFonts w:ascii="Calibri" w:hAnsi="Calibri" w:cs="Calibri"/>
          <w:sz w:val="29"/>
          <w:szCs w:val="29"/>
          <w:u w:color="0000E9"/>
        </w:rPr>
        <w:t>. A goodness of fit plot is produced for each unique analysis run in 2016 and are all provided in Appendix A to this report.</w:t>
      </w:r>
    </w:p>
    <w:p w14:paraId="1AC317A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As an example, Figure 1 shows the results for 8</w:t>
      </w:r>
      <w:r>
        <w:rPr>
          <w:rFonts w:ascii="Calibri" w:hAnsi="Calibri" w:cs="Calibri"/>
          <w:u w:color="0000E9"/>
          <w:vertAlign w:val="superscript"/>
        </w:rPr>
        <w:t>th</w:t>
      </w:r>
      <w:r>
        <w:rPr>
          <w:rFonts w:ascii="Calibri" w:hAnsi="Calibri" w:cs="Calibri"/>
          <w:sz w:val="29"/>
          <w:szCs w:val="29"/>
          <w:u w:color="0000E9"/>
        </w:rPr>
        <w:t xml:space="preserve"> grade ELA as an example of good model fit. Figure 2 demonstrates minor model misfit in the Integrated Mathematics 1 analyses that uses 2015 Grade 7 Mathematics for its prior scores.</w:t>
      </w:r>
    </w:p>
    <w:p w14:paraId="496E0E25"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“Ceiling/Floor Effects Test” panel is intended to help identify potential problems in SGP estimation at the Highest and Lowest Obtainable (or Observed) Scale Scores (HOSS and LOSS). Most often these effects are caused when it is relatively typical for extremely high (low) achieving students to consistently score at or near the HOSS (LOSS) each year leading to the SGPs for these students to be unexpectedly low (high). That is, for example, if a sufficient number of students maintain performance at the HOSS over time, this performance will be estimated as typical, and therefore SGP estimates will reflect typical growth (e.g. 50th percentile). In some cases small deviations from these extreme score values might even yield low growth estimates. Although these score patterns can legitimately be estimated as typical or low growth percentile, it is potentially an unfair description of student growth (and by proxy teacher or school, etc. performance metrics that use them). Ultimately this is an artifact of the assessments’ inability to adequately measure student performance at extreme ability levels.</w:t>
      </w:r>
    </w:p>
    <w:p w14:paraId="1E21840D"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table of values here shows whether the current year scores at both extremes yield the expected SGPs</w:t>
      </w:r>
      <w:r>
        <w:rPr>
          <w:rFonts w:ascii="Calibri" w:hAnsi="Calibri" w:cs="Calibri"/>
          <w:color w:val="0000E9"/>
          <w:u w:val="single" w:color="0000E9"/>
          <w:vertAlign w:val="superscript"/>
        </w:rPr>
        <w:t>3</w:t>
      </w:r>
      <w:r>
        <w:rPr>
          <w:rFonts w:ascii="Calibri" w:hAnsi="Calibri" w:cs="Calibri"/>
          <w:sz w:val="29"/>
          <w:szCs w:val="29"/>
          <w:u w:color="0000E9"/>
        </w:rPr>
        <w:t xml:space="preserve">. The expectation is that the majority of SGPs for students scoring at or near the LOSS will be low (preferably less than 5 and not higher than 10), and that SGPs for students scoring at or near the HOSS will be high (preferably higher than 95 and not less than 90). Because few students may score </w:t>
      </w:r>
      <w:r>
        <w:rPr>
          <w:rFonts w:ascii="Calibri" w:hAnsi="Calibri" w:cs="Calibri"/>
          <w:i/>
          <w:iCs/>
          <w:sz w:val="29"/>
          <w:szCs w:val="29"/>
          <w:u w:color="0000E9"/>
        </w:rPr>
        <w:t>exactly</w:t>
      </w:r>
      <w:r>
        <w:rPr>
          <w:rFonts w:ascii="Calibri" w:hAnsi="Calibri" w:cs="Calibri"/>
          <w:sz w:val="29"/>
          <w:szCs w:val="29"/>
          <w:u w:color="0000E9"/>
        </w:rPr>
        <w:t xml:space="preserve"> at the HOSS/LOSS, the top/bottom 50 students are selected and any student scoring within their range of scores are selected for inclusion in these tables. Consequently, there may be a range of scores at the HOSS/LOSS rather than a single score, and there may be more than 50 students included in the HOSS/LOSS row if the 50 students at the extremes only contain the single HOSS/LOSS score.</w:t>
      </w:r>
    </w:p>
    <w:p w14:paraId="06D39BB3"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This table is meant to serve more as a “canary in the coal mine” than as a detailed, conclusive indicator of ceiling or floor effects, and a more </w:t>
      </w:r>
      <w:proofErr w:type="gramStart"/>
      <w:r>
        <w:rPr>
          <w:rFonts w:ascii="Calibri" w:hAnsi="Calibri" w:cs="Calibri"/>
          <w:sz w:val="29"/>
          <w:szCs w:val="29"/>
          <w:u w:color="0000E9"/>
        </w:rPr>
        <w:t>fine grained</w:t>
      </w:r>
      <w:proofErr w:type="gramEnd"/>
      <w:r>
        <w:rPr>
          <w:rFonts w:ascii="Calibri" w:hAnsi="Calibri" w:cs="Calibri"/>
          <w:sz w:val="29"/>
          <w:szCs w:val="29"/>
          <w:u w:color="0000E9"/>
        </w:rPr>
        <w:t xml:space="preserve"> analysis that considers the relationship between score histories and SGPs may be necessary. Appendix C of this report provides a more in depth investigation of potential ceiling effects.</w:t>
      </w:r>
    </w:p>
    <w:p w14:paraId="7F08E59C"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two bottom panels compare the observed conditional density of the SGP estimates with the theoretical (uniform) density. The bottom left panel shows the empirical distribution of SGPs given prior scale score </w:t>
      </w:r>
      <w:proofErr w:type="spellStart"/>
      <w:r>
        <w:rPr>
          <w:rFonts w:ascii="Calibri" w:hAnsi="Calibri" w:cs="Calibri"/>
          <w:sz w:val="29"/>
          <w:szCs w:val="29"/>
          <w:u w:color="0000E9"/>
        </w:rPr>
        <w:t>deciles</w:t>
      </w:r>
      <w:proofErr w:type="spellEnd"/>
      <w:r>
        <w:rPr>
          <w:rFonts w:ascii="Calibri" w:hAnsi="Calibri" w:cs="Calibri"/>
          <w:sz w:val="29"/>
          <w:szCs w:val="29"/>
          <w:u w:color="0000E9"/>
        </w:rPr>
        <w:t xml:space="preserve"> in the form of a 10 by 10 cell grid. Percentages of student growth percentiles between the 10</w:t>
      </w:r>
      <w:r>
        <w:rPr>
          <w:rFonts w:ascii="Calibri" w:hAnsi="Calibri" w:cs="Calibri"/>
          <w:u w:color="0000E9"/>
          <w:vertAlign w:val="superscript"/>
        </w:rPr>
        <w:t>th</w:t>
      </w:r>
      <w:r>
        <w:rPr>
          <w:rFonts w:ascii="Calibri" w:hAnsi="Calibri" w:cs="Calibri"/>
          <w:sz w:val="29"/>
          <w:szCs w:val="29"/>
          <w:u w:color="0000E9"/>
        </w:rPr>
        <w:t>, 20</w:t>
      </w:r>
      <w:r>
        <w:rPr>
          <w:rFonts w:ascii="Calibri" w:hAnsi="Calibri" w:cs="Calibri"/>
          <w:u w:color="0000E9"/>
          <w:vertAlign w:val="superscript"/>
        </w:rPr>
        <w:t>th</w:t>
      </w:r>
      <w:r>
        <w:rPr>
          <w:rFonts w:ascii="Calibri" w:hAnsi="Calibri" w:cs="Calibri"/>
          <w:sz w:val="29"/>
          <w:szCs w:val="29"/>
          <w:u w:color="0000E9"/>
        </w:rPr>
        <w:t>, 30</w:t>
      </w:r>
      <w:r>
        <w:rPr>
          <w:rFonts w:ascii="Calibri" w:hAnsi="Calibri" w:cs="Calibri"/>
          <w:u w:color="0000E9"/>
          <w:vertAlign w:val="superscript"/>
        </w:rPr>
        <w:t>th</w:t>
      </w:r>
      <w:r>
        <w:rPr>
          <w:rFonts w:ascii="Calibri" w:hAnsi="Calibri" w:cs="Calibri"/>
          <w:sz w:val="29"/>
          <w:szCs w:val="29"/>
          <w:u w:color="0000E9"/>
        </w:rPr>
        <w:t>, 40</w:t>
      </w:r>
      <w:r>
        <w:rPr>
          <w:rFonts w:ascii="Calibri" w:hAnsi="Calibri" w:cs="Calibri"/>
          <w:u w:color="0000E9"/>
          <w:vertAlign w:val="superscript"/>
        </w:rPr>
        <w:t>th</w:t>
      </w:r>
      <w:r>
        <w:rPr>
          <w:rFonts w:ascii="Calibri" w:hAnsi="Calibri" w:cs="Calibri"/>
          <w:sz w:val="29"/>
          <w:szCs w:val="29"/>
          <w:u w:color="0000E9"/>
        </w:rPr>
        <w:t>, 50</w:t>
      </w:r>
      <w:r>
        <w:rPr>
          <w:rFonts w:ascii="Calibri" w:hAnsi="Calibri" w:cs="Calibri"/>
          <w:u w:color="0000E9"/>
          <w:vertAlign w:val="superscript"/>
        </w:rPr>
        <w:t>th</w:t>
      </w:r>
      <w:r>
        <w:rPr>
          <w:rFonts w:ascii="Calibri" w:hAnsi="Calibri" w:cs="Calibri"/>
          <w:sz w:val="29"/>
          <w:szCs w:val="29"/>
          <w:u w:color="0000E9"/>
        </w:rPr>
        <w:t>, 60</w:t>
      </w:r>
      <w:r>
        <w:rPr>
          <w:rFonts w:ascii="Calibri" w:hAnsi="Calibri" w:cs="Calibri"/>
          <w:u w:color="0000E9"/>
          <w:vertAlign w:val="superscript"/>
        </w:rPr>
        <w:t>th</w:t>
      </w:r>
      <w:r>
        <w:rPr>
          <w:rFonts w:ascii="Calibri" w:hAnsi="Calibri" w:cs="Calibri"/>
          <w:sz w:val="29"/>
          <w:szCs w:val="29"/>
          <w:u w:color="0000E9"/>
        </w:rPr>
        <w:t>, 70</w:t>
      </w:r>
      <w:r>
        <w:rPr>
          <w:rFonts w:ascii="Calibri" w:hAnsi="Calibri" w:cs="Calibri"/>
          <w:u w:color="0000E9"/>
          <w:vertAlign w:val="superscript"/>
        </w:rPr>
        <w:t>th</w:t>
      </w:r>
      <w:r>
        <w:rPr>
          <w:rFonts w:ascii="Calibri" w:hAnsi="Calibri" w:cs="Calibri"/>
          <w:sz w:val="29"/>
          <w:szCs w:val="29"/>
          <w:u w:color="0000E9"/>
        </w:rPr>
        <w:t>, 80</w:t>
      </w:r>
      <w:r>
        <w:rPr>
          <w:rFonts w:ascii="Calibri" w:hAnsi="Calibri" w:cs="Calibri"/>
          <w:u w:color="0000E9"/>
          <w:vertAlign w:val="superscript"/>
        </w:rPr>
        <w:t>th</w:t>
      </w:r>
      <w:r>
        <w:rPr>
          <w:rFonts w:ascii="Calibri" w:hAnsi="Calibri" w:cs="Calibri"/>
          <w:sz w:val="29"/>
          <w:szCs w:val="29"/>
          <w:u w:color="0000E9"/>
        </w:rPr>
        <w:t>, and 90</w:t>
      </w:r>
      <w:r>
        <w:rPr>
          <w:rFonts w:ascii="Calibri" w:hAnsi="Calibri" w:cs="Calibri"/>
          <w:u w:color="0000E9"/>
          <w:vertAlign w:val="superscript"/>
        </w:rPr>
        <w:t>th</w:t>
      </w:r>
      <w:r>
        <w:rPr>
          <w:rFonts w:ascii="Calibri" w:hAnsi="Calibri" w:cs="Calibri"/>
          <w:sz w:val="29"/>
          <w:szCs w:val="29"/>
          <w:u w:color="0000E9"/>
        </w:rPr>
        <w:t xml:space="preserve"> percentiles were calculated based upon the empirical </w:t>
      </w:r>
      <w:proofErr w:type="spellStart"/>
      <w:r>
        <w:rPr>
          <w:rFonts w:ascii="Calibri" w:hAnsi="Calibri" w:cs="Calibri"/>
          <w:sz w:val="29"/>
          <w:szCs w:val="29"/>
          <w:u w:color="0000E9"/>
        </w:rPr>
        <w:t>decile</w:t>
      </w:r>
      <w:proofErr w:type="spellEnd"/>
      <w:r>
        <w:rPr>
          <w:rFonts w:ascii="Calibri" w:hAnsi="Calibri" w:cs="Calibri"/>
          <w:sz w:val="29"/>
          <w:szCs w:val="29"/>
          <w:u w:color="0000E9"/>
        </w:rPr>
        <w:t xml:space="preserve"> of the cohort’s prior year scaled score distribution</w:t>
      </w:r>
      <w:r>
        <w:rPr>
          <w:rFonts w:ascii="Calibri" w:hAnsi="Calibri" w:cs="Calibri"/>
          <w:color w:val="0000E9"/>
          <w:u w:val="single" w:color="0000E9"/>
          <w:vertAlign w:val="superscript"/>
        </w:rPr>
        <w:t>4</w:t>
      </w:r>
      <w:r>
        <w:rPr>
          <w:rFonts w:ascii="Calibri" w:hAnsi="Calibri" w:cs="Calibri"/>
          <w:sz w:val="29"/>
          <w:szCs w:val="29"/>
          <w:u w:color="0000E9"/>
        </w:rPr>
        <w:t>. With an infinite population of test takers, at each prior scaled score, with perfect model fit, the expectation is to have 10 percent of the estimated growth percentiles between 1 and 9, 10 and 19, 20 and 29</w:t>
      </w:r>
      <w:proofErr w:type="gramStart"/>
      <w:r>
        <w:rPr>
          <w:rFonts w:ascii="Calibri" w:hAnsi="Calibri" w:cs="Calibri"/>
          <w:sz w:val="29"/>
          <w:szCs w:val="29"/>
          <w:u w:color="0000E9"/>
        </w:rPr>
        <w:t>, …,</w:t>
      </w:r>
      <w:proofErr w:type="gramEnd"/>
      <w:r>
        <w:rPr>
          <w:rFonts w:ascii="Calibri" w:hAnsi="Calibri" w:cs="Calibri"/>
          <w:sz w:val="29"/>
          <w:szCs w:val="29"/>
          <w:u w:color="0000E9"/>
        </w:rPr>
        <w:t xml:space="preserve"> and 90 and 99. Deviations from 10 percent, indicated by red and blue shading, suggests lack of model fit. </w:t>
      </w:r>
      <w:proofErr w:type="gramStart"/>
      <w:r>
        <w:rPr>
          <w:rFonts w:ascii="Calibri" w:hAnsi="Calibri" w:cs="Calibri"/>
          <w:sz w:val="29"/>
          <w:szCs w:val="29"/>
          <w:u w:color="0000E9"/>
        </w:rPr>
        <w:t xml:space="preserve">The further </w:t>
      </w:r>
      <w:r>
        <w:rPr>
          <w:rFonts w:ascii="Calibri" w:hAnsi="Calibri" w:cs="Calibri"/>
          <w:i/>
          <w:iCs/>
          <w:sz w:val="29"/>
          <w:szCs w:val="29"/>
          <w:u w:color="0000E9"/>
        </w:rPr>
        <w:t>above</w:t>
      </w:r>
      <w:r>
        <w:rPr>
          <w:rFonts w:ascii="Calibri" w:hAnsi="Calibri" w:cs="Calibri"/>
          <w:sz w:val="29"/>
          <w:szCs w:val="29"/>
          <w:u w:color="0000E9"/>
        </w:rPr>
        <w:t xml:space="preserve"> 10 the darker the red, and the further </w:t>
      </w:r>
      <w:r>
        <w:rPr>
          <w:rFonts w:ascii="Calibri" w:hAnsi="Calibri" w:cs="Calibri"/>
          <w:i/>
          <w:iCs/>
          <w:sz w:val="29"/>
          <w:szCs w:val="29"/>
          <w:u w:color="0000E9"/>
        </w:rPr>
        <w:t>below</w:t>
      </w:r>
      <w:r>
        <w:rPr>
          <w:rFonts w:ascii="Calibri" w:hAnsi="Calibri" w:cs="Calibri"/>
          <w:sz w:val="29"/>
          <w:szCs w:val="29"/>
          <w:u w:color="0000E9"/>
        </w:rPr>
        <w:t xml:space="preserve"> 10 the darker the blue.</w:t>
      </w:r>
      <w:proofErr w:type="gramEnd"/>
    </w:p>
    <w:p w14:paraId="135D8BBC"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When large deviations occur, one likely cause is a clustering of scale scores that makes it impossible to “split” the score at a dividing point forcing a majority of the scores into an adjacent cell. This occurs more often in lowest grade levels where fewer prior scores are available (particularly in the lowest grade when only a single prior is available). Another common cause of this is small cohort size (e.g. fewer than 5,000 students).</w:t>
      </w:r>
    </w:p>
    <w:p w14:paraId="06C65ABB"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bottom right panel of each plot is a Q-Q </w:t>
      </w:r>
      <w:proofErr w:type="gramStart"/>
      <w:r>
        <w:rPr>
          <w:rFonts w:ascii="Calibri" w:hAnsi="Calibri" w:cs="Calibri"/>
          <w:sz w:val="29"/>
          <w:szCs w:val="29"/>
          <w:u w:color="0000E9"/>
        </w:rPr>
        <w:t>plot</w:t>
      </w:r>
      <w:proofErr w:type="gramEnd"/>
      <w:r>
        <w:rPr>
          <w:rFonts w:ascii="Calibri" w:hAnsi="Calibri" w:cs="Calibri"/>
          <w:sz w:val="29"/>
          <w:szCs w:val="29"/>
          <w:u w:color="0000E9"/>
        </w:rPr>
        <w:t xml:space="preserve"> which compares the observed distribution of SGPs with the theoretical (uniform) distribution. An ideal plot here will show black step function lines that do not deviate greatly from the ideal, red line which traces the 45 degree angle of perfect fit.</w:t>
      </w:r>
    </w:p>
    <w:p w14:paraId="02936A97"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 xml:space="preserve">4.1.1 </w:t>
      </w:r>
      <w:proofErr w:type="gramStart"/>
      <w:r>
        <w:rPr>
          <w:rFonts w:ascii="Cambria" w:hAnsi="Cambria" w:cs="Cambria"/>
          <w:b/>
          <w:bCs/>
          <w:color w:val="3F6CAF"/>
          <w:sz w:val="29"/>
          <w:szCs w:val="29"/>
          <w:u w:color="0000E9"/>
        </w:rPr>
        <w:t>Unadjusted</w:t>
      </w:r>
      <w:proofErr w:type="gramEnd"/>
      <w:r>
        <w:rPr>
          <w:rFonts w:ascii="Cambria" w:hAnsi="Cambria" w:cs="Cambria"/>
          <w:b/>
          <w:bCs/>
          <w:color w:val="3F6CAF"/>
          <w:sz w:val="29"/>
          <w:szCs w:val="29"/>
          <w:u w:color="0000E9"/>
        </w:rPr>
        <w:t xml:space="preserve"> model fit</w:t>
      </w:r>
    </w:p>
    <w:p w14:paraId="6C6CCE3D"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model fit plots for the unadjusted, cohort-referenced model results in all subjects are excellent with few exceptions (see Appendix A for all model fit plots). Figure 1 </w:t>
      </w:r>
      <w:proofErr w:type="gramStart"/>
      <w:r>
        <w:rPr>
          <w:rFonts w:ascii="Calibri" w:hAnsi="Calibri" w:cs="Calibri"/>
          <w:sz w:val="29"/>
          <w:szCs w:val="29"/>
          <w:u w:color="0000E9"/>
        </w:rPr>
        <w:t>displays</w:t>
      </w:r>
      <w:proofErr w:type="gramEnd"/>
      <w:r>
        <w:rPr>
          <w:rFonts w:ascii="Calibri" w:hAnsi="Calibri" w:cs="Calibri"/>
          <w:sz w:val="29"/>
          <w:szCs w:val="29"/>
          <w:u w:color="0000E9"/>
        </w:rPr>
        <w:t xml:space="preserve"> the 8</w:t>
      </w:r>
      <w:r>
        <w:rPr>
          <w:rFonts w:ascii="Calibri" w:hAnsi="Calibri" w:cs="Calibri"/>
          <w:u w:color="0000E9"/>
          <w:vertAlign w:val="superscript"/>
        </w:rPr>
        <w:t>th</w:t>
      </w:r>
      <w:r>
        <w:rPr>
          <w:rFonts w:ascii="Calibri" w:hAnsi="Calibri" w:cs="Calibri"/>
          <w:sz w:val="29"/>
          <w:szCs w:val="29"/>
          <w:u w:color="0000E9"/>
        </w:rPr>
        <w:t xml:space="preserve"> grade ELA model as an exemplar of model fit, and Figure 2 is an Integrated Mathematics 1 progression which exemplifies the extent to which model misfit is present in the PARCC SGP analyses.</w:t>
      </w:r>
    </w:p>
    <w:p w14:paraId="2530DA86" w14:textId="77777777" w:rsidR="0059589C" w:rsidRDefault="0059589C" w:rsidP="008A5243">
      <w:pPr>
        <w:widowControl w:val="0"/>
        <w:autoSpaceDE w:val="0"/>
        <w:autoSpaceDN w:val="0"/>
        <w:adjustRightInd w:val="0"/>
        <w:rPr>
          <w:rFonts w:ascii="Cambria" w:hAnsi="Cambria" w:cs="Cambria"/>
          <w:color w:val="1C2F4B"/>
          <w:sz w:val="29"/>
          <w:szCs w:val="29"/>
          <w:u w:color="0000E9"/>
        </w:rPr>
      </w:pPr>
    </w:p>
    <w:p w14:paraId="5E3C017F" w14:textId="77777777" w:rsidR="008A5243" w:rsidRDefault="008A5243" w:rsidP="008A5243">
      <w:pPr>
        <w:widowControl w:val="0"/>
        <w:autoSpaceDE w:val="0"/>
        <w:autoSpaceDN w:val="0"/>
        <w:adjustRightInd w:val="0"/>
        <w:rPr>
          <w:rFonts w:ascii="Cambria" w:hAnsi="Cambria" w:cs="Cambria"/>
          <w:color w:val="1C2F4B"/>
          <w:sz w:val="29"/>
          <w:szCs w:val="29"/>
          <w:u w:color="0000E9"/>
        </w:rPr>
      </w:pPr>
      <w:r>
        <w:rPr>
          <w:rFonts w:ascii="Cambria" w:hAnsi="Cambria" w:cs="Cambria"/>
          <w:b/>
          <w:bCs/>
          <w:color w:val="1C2F4B"/>
          <w:sz w:val="29"/>
          <w:szCs w:val="29"/>
          <w:u w:color="0000E9"/>
        </w:rPr>
        <w:t>Figure 1:</w:t>
      </w:r>
      <w:r>
        <w:rPr>
          <w:rFonts w:ascii="Cambria" w:hAnsi="Cambria" w:cs="Cambria"/>
          <w:color w:val="1C2F4B"/>
          <w:sz w:val="29"/>
          <w:szCs w:val="29"/>
          <w:u w:color="0000E9"/>
        </w:rPr>
        <w:t xml:space="preserve"> Goodness of Fit Plot for 2016 </w:t>
      </w:r>
      <w:r>
        <w:rPr>
          <w:rFonts w:ascii="Cambria" w:hAnsi="Cambria" w:cs="Cambria"/>
          <w:b/>
          <w:bCs/>
          <w:i/>
          <w:iCs/>
          <w:color w:val="1C2F4B"/>
          <w:sz w:val="29"/>
          <w:szCs w:val="29"/>
          <w:u w:color="0000E9"/>
        </w:rPr>
        <w:t>Unadjusted</w:t>
      </w:r>
      <w:r>
        <w:rPr>
          <w:rFonts w:ascii="Cambria" w:hAnsi="Cambria" w:cs="Cambria"/>
          <w:color w:val="1C2F4B"/>
          <w:sz w:val="29"/>
          <w:szCs w:val="29"/>
          <w:u w:color="0000E9"/>
        </w:rPr>
        <w:t xml:space="preserve"> 8</w:t>
      </w:r>
      <w:r>
        <w:rPr>
          <w:rFonts w:ascii="Cambria" w:hAnsi="Cambria" w:cs="Cambria"/>
          <w:color w:val="1C2F4B"/>
          <w:u w:color="0000E9"/>
          <w:vertAlign w:val="superscript"/>
        </w:rPr>
        <w:t>th</w:t>
      </w:r>
      <w:r>
        <w:rPr>
          <w:rFonts w:ascii="Cambria" w:hAnsi="Cambria" w:cs="Cambria"/>
          <w:color w:val="1C2F4B"/>
          <w:sz w:val="29"/>
          <w:szCs w:val="29"/>
          <w:u w:color="0000E9"/>
        </w:rPr>
        <w:t xml:space="preserve"> Grade ELA: Example of good model fit.</w:t>
      </w:r>
    </w:p>
    <w:p w14:paraId="3F125588" w14:textId="77777777" w:rsidR="008A5243" w:rsidRDefault="0059589C" w:rsidP="008A5243">
      <w:pPr>
        <w:widowControl w:val="0"/>
        <w:autoSpaceDE w:val="0"/>
        <w:autoSpaceDN w:val="0"/>
        <w:adjustRightInd w:val="0"/>
        <w:rPr>
          <w:rFonts w:ascii="Calibri" w:hAnsi="Calibri" w:cs="Calibri"/>
          <w:sz w:val="29"/>
          <w:szCs w:val="29"/>
          <w:u w:color="0000E9"/>
        </w:rPr>
      </w:pPr>
      <w:r>
        <w:rPr>
          <w:rFonts w:ascii="Calibri" w:hAnsi="Calibri" w:cs="Calibri"/>
          <w:noProof/>
          <w:sz w:val="29"/>
          <w:szCs w:val="29"/>
          <w:u w:color="0000E9"/>
          <w:lang w:eastAsia="en-US"/>
        </w:rPr>
        <w:drawing>
          <wp:inline distT="0" distB="0" distL="0" distR="0" wp14:anchorId="1B763EF9" wp14:editId="225A94B9">
            <wp:extent cx="5632912" cy="5295900"/>
            <wp:effectExtent l="0" t="0" r="6350" b="0"/>
            <wp:docPr id="8" name="Picture 8" descr="GoGoGo:Users:avi:Dropbox (SGP):Github_Repos:Documentation:PARCC:SGP_Reports:PARCC:img:Goodness_of_Fit:ELA.2015_2016.2:gofSGP_Grad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GoGo:Users:avi:Dropbox (SGP):Github_Repos:Documentation:PARCC:SGP_Reports:PARCC:img:Goodness_of_Fit:ELA.2015_2016.2:gofSGP_Grade_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2912" cy="5295900"/>
                    </a:xfrm>
                    <a:prstGeom prst="rect">
                      <a:avLst/>
                    </a:prstGeom>
                    <a:noFill/>
                    <a:ln>
                      <a:noFill/>
                    </a:ln>
                  </pic:spPr>
                </pic:pic>
              </a:graphicData>
            </a:graphic>
          </wp:inline>
        </w:drawing>
      </w:r>
    </w:p>
    <w:p w14:paraId="3D680791" w14:textId="77777777" w:rsidR="0059589C" w:rsidRDefault="0059589C" w:rsidP="008A5243">
      <w:pPr>
        <w:widowControl w:val="0"/>
        <w:autoSpaceDE w:val="0"/>
        <w:autoSpaceDN w:val="0"/>
        <w:adjustRightInd w:val="0"/>
        <w:rPr>
          <w:rFonts w:ascii="Calibri" w:hAnsi="Calibri" w:cs="Calibri"/>
          <w:sz w:val="29"/>
          <w:szCs w:val="29"/>
          <w:u w:color="0000E9"/>
        </w:rPr>
      </w:pPr>
    </w:p>
    <w:p w14:paraId="5AF7124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Minor misfit in the Integrated Mathematics 1 model is likely due to the relatively small cohort size (1,261 students), which consists of a relatively homogenous group of high achieving students who skipped 8</w:t>
      </w:r>
      <w:r>
        <w:rPr>
          <w:rFonts w:ascii="Calibri" w:hAnsi="Calibri" w:cs="Calibri"/>
          <w:u w:color="0000E9"/>
          <w:vertAlign w:val="superscript"/>
        </w:rPr>
        <w:t>th</w:t>
      </w:r>
      <w:r>
        <w:rPr>
          <w:rFonts w:ascii="Calibri" w:hAnsi="Calibri" w:cs="Calibri"/>
          <w:sz w:val="29"/>
          <w:szCs w:val="29"/>
          <w:u w:color="0000E9"/>
        </w:rPr>
        <w:t xml:space="preserve"> grade mathematics to take a high school level mathematics course. Both of these cohort restrictions can lead to modeling problems, but we still note a relatively good distribution of SGP values across the entire spectrum of prior test score achievement. The indication of a potential ceiling effect is not surprising given the prior achievement homogeneity of the cohort, but may be overstated given the range of scores included in the HOSS and students scoring just below the HOSS with low SGP are less concerning. This situation is investigated in detail in Appendix C.</w:t>
      </w:r>
    </w:p>
    <w:p w14:paraId="53841384" w14:textId="77777777" w:rsidR="0059589C" w:rsidRDefault="0059589C" w:rsidP="008A5243">
      <w:pPr>
        <w:widowControl w:val="0"/>
        <w:autoSpaceDE w:val="0"/>
        <w:autoSpaceDN w:val="0"/>
        <w:adjustRightInd w:val="0"/>
        <w:rPr>
          <w:rFonts w:ascii="Cambria" w:hAnsi="Cambria" w:cs="Cambria"/>
          <w:color w:val="1C2F4B"/>
          <w:sz w:val="29"/>
          <w:szCs w:val="29"/>
          <w:u w:color="0000E9"/>
        </w:rPr>
      </w:pPr>
    </w:p>
    <w:p w14:paraId="0CED88DF" w14:textId="77777777" w:rsidR="0059589C" w:rsidRDefault="0059589C" w:rsidP="008A5243">
      <w:pPr>
        <w:widowControl w:val="0"/>
        <w:autoSpaceDE w:val="0"/>
        <w:autoSpaceDN w:val="0"/>
        <w:adjustRightInd w:val="0"/>
        <w:rPr>
          <w:rFonts w:ascii="Cambria" w:hAnsi="Cambria" w:cs="Cambria"/>
          <w:color w:val="1C2F4B"/>
          <w:sz w:val="29"/>
          <w:szCs w:val="29"/>
          <w:u w:color="0000E9"/>
        </w:rPr>
      </w:pPr>
    </w:p>
    <w:p w14:paraId="0FA8854B" w14:textId="77777777" w:rsidR="008A5243" w:rsidRDefault="008A5243" w:rsidP="008A5243">
      <w:pPr>
        <w:widowControl w:val="0"/>
        <w:autoSpaceDE w:val="0"/>
        <w:autoSpaceDN w:val="0"/>
        <w:adjustRightInd w:val="0"/>
        <w:rPr>
          <w:rFonts w:ascii="Cambria" w:hAnsi="Cambria" w:cs="Cambria"/>
          <w:color w:val="1C2F4B"/>
          <w:sz w:val="29"/>
          <w:szCs w:val="29"/>
          <w:u w:color="0000E9"/>
        </w:rPr>
      </w:pPr>
      <w:r>
        <w:rPr>
          <w:rFonts w:ascii="Cambria" w:hAnsi="Cambria" w:cs="Cambria"/>
          <w:b/>
          <w:bCs/>
          <w:color w:val="1C2F4B"/>
          <w:sz w:val="29"/>
          <w:szCs w:val="29"/>
          <w:u w:color="0000E9"/>
        </w:rPr>
        <w:t>Figure 2:</w:t>
      </w:r>
      <w:r>
        <w:rPr>
          <w:rFonts w:ascii="Cambria" w:hAnsi="Cambria" w:cs="Cambria"/>
          <w:color w:val="1C2F4B"/>
          <w:sz w:val="29"/>
          <w:szCs w:val="29"/>
          <w:u w:color="0000E9"/>
        </w:rPr>
        <w:t xml:space="preserve"> Goodness of Fit Plot for a 2016 </w:t>
      </w:r>
      <w:r>
        <w:rPr>
          <w:rFonts w:ascii="Cambria" w:hAnsi="Cambria" w:cs="Cambria"/>
          <w:b/>
          <w:bCs/>
          <w:i/>
          <w:iCs/>
          <w:color w:val="1C2F4B"/>
          <w:sz w:val="29"/>
          <w:szCs w:val="29"/>
          <w:u w:color="0000E9"/>
        </w:rPr>
        <w:t>Unadjusted</w:t>
      </w:r>
      <w:r>
        <w:rPr>
          <w:rFonts w:ascii="Cambria" w:hAnsi="Cambria" w:cs="Cambria"/>
          <w:color w:val="1C2F4B"/>
          <w:sz w:val="29"/>
          <w:szCs w:val="29"/>
          <w:u w:color="0000E9"/>
        </w:rPr>
        <w:t xml:space="preserve"> Integrated Mathematics 1 Progression: Example of slight model </w:t>
      </w:r>
      <w:proofErr w:type="spellStart"/>
      <w:r>
        <w:rPr>
          <w:rFonts w:ascii="Cambria" w:hAnsi="Cambria" w:cs="Cambria"/>
          <w:color w:val="1C2F4B"/>
          <w:sz w:val="29"/>
          <w:szCs w:val="29"/>
          <w:u w:color="0000E9"/>
        </w:rPr>
        <w:t>mis</w:t>
      </w:r>
      <w:proofErr w:type="spellEnd"/>
      <w:r>
        <w:rPr>
          <w:rFonts w:ascii="Cambria" w:hAnsi="Cambria" w:cs="Cambria"/>
          <w:color w:val="1C2F4B"/>
          <w:sz w:val="29"/>
          <w:szCs w:val="29"/>
          <w:u w:color="0000E9"/>
        </w:rPr>
        <w:t>-fit.</w:t>
      </w:r>
    </w:p>
    <w:p w14:paraId="4F0E3D27" w14:textId="77777777" w:rsidR="008A5243" w:rsidRDefault="0059589C" w:rsidP="008A5243">
      <w:pPr>
        <w:widowControl w:val="0"/>
        <w:autoSpaceDE w:val="0"/>
        <w:autoSpaceDN w:val="0"/>
        <w:adjustRightInd w:val="0"/>
        <w:rPr>
          <w:rFonts w:ascii="Calibri" w:hAnsi="Calibri" w:cs="Calibri"/>
          <w:sz w:val="29"/>
          <w:szCs w:val="29"/>
          <w:u w:color="0000E9"/>
        </w:rPr>
      </w:pPr>
      <w:r>
        <w:rPr>
          <w:rFonts w:ascii="Calibri" w:hAnsi="Calibri" w:cs="Calibri"/>
          <w:noProof/>
          <w:sz w:val="29"/>
          <w:szCs w:val="29"/>
          <w:u w:color="0000E9"/>
          <w:lang w:eastAsia="en-US"/>
        </w:rPr>
        <w:drawing>
          <wp:inline distT="0" distB="0" distL="0" distR="0" wp14:anchorId="080854E0" wp14:editId="42ACDCC8">
            <wp:extent cx="5092584" cy="4787900"/>
            <wp:effectExtent l="0" t="0" r="0" b="0"/>
            <wp:docPr id="9" name="Picture 9" descr="GoGoGo:Users:avi:Dropbox (SGP):Github_Repos:Documentation:PARCC:SGP_Reports:PARCC:img:Goodness_of_Fit:INTEGRATED_MATH_1.2015_2016.2:2015_2016_2_INTEGRATED_MATH_1_EOCT;2014_2015_2_MATH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GoGo:Users:avi:Dropbox (SGP):Github_Repos:Documentation:PARCC:SGP_Reports:PARCC:img:Goodness_of_Fit:INTEGRATED_MATH_1.2015_2016.2:2015_2016_2_INTEGRATED_MATH_1_EOCT;2014_2015_2_MATH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991" cy="4789223"/>
                    </a:xfrm>
                    <a:prstGeom prst="rect">
                      <a:avLst/>
                    </a:prstGeom>
                    <a:noFill/>
                    <a:ln>
                      <a:noFill/>
                    </a:ln>
                  </pic:spPr>
                </pic:pic>
              </a:graphicData>
            </a:graphic>
          </wp:inline>
        </w:drawing>
      </w:r>
    </w:p>
    <w:p w14:paraId="704CCFC4"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4.1.2 SIMEX model fit</w:t>
      </w:r>
    </w:p>
    <w:p w14:paraId="4DCB80CC"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Although the </w:t>
      </w:r>
      <w:r>
        <w:rPr>
          <w:rFonts w:ascii="Calibri" w:hAnsi="Calibri" w:cs="Calibri"/>
          <w:i/>
          <w:iCs/>
          <w:sz w:val="29"/>
          <w:szCs w:val="29"/>
          <w:u w:color="0000E9"/>
        </w:rPr>
        <w:t>official</w:t>
      </w:r>
      <w:r>
        <w:rPr>
          <w:rFonts w:ascii="Calibri" w:hAnsi="Calibri" w:cs="Calibri"/>
          <w:sz w:val="29"/>
          <w:szCs w:val="29"/>
          <w:u w:color="0000E9"/>
        </w:rPr>
        <w:t xml:space="preserve"> PARCC SGPs do not incorporate SIMEX measurement error correction, we provide the adjusted model fit plots here to compare with unadjusted models. Note that both models presented here use the same student data as those in the section above.</w:t>
      </w:r>
    </w:p>
    <w:p w14:paraId="1318EFD9"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SIMEX model fit is not expected to be perfect. In these models we </w:t>
      </w:r>
      <w:r>
        <w:rPr>
          <w:rFonts w:ascii="Calibri" w:hAnsi="Calibri" w:cs="Calibri"/>
          <w:b/>
          <w:bCs/>
          <w:i/>
          <w:iCs/>
          <w:sz w:val="29"/>
          <w:szCs w:val="29"/>
          <w:u w:color="0000E9"/>
        </w:rPr>
        <w:t>expect misfit</w:t>
      </w:r>
      <w:r>
        <w:rPr>
          <w:rFonts w:ascii="Calibri" w:hAnsi="Calibri" w:cs="Calibri"/>
          <w:sz w:val="29"/>
          <w:szCs w:val="29"/>
          <w:u w:color="0000E9"/>
        </w:rPr>
        <w:t xml:space="preserve"> in the form of increased high SGPs for students with lower prior performance (and a complementary decrease in low SGPs for those students), and the reverse expectation for high achieving students. This is visible in the goodness of fit plots in Figure 3 where the SIMEX correction method has been applied to the 8</w:t>
      </w:r>
      <w:r>
        <w:rPr>
          <w:rFonts w:ascii="Calibri" w:hAnsi="Calibri" w:cs="Calibri"/>
          <w:u w:color="0000E9"/>
          <w:vertAlign w:val="superscript"/>
        </w:rPr>
        <w:t>th</w:t>
      </w:r>
      <w:r>
        <w:rPr>
          <w:rFonts w:ascii="Calibri" w:hAnsi="Calibri" w:cs="Calibri"/>
          <w:sz w:val="29"/>
          <w:szCs w:val="29"/>
          <w:u w:color="0000E9"/>
        </w:rPr>
        <w:t xml:space="preserve"> grade ELA model, and Figure 4 for the same Integrated Mathematics 1 progression as presented above. Most notable is the shift from blue to red in the top half (and corresponding red to blue shift in the bottom half) of the “Student Growth Percentile Range” panel.</w:t>
      </w:r>
    </w:p>
    <w:p w14:paraId="3EB6143A"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patterns observed in these two charts suggest that the SIMEX model adjustments are behaving as expected.</w:t>
      </w:r>
    </w:p>
    <w:p w14:paraId="6A32B7FB" w14:textId="77777777" w:rsidR="008A5243" w:rsidRDefault="008A5243" w:rsidP="008A5243">
      <w:pPr>
        <w:widowControl w:val="0"/>
        <w:autoSpaceDE w:val="0"/>
        <w:autoSpaceDN w:val="0"/>
        <w:adjustRightInd w:val="0"/>
        <w:rPr>
          <w:rFonts w:ascii="Calibri" w:hAnsi="Calibri" w:cs="Calibri"/>
          <w:sz w:val="29"/>
          <w:szCs w:val="29"/>
          <w:u w:color="0000E9"/>
        </w:rPr>
      </w:pPr>
    </w:p>
    <w:p w14:paraId="36C8F9E4" w14:textId="77777777" w:rsidR="008A5243" w:rsidRDefault="008A5243" w:rsidP="008A5243">
      <w:pPr>
        <w:widowControl w:val="0"/>
        <w:autoSpaceDE w:val="0"/>
        <w:autoSpaceDN w:val="0"/>
        <w:adjustRightInd w:val="0"/>
        <w:rPr>
          <w:rFonts w:ascii="Cambria" w:hAnsi="Cambria" w:cs="Cambria"/>
          <w:color w:val="1C2F4B"/>
          <w:sz w:val="29"/>
          <w:szCs w:val="29"/>
          <w:u w:color="0000E9"/>
        </w:rPr>
      </w:pPr>
      <w:r>
        <w:rPr>
          <w:rFonts w:ascii="Cambria" w:hAnsi="Cambria" w:cs="Cambria"/>
          <w:b/>
          <w:bCs/>
          <w:color w:val="1C2F4B"/>
          <w:sz w:val="29"/>
          <w:szCs w:val="29"/>
          <w:u w:color="0000E9"/>
        </w:rPr>
        <w:t>Figure 3:</w:t>
      </w:r>
      <w:r>
        <w:rPr>
          <w:rFonts w:ascii="Cambria" w:hAnsi="Cambria" w:cs="Cambria"/>
          <w:color w:val="1C2F4B"/>
          <w:sz w:val="29"/>
          <w:szCs w:val="29"/>
          <w:u w:color="0000E9"/>
        </w:rPr>
        <w:t xml:space="preserve"> Goodness of Fit Plot for 2016 </w:t>
      </w:r>
      <w:r>
        <w:rPr>
          <w:rFonts w:ascii="Cambria" w:hAnsi="Cambria" w:cs="Cambria"/>
          <w:b/>
          <w:bCs/>
          <w:i/>
          <w:iCs/>
          <w:color w:val="1C2F4B"/>
          <w:sz w:val="29"/>
          <w:szCs w:val="29"/>
          <w:u w:color="0000E9"/>
        </w:rPr>
        <w:t>SIMEX Corrected,</w:t>
      </w:r>
      <w:r>
        <w:rPr>
          <w:rFonts w:ascii="Cambria" w:hAnsi="Cambria" w:cs="Cambria"/>
          <w:color w:val="1C2F4B"/>
          <w:sz w:val="29"/>
          <w:szCs w:val="29"/>
          <w:u w:color="0000E9"/>
        </w:rPr>
        <w:t xml:space="preserve"> 8</w:t>
      </w:r>
      <w:r>
        <w:rPr>
          <w:rFonts w:ascii="Cambria" w:hAnsi="Cambria" w:cs="Cambria"/>
          <w:color w:val="1C2F4B"/>
          <w:u w:color="0000E9"/>
          <w:vertAlign w:val="superscript"/>
        </w:rPr>
        <w:t>th</w:t>
      </w:r>
      <w:r>
        <w:rPr>
          <w:rFonts w:ascii="Cambria" w:hAnsi="Cambria" w:cs="Cambria"/>
          <w:color w:val="1C2F4B"/>
          <w:sz w:val="29"/>
          <w:szCs w:val="29"/>
          <w:u w:color="0000E9"/>
        </w:rPr>
        <w:t xml:space="preserve"> Grade ELA.</w:t>
      </w:r>
    </w:p>
    <w:p w14:paraId="57277445" w14:textId="77777777" w:rsidR="008A5243" w:rsidRDefault="0059589C" w:rsidP="008A5243">
      <w:pPr>
        <w:widowControl w:val="0"/>
        <w:autoSpaceDE w:val="0"/>
        <w:autoSpaceDN w:val="0"/>
        <w:adjustRightInd w:val="0"/>
        <w:rPr>
          <w:rFonts w:ascii="Calibri" w:hAnsi="Calibri" w:cs="Calibri"/>
          <w:sz w:val="29"/>
          <w:szCs w:val="29"/>
          <w:u w:color="0000E9"/>
        </w:rPr>
      </w:pPr>
      <w:bookmarkStart w:id="0" w:name="_GoBack"/>
      <w:r>
        <w:rPr>
          <w:rFonts w:ascii="Calibri" w:hAnsi="Calibri" w:cs="Calibri"/>
          <w:noProof/>
          <w:sz w:val="29"/>
          <w:szCs w:val="29"/>
          <w:u w:color="0000E9"/>
          <w:lang w:eastAsia="en-US"/>
        </w:rPr>
        <w:drawing>
          <wp:inline distT="0" distB="0" distL="0" distR="0" wp14:anchorId="7C9EC277" wp14:editId="719738F4">
            <wp:extent cx="5335731" cy="5016500"/>
            <wp:effectExtent l="0" t="0" r="0" b="0"/>
            <wp:docPr id="11" name="Picture 11" descr="GoGoGo:Users:avi:Dropbox (SGP):Github_Repos:Documentation:PARCC:SGP_Reports:PARCC:img:Goodness_of_Fit:ELA.2015_2016.2.SIMEX:gofSGP_Grad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GoGo:Users:avi:Dropbox (SGP):Github_Repos:Documentation:PARCC:SGP_Reports:PARCC:img:Goodness_of_Fit:ELA.2015_2016.2.SIMEX:gofSGP_Grade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744" cy="5017452"/>
                    </a:xfrm>
                    <a:prstGeom prst="rect">
                      <a:avLst/>
                    </a:prstGeom>
                    <a:noFill/>
                    <a:ln>
                      <a:noFill/>
                    </a:ln>
                  </pic:spPr>
                </pic:pic>
              </a:graphicData>
            </a:graphic>
          </wp:inline>
        </w:drawing>
      </w:r>
      <w:bookmarkEnd w:id="0"/>
    </w:p>
    <w:p w14:paraId="1FA4701B" w14:textId="77777777" w:rsidR="0059589C" w:rsidRDefault="0059589C" w:rsidP="008A5243">
      <w:pPr>
        <w:widowControl w:val="0"/>
        <w:autoSpaceDE w:val="0"/>
        <w:autoSpaceDN w:val="0"/>
        <w:adjustRightInd w:val="0"/>
        <w:rPr>
          <w:rFonts w:ascii="Cambria" w:hAnsi="Cambria" w:cs="Cambria"/>
          <w:color w:val="1C2F4B"/>
          <w:sz w:val="29"/>
          <w:szCs w:val="29"/>
          <w:u w:color="0000E9"/>
        </w:rPr>
      </w:pPr>
    </w:p>
    <w:p w14:paraId="026D8B03" w14:textId="77777777" w:rsidR="0059589C" w:rsidRDefault="0059589C" w:rsidP="008A5243">
      <w:pPr>
        <w:widowControl w:val="0"/>
        <w:autoSpaceDE w:val="0"/>
        <w:autoSpaceDN w:val="0"/>
        <w:adjustRightInd w:val="0"/>
        <w:rPr>
          <w:rFonts w:ascii="Cambria" w:hAnsi="Cambria" w:cs="Cambria"/>
          <w:color w:val="1C2F4B"/>
          <w:sz w:val="29"/>
          <w:szCs w:val="29"/>
          <w:u w:color="0000E9"/>
        </w:rPr>
      </w:pPr>
    </w:p>
    <w:p w14:paraId="3F7AA557" w14:textId="77777777" w:rsidR="008A5243" w:rsidRDefault="008A5243" w:rsidP="008A5243">
      <w:pPr>
        <w:widowControl w:val="0"/>
        <w:autoSpaceDE w:val="0"/>
        <w:autoSpaceDN w:val="0"/>
        <w:adjustRightInd w:val="0"/>
        <w:rPr>
          <w:rFonts w:ascii="Cambria" w:hAnsi="Cambria" w:cs="Cambria"/>
          <w:color w:val="1C2F4B"/>
          <w:sz w:val="29"/>
          <w:szCs w:val="29"/>
          <w:u w:color="0000E9"/>
        </w:rPr>
      </w:pPr>
      <w:r>
        <w:rPr>
          <w:rFonts w:ascii="Cambria" w:hAnsi="Cambria" w:cs="Cambria"/>
          <w:b/>
          <w:bCs/>
          <w:color w:val="1C2F4B"/>
          <w:sz w:val="29"/>
          <w:szCs w:val="29"/>
          <w:u w:color="0000E9"/>
        </w:rPr>
        <w:t>Figure 4:</w:t>
      </w:r>
      <w:r>
        <w:rPr>
          <w:rFonts w:ascii="Cambria" w:hAnsi="Cambria" w:cs="Cambria"/>
          <w:color w:val="1C2F4B"/>
          <w:sz w:val="29"/>
          <w:szCs w:val="29"/>
          <w:u w:color="0000E9"/>
        </w:rPr>
        <w:t xml:space="preserve"> Goodness of Fit Plot for a 2016 </w:t>
      </w:r>
      <w:r>
        <w:rPr>
          <w:rFonts w:ascii="Cambria" w:hAnsi="Cambria" w:cs="Cambria"/>
          <w:b/>
          <w:bCs/>
          <w:i/>
          <w:iCs/>
          <w:color w:val="1C2F4B"/>
          <w:sz w:val="29"/>
          <w:szCs w:val="29"/>
          <w:u w:color="0000E9"/>
        </w:rPr>
        <w:t>SIMEX Corrected,</w:t>
      </w:r>
      <w:r>
        <w:rPr>
          <w:rFonts w:ascii="Cambria" w:hAnsi="Cambria" w:cs="Cambria"/>
          <w:color w:val="1C2F4B"/>
          <w:sz w:val="29"/>
          <w:szCs w:val="29"/>
          <w:u w:color="0000E9"/>
        </w:rPr>
        <w:t xml:space="preserve"> Integrated Mathematics 1 Progression.</w:t>
      </w:r>
    </w:p>
    <w:p w14:paraId="5F25DDBD" w14:textId="77777777" w:rsidR="008A5243" w:rsidRDefault="0059589C" w:rsidP="008A5243">
      <w:pPr>
        <w:widowControl w:val="0"/>
        <w:autoSpaceDE w:val="0"/>
        <w:autoSpaceDN w:val="0"/>
        <w:adjustRightInd w:val="0"/>
        <w:rPr>
          <w:rFonts w:ascii="Calibri" w:hAnsi="Calibri" w:cs="Calibri"/>
          <w:sz w:val="29"/>
          <w:szCs w:val="29"/>
          <w:u w:color="0000E9"/>
        </w:rPr>
      </w:pPr>
      <w:r>
        <w:rPr>
          <w:rFonts w:ascii="Calibri" w:hAnsi="Calibri" w:cs="Calibri"/>
          <w:noProof/>
          <w:sz w:val="29"/>
          <w:szCs w:val="29"/>
          <w:u w:color="0000E9"/>
          <w:lang w:eastAsia="en-US"/>
        </w:rPr>
        <w:drawing>
          <wp:inline distT="0" distB="0" distL="0" distR="0" wp14:anchorId="5170CDDE" wp14:editId="6F96A6C5">
            <wp:extent cx="5943600" cy="5588000"/>
            <wp:effectExtent l="0" t="0" r="0" b="0"/>
            <wp:docPr id="10" name="Picture 10" descr="GoGoGo:Users:avi:Dropbox (SGP):Github_Repos:Documentation:PARCC:SGP_Reports:PARCC:img:Goodness_of_Fit:INTEGRATED_MATH_1.2015_2016.2.SIMEX:2015_2016_2_INTEGRATED_MATH_1_EOCT;2014_2015_2_MATH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GoGo:Users:avi:Dropbox (SGP):Github_Repos:Documentation:PARCC:SGP_Reports:PARCC:img:Goodness_of_Fit:INTEGRATED_MATH_1.2015_2016.2.SIMEX:2015_2016_2_INTEGRATED_MATH_1_EOCT;2014_2015_2_MATH_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88000"/>
                    </a:xfrm>
                    <a:prstGeom prst="rect">
                      <a:avLst/>
                    </a:prstGeom>
                    <a:noFill/>
                    <a:ln>
                      <a:noFill/>
                    </a:ln>
                  </pic:spPr>
                </pic:pic>
              </a:graphicData>
            </a:graphic>
          </wp:inline>
        </w:drawing>
      </w:r>
    </w:p>
    <w:p w14:paraId="4AB8720D"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 xml:space="preserve">4.2 </w:t>
      </w:r>
      <w:proofErr w:type="gramStart"/>
      <w:r>
        <w:rPr>
          <w:rFonts w:ascii="Cambria" w:hAnsi="Cambria" w:cs="Cambria"/>
          <w:b/>
          <w:bCs/>
          <w:color w:val="3F6CAF"/>
          <w:sz w:val="34"/>
          <w:szCs w:val="34"/>
          <w:u w:color="0000E9"/>
        </w:rPr>
        <w:t>Growth</w:t>
      </w:r>
      <w:proofErr w:type="gramEnd"/>
      <w:r>
        <w:rPr>
          <w:rFonts w:ascii="Cambria" w:hAnsi="Cambria" w:cs="Cambria"/>
          <w:b/>
          <w:bCs/>
          <w:color w:val="3F6CAF"/>
          <w:sz w:val="34"/>
          <w:szCs w:val="34"/>
          <w:u w:color="0000E9"/>
        </w:rPr>
        <w:t xml:space="preserve"> and Prior Achievement at the Student Level</w:t>
      </w:r>
    </w:p>
    <w:p w14:paraId="20FC472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To investigate the possibility that individual level misfit might impact summary level results, student level SGP results were examined relative to prior achievement. With perfect fit to data, the correlation between students’ most recent prior achievement scores and their student growth percentiles is zero (i.e., the goodness of fit tables would have a uniform distribution of percentiles across all previous scale score levels). To investigate in another way, correlations between </w:t>
      </w:r>
      <w:r>
        <w:rPr>
          <w:rFonts w:ascii="Calibri" w:hAnsi="Calibri" w:cs="Calibri"/>
          <w:b/>
          <w:bCs/>
          <w:sz w:val="29"/>
          <w:szCs w:val="29"/>
          <w:u w:color="0000E9"/>
        </w:rPr>
        <w:t>a)</w:t>
      </w:r>
      <w:r>
        <w:rPr>
          <w:rFonts w:ascii="Calibri" w:hAnsi="Calibri" w:cs="Calibri"/>
          <w:sz w:val="29"/>
          <w:szCs w:val="29"/>
          <w:u w:color="0000E9"/>
        </w:rPr>
        <w:t xml:space="preserve"> prior and current scale scores (achievement) and </w:t>
      </w:r>
      <w:r>
        <w:rPr>
          <w:rFonts w:ascii="Calibri" w:hAnsi="Calibri" w:cs="Calibri"/>
          <w:b/>
          <w:bCs/>
          <w:sz w:val="29"/>
          <w:szCs w:val="29"/>
          <w:u w:color="0000E9"/>
        </w:rPr>
        <w:t>b)</w:t>
      </w:r>
      <w:r>
        <w:rPr>
          <w:rFonts w:ascii="Calibri" w:hAnsi="Calibri" w:cs="Calibri"/>
          <w:sz w:val="29"/>
          <w:szCs w:val="29"/>
          <w:u w:color="0000E9"/>
        </w:rPr>
        <w:t xml:space="preserve"> prior score and student growth percentiles were calculated. Evidence of good model fit begins with a strong positive relationship between prior and current achievement, which suggests that growth is detectable and modeling it is reasonable. A lack of relationship (zero correlation) between prior achievement and growth confirms that the model has fit the data well and produced a uniform distribution of percentiles across all previous scale score levels.</w:t>
      </w:r>
    </w:p>
    <w:p w14:paraId="09414768"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Student-level correlation coefficients (</w:t>
      </w:r>
      <w:r>
        <w:rPr>
          <w:rFonts w:ascii="Calibri" w:hAnsi="Calibri" w:cs="Calibri"/>
          <w:noProof/>
          <w:sz w:val="29"/>
          <w:szCs w:val="29"/>
          <w:u w:color="0000E9"/>
          <w:lang w:eastAsia="en-US"/>
        </w:rPr>
        <w:drawing>
          <wp:inline distT="0" distB="0" distL="0" distR="0" wp14:anchorId="0188CDB4" wp14:editId="784828DC">
            <wp:extent cx="114300" cy="127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27000"/>
                    </a:xfrm>
                    <a:prstGeom prst="rect">
                      <a:avLst/>
                    </a:prstGeom>
                    <a:noFill/>
                    <a:ln>
                      <a:noFill/>
                    </a:ln>
                  </pic:spPr>
                </pic:pic>
              </a:graphicData>
            </a:graphic>
          </wp:inline>
        </w:drawing>
      </w:r>
      <w:r>
        <w:rPr>
          <w:rFonts w:ascii="Calibri" w:hAnsi="Calibri" w:cs="Calibri"/>
          <w:sz w:val="29"/>
          <w:szCs w:val="29"/>
          <w:u w:color="0000E9"/>
        </w:rPr>
        <w:t>) for grade level subjects are presented in Table 3, and the results are generally as expected. Strong relationships exist between prior and current scale scores for the grade level analyses (column 3). With cohort-referenced (unadjusted) percentiles, the correlation between students’ most recent prior achievement scores and their student growth percentiles is zero when the model is perfectly fit to the data. This also indicates that students can demonstrate high (or low) growth regardless of prior achievement. Correlations for the PARCC consortium’s unadjusted SGPs are all essentially zero (column 4).</w:t>
      </w:r>
    </w:p>
    <w:p w14:paraId="285D1DC6" w14:textId="77777777" w:rsidR="008A5243" w:rsidRDefault="008A5243" w:rsidP="008A5243">
      <w:pPr>
        <w:widowControl w:val="0"/>
        <w:autoSpaceDE w:val="0"/>
        <w:autoSpaceDN w:val="0"/>
        <w:adjustRightInd w:val="0"/>
        <w:rPr>
          <w:rFonts w:ascii="Calibri" w:hAnsi="Calibri" w:cs="Calibri"/>
          <w:color w:val="0000E9"/>
          <w:u w:val="single" w:color="0000E9"/>
          <w:vertAlign w:val="superscript"/>
        </w:rPr>
      </w:pPr>
      <w:r>
        <w:rPr>
          <w:rFonts w:ascii="Calibri" w:hAnsi="Calibri" w:cs="Calibri"/>
          <w:sz w:val="29"/>
          <w:szCs w:val="29"/>
          <w:u w:color="0000E9"/>
        </w:rPr>
        <w:t>SIMEX corrected SGPs induce a negative correlation between growth and prior achievement. Rather than a uniform distribution, SIMEX produces a distribution in which growth for lower prior achieving students’ is weighted upward and higher achieving students’ growth is weighted down. In theory, this bias in student-level SGPs may decrease the bias in aggregate growth measures (Shang et al., 2015). Subsequently, the correlations between both student- and aggregate-level “unadjusted” SGPs and prior achievement are typically higher than those with SIMEX corrected SGPs.</w:t>
      </w:r>
      <w:r>
        <w:rPr>
          <w:rFonts w:ascii="Calibri" w:hAnsi="Calibri" w:cs="Calibri"/>
          <w:color w:val="0000E9"/>
          <w:u w:val="single" w:color="0000E9"/>
          <w:vertAlign w:val="superscript"/>
        </w:rPr>
        <w:t>5</w:t>
      </w:r>
    </w:p>
    <w:p w14:paraId="174C093A" w14:textId="77777777" w:rsidR="008A5243" w:rsidRDefault="008A5243" w:rsidP="008A5243">
      <w:pPr>
        <w:widowControl w:val="0"/>
        <w:autoSpaceDE w:val="0"/>
        <w:autoSpaceDN w:val="0"/>
        <w:adjustRightInd w:val="0"/>
        <w:rPr>
          <w:rFonts w:ascii="Calibri" w:hAnsi="Calibri" w:cs="Calibri"/>
          <w:sz w:val="29"/>
          <w:szCs w:val="29"/>
          <w:u w:color="0000E9"/>
        </w:rPr>
      </w:pPr>
    </w:p>
    <w:p w14:paraId="5B0AB6CF"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4.2.1 Grade level subjects</w:t>
      </w:r>
    </w:p>
    <w:p w14:paraId="4513FAA4"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p>
    <w:tbl>
      <w:tblPr>
        <w:tblW w:w="11574" w:type="dxa"/>
        <w:tblInd w:w="-566" w:type="dxa"/>
        <w:tblBorders>
          <w:top w:val="nil"/>
          <w:left w:val="nil"/>
          <w:right w:val="nil"/>
        </w:tblBorders>
        <w:tblLayout w:type="fixed"/>
        <w:tblLook w:val="0000" w:firstRow="0" w:lastRow="0" w:firstColumn="0" w:lastColumn="0" w:noHBand="0" w:noVBand="0"/>
      </w:tblPr>
      <w:tblGrid>
        <w:gridCol w:w="2399"/>
        <w:gridCol w:w="1114"/>
        <w:gridCol w:w="2323"/>
        <w:gridCol w:w="1243"/>
        <w:gridCol w:w="2848"/>
        <w:gridCol w:w="1647"/>
      </w:tblGrid>
      <w:tr w:rsidR="008A5243" w14:paraId="07FF5F3A" w14:textId="77777777" w:rsidTr="008A5243">
        <w:tblPrEx>
          <w:tblCellMar>
            <w:top w:w="0" w:type="dxa"/>
            <w:bottom w:w="0" w:type="dxa"/>
          </w:tblCellMar>
        </w:tblPrEx>
        <w:tc>
          <w:tcPr>
            <w:tcW w:w="11574" w:type="dxa"/>
            <w:gridSpan w:val="6"/>
            <w:tcMar>
              <w:top w:w="80" w:type="nil"/>
              <w:left w:w="80" w:type="nil"/>
              <w:bottom w:w="40" w:type="nil"/>
              <w:right w:w="80" w:type="nil"/>
            </w:tcMar>
            <w:vAlign w:val="center"/>
          </w:tcPr>
          <w:p w14:paraId="2A833E7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3:</w:t>
            </w:r>
            <w:r>
              <w:rPr>
                <w:rFonts w:ascii="Arial" w:hAnsi="Arial" w:cs="Arial"/>
                <w:sz w:val="26"/>
                <w:szCs w:val="26"/>
                <w:u w:color="0000E9"/>
              </w:rPr>
              <w:t xml:space="preserve"> Student Level Correlations between Prior Standardized Scale Score and 1) Current Scale Score, 2) SGP and 3) SIMEX SGP.</w:t>
            </w:r>
          </w:p>
        </w:tc>
      </w:tr>
      <w:tr w:rsidR="008A5243" w14:paraId="0FC0EE80" w14:textId="77777777" w:rsidTr="008A5243">
        <w:tblPrEx>
          <w:tblBorders>
            <w:top w:val="none" w:sz="0" w:space="0" w:color="auto"/>
          </w:tblBorders>
          <w:tblCellMar>
            <w:top w:w="0" w:type="dxa"/>
            <w:bottom w:w="0" w:type="dxa"/>
          </w:tblCellMar>
        </w:tblPrEx>
        <w:tc>
          <w:tcPr>
            <w:tcW w:w="2399" w:type="dxa"/>
            <w:tcBorders>
              <w:top w:val="single" w:sz="16" w:space="0" w:color="6D6D6D"/>
              <w:bottom w:val="single" w:sz="8" w:space="0" w:color="6D6D6D"/>
            </w:tcBorders>
            <w:tcMar>
              <w:top w:w="20" w:type="nil"/>
              <w:left w:w="20" w:type="nil"/>
              <w:bottom w:w="20" w:type="nil"/>
              <w:right w:w="20" w:type="nil"/>
            </w:tcMar>
            <w:vAlign w:val="center"/>
          </w:tcPr>
          <w:p w14:paraId="6AF4F64E"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1114" w:type="dxa"/>
            <w:tcBorders>
              <w:top w:val="single" w:sz="16" w:space="0" w:color="6D6D6D"/>
              <w:bottom w:val="single" w:sz="8" w:space="0" w:color="6D6D6D"/>
            </w:tcBorders>
            <w:tcMar>
              <w:top w:w="20" w:type="nil"/>
              <w:left w:w="20" w:type="nil"/>
              <w:bottom w:w="20" w:type="nil"/>
              <w:right w:w="20" w:type="nil"/>
            </w:tcMar>
            <w:vAlign w:val="center"/>
          </w:tcPr>
          <w:p w14:paraId="5299FE0E"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w:t>
            </w:r>
          </w:p>
        </w:tc>
        <w:tc>
          <w:tcPr>
            <w:tcW w:w="2323" w:type="dxa"/>
            <w:tcBorders>
              <w:top w:val="single" w:sz="16" w:space="0" w:color="6D6D6D"/>
              <w:bottom w:val="single" w:sz="8" w:space="0" w:color="6D6D6D"/>
            </w:tcBorders>
            <w:tcMar>
              <w:top w:w="20" w:type="nil"/>
              <w:left w:w="20" w:type="nil"/>
              <w:bottom w:w="20" w:type="nil"/>
              <w:right w:w="20" w:type="nil"/>
            </w:tcMar>
            <w:vAlign w:val="center"/>
          </w:tcPr>
          <w:p w14:paraId="78B4325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03548227" wp14:editId="5C11C558">
                  <wp:extent cx="10033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0" cy="190500"/>
                          </a:xfrm>
                          <a:prstGeom prst="rect">
                            <a:avLst/>
                          </a:prstGeom>
                          <a:noFill/>
                          <a:ln>
                            <a:noFill/>
                          </a:ln>
                        </pic:spPr>
                      </pic:pic>
                    </a:graphicData>
                  </a:graphic>
                </wp:inline>
              </w:drawing>
            </w:r>
          </w:p>
        </w:tc>
        <w:tc>
          <w:tcPr>
            <w:tcW w:w="1243" w:type="dxa"/>
            <w:tcBorders>
              <w:top w:val="single" w:sz="16" w:space="0" w:color="6D6D6D"/>
              <w:bottom w:val="single" w:sz="8" w:space="0" w:color="6D6D6D"/>
            </w:tcBorders>
            <w:tcMar>
              <w:top w:w="20" w:type="nil"/>
              <w:left w:w="20" w:type="nil"/>
              <w:bottom w:w="20" w:type="nil"/>
              <w:right w:w="20" w:type="nil"/>
            </w:tcMar>
            <w:vAlign w:val="center"/>
          </w:tcPr>
          <w:p w14:paraId="33FBB927"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30CC9D22" wp14:editId="34B4FBDE">
                  <wp:extent cx="533400" cy="190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2848" w:type="dxa"/>
            <w:tcBorders>
              <w:top w:val="single" w:sz="16" w:space="0" w:color="6D6D6D"/>
              <w:bottom w:val="single" w:sz="8" w:space="0" w:color="6D6D6D"/>
            </w:tcBorders>
            <w:tcMar>
              <w:top w:w="20" w:type="nil"/>
              <w:left w:w="20" w:type="nil"/>
              <w:bottom w:w="20" w:type="nil"/>
              <w:right w:w="20" w:type="nil"/>
            </w:tcMar>
            <w:vAlign w:val="center"/>
          </w:tcPr>
          <w:p w14:paraId="5AFAD1B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1E2F3750" wp14:editId="1469AC5E">
                  <wp:extent cx="1231900" cy="190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1900" cy="190500"/>
                          </a:xfrm>
                          <a:prstGeom prst="rect">
                            <a:avLst/>
                          </a:prstGeom>
                          <a:noFill/>
                          <a:ln>
                            <a:noFill/>
                          </a:ln>
                        </pic:spPr>
                      </pic:pic>
                    </a:graphicData>
                  </a:graphic>
                </wp:inline>
              </w:drawing>
            </w:r>
          </w:p>
        </w:tc>
        <w:tc>
          <w:tcPr>
            <w:tcW w:w="1647" w:type="dxa"/>
            <w:tcBorders>
              <w:top w:val="single" w:sz="16" w:space="0" w:color="6D6D6D"/>
              <w:bottom w:val="single" w:sz="8" w:space="0" w:color="6D6D6D"/>
            </w:tcBorders>
            <w:tcMar>
              <w:top w:w="20" w:type="nil"/>
              <w:left w:w="20" w:type="nil"/>
              <w:bottom w:w="20" w:type="nil"/>
              <w:right w:w="20" w:type="nil"/>
            </w:tcMar>
            <w:vAlign w:val="center"/>
          </w:tcPr>
          <w:p w14:paraId="634CAE2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N Size</w:t>
            </w:r>
          </w:p>
        </w:tc>
      </w:tr>
      <w:tr w:rsidR="008A5243" w14:paraId="732D30DF"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778A55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ELA</w:t>
            </w:r>
          </w:p>
        </w:tc>
        <w:tc>
          <w:tcPr>
            <w:tcW w:w="1114" w:type="dxa"/>
            <w:tcMar>
              <w:top w:w="80" w:type="nil"/>
              <w:left w:w="80" w:type="nil"/>
              <w:bottom w:w="40" w:type="nil"/>
              <w:right w:w="80" w:type="nil"/>
            </w:tcMar>
            <w:vAlign w:val="center"/>
          </w:tcPr>
          <w:p w14:paraId="10EDC8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w:t>
            </w:r>
          </w:p>
        </w:tc>
        <w:tc>
          <w:tcPr>
            <w:tcW w:w="2323" w:type="dxa"/>
            <w:tcMar>
              <w:top w:w="80" w:type="nil"/>
              <w:left w:w="80" w:type="nil"/>
              <w:bottom w:w="40" w:type="nil"/>
              <w:right w:w="80" w:type="nil"/>
            </w:tcMar>
            <w:vAlign w:val="center"/>
          </w:tcPr>
          <w:p w14:paraId="0D33108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0.81</w:t>
            </w:r>
          </w:p>
        </w:tc>
        <w:tc>
          <w:tcPr>
            <w:tcW w:w="1243" w:type="dxa"/>
            <w:tcMar>
              <w:top w:w="80" w:type="nil"/>
              <w:left w:w="80" w:type="nil"/>
              <w:bottom w:w="40" w:type="nil"/>
              <w:right w:w="80" w:type="nil"/>
            </w:tcMar>
            <w:vAlign w:val="center"/>
          </w:tcPr>
          <w:p w14:paraId="7B0CEB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39B1524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62AF1E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418,864</w:t>
            </w:r>
          </w:p>
        </w:tc>
      </w:tr>
      <w:tr w:rsidR="008A5243" w14:paraId="0CB556F6"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27B8DFB6"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7A6B16F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w:t>
            </w:r>
          </w:p>
        </w:tc>
        <w:tc>
          <w:tcPr>
            <w:tcW w:w="2323" w:type="dxa"/>
            <w:tcMar>
              <w:top w:w="80" w:type="nil"/>
              <w:left w:w="80" w:type="nil"/>
              <w:bottom w:w="40" w:type="nil"/>
              <w:right w:w="80" w:type="nil"/>
            </w:tcMar>
            <w:vAlign w:val="center"/>
          </w:tcPr>
          <w:p w14:paraId="795CF75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0.83</w:t>
            </w:r>
          </w:p>
        </w:tc>
        <w:tc>
          <w:tcPr>
            <w:tcW w:w="1243" w:type="dxa"/>
            <w:tcMar>
              <w:top w:w="80" w:type="nil"/>
              <w:left w:w="80" w:type="nil"/>
              <w:bottom w:w="40" w:type="nil"/>
              <w:right w:w="80" w:type="nil"/>
            </w:tcMar>
            <w:vAlign w:val="center"/>
          </w:tcPr>
          <w:p w14:paraId="7E8AB1E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29D6F1C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647" w:type="dxa"/>
            <w:tcMar>
              <w:top w:w="80" w:type="nil"/>
              <w:left w:w="80" w:type="nil"/>
              <w:bottom w:w="40" w:type="nil"/>
              <w:right w:w="80" w:type="nil"/>
            </w:tcMar>
            <w:vAlign w:val="center"/>
          </w:tcPr>
          <w:p w14:paraId="360584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415,473</w:t>
            </w:r>
          </w:p>
        </w:tc>
      </w:tr>
      <w:tr w:rsidR="008A5243" w14:paraId="17B64272"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23D5D24B"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5CF1403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w:t>
            </w:r>
          </w:p>
        </w:tc>
        <w:tc>
          <w:tcPr>
            <w:tcW w:w="2323" w:type="dxa"/>
            <w:tcMar>
              <w:top w:w="80" w:type="nil"/>
              <w:left w:w="80" w:type="nil"/>
              <w:bottom w:w="40" w:type="nil"/>
              <w:right w:w="80" w:type="nil"/>
            </w:tcMar>
            <w:vAlign w:val="center"/>
          </w:tcPr>
          <w:p w14:paraId="2E3873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0.82</w:t>
            </w:r>
          </w:p>
        </w:tc>
        <w:tc>
          <w:tcPr>
            <w:tcW w:w="1243" w:type="dxa"/>
            <w:tcMar>
              <w:top w:w="80" w:type="nil"/>
              <w:left w:w="80" w:type="nil"/>
              <w:bottom w:w="40" w:type="nil"/>
              <w:right w:w="80" w:type="nil"/>
            </w:tcMar>
            <w:vAlign w:val="center"/>
          </w:tcPr>
          <w:p w14:paraId="46B16F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2001C80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647" w:type="dxa"/>
            <w:tcMar>
              <w:top w:w="80" w:type="nil"/>
              <w:left w:w="80" w:type="nil"/>
              <w:bottom w:w="40" w:type="nil"/>
              <w:right w:w="80" w:type="nil"/>
            </w:tcMar>
            <w:vAlign w:val="center"/>
          </w:tcPr>
          <w:p w14:paraId="7F6318A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413,032</w:t>
            </w:r>
          </w:p>
        </w:tc>
      </w:tr>
      <w:tr w:rsidR="008A5243" w14:paraId="62DA8BD2"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461FDFAA"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4FD444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w:t>
            </w:r>
          </w:p>
        </w:tc>
        <w:tc>
          <w:tcPr>
            <w:tcW w:w="2323" w:type="dxa"/>
            <w:tcMar>
              <w:top w:w="80" w:type="nil"/>
              <w:left w:w="80" w:type="nil"/>
              <w:bottom w:w="40" w:type="nil"/>
              <w:right w:w="80" w:type="nil"/>
            </w:tcMar>
            <w:vAlign w:val="center"/>
          </w:tcPr>
          <w:p w14:paraId="1D61BB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0.84</w:t>
            </w:r>
          </w:p>
        </w:tc>
        <w:tc>
          <w:tcPr>
            <w:tcW w:w="1243" w:type="dxa"/>
            <w:tcMar>
              <w:top w:w="80" w:type="nil"/>
              <w:left w:w="80" w:type="nil"/>
              <w:bottom w:w="40" w:type="nil"/>
              <w:right w:w="80" w:type="nil"/>
            </w:tcMar>
            <w:vAlign w:val="center"/>
          </w:tcPr>
          <w:p w14:paraId="497277E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476F34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103F2E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406,161</w:t>
            </w:r>
          </w:p>
        </w:tc>
      </w:tr>
      <w:tr w:rsidR="008A5243" w14:paraId="5CD90C2E"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7532E894"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3D11682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w:t>
            </w:r>
          </w:p>
        </w:tc>
        <w:tc>
          <w:tcPr>
            <w:tcW w:w="2323" w:type="dxa"/>
            <w:tcMar>
              <w:top w:w="80" w:type="nil"/>
              <w:left w:w="80" w:type="nil"/>
              <w:bottom w:w="40" w:type="nil"/>
              <w:right w:w="80" w:type="nil"/>
            </w:tcMar>
            <w:vAlign w:val="center"/>
          </w:tcPr>
          <w:p w14:paraId="5FD694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0.84</w:t>
            </w:r>
          </w:p>
        </w:tc>
        <w:tc>
          <w:tcPr>
            <w:tcW w:w="1243" w:type="dxa"/>
            <w:tcMar>
              <w:top w:w="80" w:type="nil"/>
              <w:left w:w="80" w:type="nil"/>
              <w:bottom w:w="40" w:type="nil"/>
              <w:right w:w="80" w:type="nil"/>
            </w:tcMar>
            <w:vAlign w:val="center"/>
          </w:tcPr>
          <w:p w14:paraId="461108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16830E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3CBDEA7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395,857</w:t>
            </w:r>
          </w:p>
        </w:tc>
      </w:tr>
      <w:tr w:rsidR="008A5243" w14:paraId="4BD6641E"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0DB533F4"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7B96D9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w:t>
            </w:r>
          </w:p>
        </w:tc>
        <w:tc>
          <w:tcPr>
            <w:tcW w:w="2323" w:type="dxa"/>
            <w:tcMar>
              <w:top w:w="80" w:type="nil"/>
              <w:left w:w="80" w:type="nil"/>
              <w:bottom w:w="40" w:type="nil"/>
              <w:right w:w="80" w:type="nil"/>
            </w:tcMar>
            <w:vAlign w:val="center"/>
          </w:tcPr>
          <w:p w14:paraId="6511B7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0.80</w:t>
            </w:r>
          </w:p>
        </w:tc>
        <w:tc>
          <w:tcPr>
            <w:tcW w:w="1243" w:type="dxa"/>
            <w:tcMar>
              <w:top w:w="80" w:type="nil"/>
              <w:left w:w="80" w:type="nil"/>
              <w:bottom w:w="40" w:type="nil"/>
              <w:right w:w="80" w:type="nil"/>
            </w:tcMar>
            <w:vAlign w:val="center"/>
          </w:tcPr>
          <w:p w14:paraId="73BA1D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45FAE8E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45C5AE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232,915</w:t>
            </w:r>
          </w:p>
        </w:tc>
      </w:tr>
      <w:tr w:rsidR="008A5243" w14:paraId="03AF0AAB"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7ACBAEAF"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72F95CF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w:t>
            </w:r>
          </w:p>
        </w:tc>
        <w:tc>
          <w:tcPr>
            <w:tcW w:w="2323" w:type="dxa"/>
            <w:tcMar>
              <w:top w:w="80" w:type="nil"/>
              <w:left w:w="80" w:type="nil"/>
              <w:bottom w:w="40" w:type="nil"/>
              <w:right w:w="80" w:type="nil"/>
            </w:tcMar>
            <w:vAlign w:val="center"/>
          </w:tcPr>
          <w:p w14:paraId="6370776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0.78</w:t>
            </w:r>
          </w:p>
        </w:tc>
        <w:tc>
          <w:tcPr>
            <w:tcW w:w="1243" w:type="dxa"/>
            <w:tcMar>
              <w:top w:w="80" w:type="nil"/>
              <w:left w:w="80" w:type="nil"/>
              <w:bottom w:w="40" w:type="nil"/>
              <w:right w:w="80" w:type="nil"/>
            </w:tcMar>
            <w:vAlign w:val="center"/>
          </w:tcPr>
          <w:p w14:paraId="6CA268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2D951F7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-0.06</w:t>
            </w:r>
          </w:p>
        </w:tc>
        <w:tc>
          <w:tcPr>
            <w:tcW w:w="1647" w:type="dxa"/>
            <w:tcMar>
              <w:top w:w="80" w:type="nil"/>
              <w:left w:w="80" w:type="nil"/>
              <w:bottom w:w="40" w:type="nil"/>
              <w:right w:w="80" w:type="nil"/>
            </w:tcMar>
            <w:vAlign w:val="center"/>
          </w:tcPr>
          <w:p w14:paraId="4CE4E19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104,692</w:t>
            </w:r>
          </w:p>
        </w:tc>
      </w:tr>
      <w:tr w:rsidR="008A5243" w14:paraId="5CB2B639"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6D38E70F"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3B05195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w:t>
            </w:r>
          </w:p>
        </w:tc>
        <w:tc>
          <w:tcPr>
            <w:tcW w:w="2323" w:type="dxa"/>
            <w:tcMar>
              <w:top w:w="80" w:type="nil"/>
              <w:left w:w="80" w:type="nil"/>
              <w:bottom w:w="40" w:type="nil"/>
              <w:right w:w="80" w:type="nil"/>
            </w:tcMar>
            <w:vAlign w:val="center"/>
          </w:tcPr>
          <w:p w14:paraId="4DAA18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0.72</w:t>
            </w:r>
          </w:p>
        </w:tc>
        <w:tc>
          <w:tcPr>
            <w:tcW w:w="1243" w:type="dxa"/>
            <w:tcMar>
              <w:top w:w="80" w:type="nil"/>
              <w:left w:w="80" w:type="nil"/>
              <w:bottom w:w="40" w:type="nil"/>
              <w:right w:w="80" w:type="nil"/>
            </w:tcMar>
            <w:vAlign w:val="center"/>
          </w:tcPr>
          <w:p w14:paraId="116FC8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08622A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-0.05</w:t>
            </w:r>
          </w:p>
        </w:tc>
        <w:tc>
          <w:tcPr>
            <w:tcW w:w="1647" w:type="dxa"/>
            <w:tcMar>
              <w:top w:w="80" w:type="nil"/>
              <w:left w:w="80" w:type="nil"/>
              <w:bottom w:w="40" w:type="nil"/>
              <w:right w:w="80" w:type="nil"/>
            </w:tcMar>
            <w:vAlign w:val="center"/>
          </w:tcPr>
          <w:p w14:paraId="38F2FB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86,252</w:t>
            </w:r>
          </w:p>
        </w:tc>
      </w:tr>
      <w:tr w:rsidR="008A5243" w14:paraId="1F782A3E"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4F057E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w:t>
            </w:r>
          </w:p>
        </w:tc>
        <w:tc>
          <w:tcPr>
            <w:tcW w:w="1114" w:type="dxa"/>
            <w:tcMar>
              <w:top w:w="80" w:type="nil"/>
              <w:left w:w="80" w:type="nil"/>
              <w:bottom w:w="40" w:type="nil"/>
              <w:right w:w="80" w:type="nil"/>
            </w:tcMar>
            <w:vAlign w:val="center"/>
          </w:tcPr>
          <w:p w14:paraId="20E12C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w:t>
            </w:r>
          </w:p>
        </w:tc>
        <w:tc>
          <w:tcPr>
            <w:tcW w:w="2323" w:type="dxa"/>
            <w:tcMar>
              <w:top w:w="80" w:type="nil"/>
              <w:left w:w="80" w:type="nil"/>
              <w:bottom w:w="40" w:type="nil"/>
              <w:right w:w="80" w:type="nil"/>
            </w:tcMar>
            <w:vAlign w:val="center"/>
          </w:tcPr>
          <w:p w14:paraId="7983242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0.84</w:t>
            </w:r>
          </w:p>
        </w:tc>
        <w:tc>
          <w:tcPr>
            <w:tcW w:w="1243" w:type="dxa"/>
            <w:tcMar>
              <w:top w:w="80" w:type="nil"/>
              <w:left w:w="80" w:type="nil"/>
              <w:bottom w:w="40" w:type="nil"/>
              <w:right w:w="80" w:type="nil"/>
            </w:tcMar>
            <w:vAlign w:val="center"/>
          </w:tcPr>
          <w:p w14:paraId="370ECE6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4E10FDF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7CECB2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422,426</w:t>
            </w:r>
          </w:p>
        </w:tc>
      </w:tr>
      <w:tr w:rsidR="008A5243" w14:paraId="3F8A352D"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5FF94DEF"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7A2FB99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w:t>
            </w:r>
          </w:p>
        </w:tc>
        <w:tc>
          <w:tcPr>
            <w:tcW w:w="2323" w:type="dxa"/>
            <w:tcMar>
              <w:top w:w="80" w:type="nil"/>
              <w:left w:w="80" w:type="nil"/>
              <w:bottom w:w="40" w:type="nil"/>
              <w:right w:w="80" w:type="nil"/>
            </w:tcMar>
            <w:vAlign w:val="center"/>
          </w:tcPr>
          <w:p w14:paraId="13F0BC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0.85</w:t>
            </w:r>
          </w:p>
        </w:tc>
        <w:tc>
          <w:tcPr>
            <w:tcW w:w="1243" w:type="dxa"/>
            <w:tcMar>
              <w:top w:w="80" w:type="nil"/>
              <w:left w:w="80" w:type="nil"/>
              <w:bottom w:w="40" w:type="nil"/>
              <w:right w:w="80" w:type="nil"/>
            </w:tcMar>
            <w:vAlign w:val="center"/>
          </w:tcPr>
          <w:p w14:paraId="157DC16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1470E9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647" w:type="dxa"/>
            <w:tcMar>
              <w:top w:w="80" w:type="nil"/>
              <w:left w:w="80" w:type="nil"/>
              <w:bottom w:w="40" w:type="nil"/>
              <w:right w:w="80" w:type="nil"/>
            </w:tcMar>
            <w:vAlign w:val="center"/>
          </w:tcPr>
          <w:p w14:paraId="4AAF3B7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417,351</w:t>
            </w:r>
          </w:p>
        </w:tc>
      </w:tr>
      <w:tr w:rsidR="008A5243" w14:paraId="7E8E5D70"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3426E879"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53B13DB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w:t>
            </w:r>
          </w:p>
        </w:tc>
        <w:tc>
          <w:tcPr>
            <w:tcW w:w="2323" w:type="dxa"/>
            <w:tcMar>
              <w:top w:w="80" w:type="nil"/>
              <w:left w:w="80" w:type="nil"/>
              <w:bottom w:w="40" w:type="nil"/>
              <w:right w:w="80" w:type="nil"/>
            </w:tcMar>
            <w:vAlign w:val="center"/>
          </w:tcPr>
          <w:p w14:paraId="5199E5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0.82</w:t>
            </w:r>
          </w:p>
        </w:tc>
        <w:tc>
          <w:tcPr>
            <w:tcW w:w="1243" w:type="dxa"/>
            <w:tcMar>
              <w:top w:w="80" w:type="nil"/>
              <w:left w:w="80" w:type="nil"/>
              <w:bottom w:w="40" w:type="nil"/>
              <w:right w:w="80" w:type="nil"/>
            </w:tcMar>
            <w:vAlign w:val="center"/>
          </w:tcPr>
          <w:p w14:paraId="17FCE2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5B998E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647" w:type="dxa"/>
            <w:tcMar>
              <w:top w:w="80" w:type="nil"/>
              <w:left w:w="80" w:type="nil"/>
              <w:bottom w:w="40" w:type="nil"/>
              <w:right w:w="80" w:type="nil"/>
            </w:tcMar>
            <w:vAlign w:val="center"/>
          </w:tcPr>
          <w:p w14:paraId="2CEF975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414,501</w:t>
            </w:r>
          </w:p>
        </w:tc>
      </w:tr>
      <w:tr w:rsidR="008A5243" w14:paraId="24455996" w14:textId="77777777" w:rsidTr="008A5243">
        <w:tblPrEx>
          <w:tblBorders>
            <w:top w:val="none" w:sz="0" w:space="0" w:color="auto"/>
          </w:tblBorders>
          <w:tblCellMar>
            <w:top w:w="0" w:type="dxa"/>
            <w:bottom w:w="0" w:type="dxa"/>
          </w:tblCellMar>
        </w:tblPrEx>
        <w:tc>
          <w:tcPr>
            <w:tcW w:w="2399" w:type="dxa"/>
            <w:tcMar>
              <w:top w:w="80" w:type="nil"/>
              <w:left w:w="80" w:type="nil"/>
              <w:bottom w:w="40" w:type="nil"/>
              <w:right w:w="80" w:type="nil"/>
            </w:tcMar>
            <w:vAlign w:val="center"/>
          </w:tcPr>
          <w:p w14:paraId="36A39AA8" w14:textId="77777777" w:rsidR="008A5243" w:rsidRDefault="008A5243">
            <w:pPr>
              <w:widowControl w:val="0"/>
              <w:autoSpaceDE w:val="0"/>
              <w:autoSpaceDN w:val="0"/>
              <w:adjustRightInd w:val="0"/>
              <w:rPr>
                <w:rFonts w:ascii="Arial" w:hAnsi="Arial" w:cs="Arial"/>
                <w:sz w:val="26"/>
                <w:szCs w:val="26"/>
                <w:u w:color="0000E9"/>
              </w:rPr>
            </w:pPr>
          </w:p>
        </w:tc>
        <w:tc>
          <w:tcPr>
            <w:tcW w:w="1114" w:type="dxa"/>
            <w:tcMar>
              <w:top w:w="80" w:type="nil"/>
              <w:left w:w="80" w:type="nil"/>
              <w:bottom w:w="40" w:type="nil"/>
              <w:right w:w="80" w:type="nil"/>
            </w:tcMar>
            <w:vAlign w:val="center"/>
          </w:tcPr>
          <w:p w14:paraId="3D70FA5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w:t>
            </w:r>
          </w:p>
        </w:tc>
        <w:tc>
          <w:tcPr>
            <w:tcW w:w="2323" w:type="dxa"/>
            <w:tcMar>
              <w:top w:w="80" w:type="nil"/>
              <w:left w:w="80" w:type="nil"/>
              <w:bottom w:w="40" w:type="nil"/>
              <w:right w:w="80" w:type="nil"/>
            </w:tcMar>
            <w:vAlign w:val="center"/>
          </w:tcPr>
          <w:p w14:paraId="3241D2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0.83</w:t>
            </w:r>
          </w:p>
        </w:tc>
        <w:tc>
          <w:tcPr>
            <w:tcW w:w="1243" w:type="dxa"/>
            <w:tcMar>
              <w:top w:w="80" w:type="nil"/>
              <w:left w:w="80" w:type="nil"/>
              <w:bottom w:w="40" w:type="nil"/>
              <w:right w:w="80" w:type="nil"/>
            </w:tcMar>
            <w:vAlign w:val="center"/>
          </w:tcPr>
          <w:p w14:paraId="2225DCC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Mar>
              <w:top w:w="80" w:type="nil"/>
              <w:left w:w="80" w:type="nil"/>
              <w:bottom w:w="40" w:type="nil"/>
              <w:right w:w="80" w:type="nil"/>
            </w:tcMar>
            <w:vAlign w:val="center"/>
          </w:tcPr>
          <w:p w14:paraId="2193940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647" w:type="dxa"/>
            <w:tcMar>
              <w:top w:w="80" w:type="nil"/>
              <w:left w:w="80" w:type="nil"/>
              <w:bottom w:w="40" w:type="nil"/>
              <w:right w:w="80" w:type="nil"/>
            </w:tcMar>
            <w:vAlign w:val="center"/>
          </w:tcPr>
          <w:p w14:paraId="35A2092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391,096</w:t>
            </w:r>
          </w:p>
        </w:tc>
      </w:tr>
      <w:tr w:rsidR="008A5243" w14:paraId="3640DF21" w14:textId="77777777" w:rsidTr="008A5243">
        <w:tblPrEx>
          <w:tblCellMar>
            <w:top w:w="0" w:type="dxa"/>
            <w:bottom w:w="0" w:type="dxa"/>
          </w:tblCellMar>
        </w:tblPrEx>
        <w:tc>
          <w:tcPr>
            <w:tcW w:w="2399" w:type="dxa"/>
            <w:tcBorders>
              <w:bottom w:val="single" w:sz="16" w:space="0" w:color="6D6D6D"/>
            </w:tcBorders>
            <w:tcMar>
              <w:top w:w="80" w:type="nil"/>
              <w:left w:w="80" w:type="nil"/>
              <w:bottom w:w="40" w:type="nil"/>
              <w:right w:w="80" w:type="nil"/>
            </w:tcMar>
            <w:vAlign w:val="center"/>
          </w:tcPr>
          <w:p w14:paraId="138A891D" w14:textId="77777777" w:rsidR="008A5243" w:rsidRDefault="008A5243">
            <w:pPr>
              <w:widowControl w:val="0"/>
              <w:autoSpaceDE w:val="0"/>
              <w:autoSpaceDN w:val="0"/>
              <w:adjustRightInd w:val="0"/>
              <w:rPr>
                <w:rFonts w:ascii="Arial" w:hAnsi="Arial" w:cs="Arial"/>
                <w:sz w:val="26"/>
                <w:szCs w:val="26"/>
                <w:u w:color="0000E9"/>
              </w:rPr>
            </w:pPr>
          </w:p>
        </w:tc>
        <w:tc>
          <w:tcPr>
            <w:tcW w:w="1114" w:type="dxa"/>
            <w:tcBorders>
              <w:bottom w:val="single" w:sz="16" w:space="0" w:color="6D6D6D"/>
            </w:tcBorders>
            <w:tcMar>
              <w:top w:w="80" w:type="nil"/>
              <w:left w:w="80" w:type="nil"/>
              <w:bottom w:w="40" w:type="nil"/>
              <w:right w:w="80" w:type="nil"/>
            </w:tcMar>
            <w:vAlign w:val="center"/>
          </w:tcPr>
          <w:p w14:paraId="44BAEB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w:t>
            </w:r>
          </w:p>
        </w:tc>
        <w:tc>
          <w:tcPr>
            <w:tcW w:w="2323" w:type="dxa"/>
            <w:tcBorders>
              <w:bottom w:val="single" w:sz="16" w:space="0" w:color="6D6D6D"/>
            </w:tcBorders>
            <w:tcMar>
              <w:top w:w="80" w:type="nil"/>
              <w:left w:w="80" w:type="nil"/>
              <w:bottom w:w="40" w:type="nil"/>
              <w:right w:w="80" w:type="nil"/>
            </w:tcMar>
            <w:vAlign w:val="center"/>
          </w:tcPr>
          <w:p w14:paraId="51DC64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0.79</w:t>
            </w:r>
          </w:p>
        </w:tc>
        <w:tc>
          <w:tcPr>
            <w:tcW w:w="1243" w:type="dxa"/>
            <w:tcBorders>
              <w:bottom w:val="single" w:sz="16" w:space="0" w:color="6D6D6D"/>
            </w:tcBorders>
            <w:tcMar>
              <w:top w:w="80" w:type="nil"/>
              <w:left w:w="80" w:type="nil"/>
              <w:bottom w:w="40" w:type="nil"/>
              <w:right w:w="80" w:type="nil"/>
            </w:tcMar>
            <w:vAlign w:val="center"/>
          </w:tcPr>
          <w:p w14:paraId="0F0D3B1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2848" w:type="dxa"/>
            <w:tcBorders>
              <w:bottom w:val="single" w:sz="16" w:space="0" w:color="6D6D6D"/>
            </w:tcBorders>
            <w:tcMar>
              <w:top w:w="80" w:type="nil"/>
              <w:left w:w="80" w:type="nil"/>
              <w:bottom w:w="40" w:type="nil"/>
              <w:right w:w="80" w:type="nil"/>
            </w:tcMar>
            <w:vAlign w:val="center"/>
          </w:tcPr>
          <w:p w14:paraId="099FFF6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1647" w:type="dxa"/>
            <w:tcBorders>
              <w:bottom w:val="single" w:sz="16" w:space="0" w:color="6D6D6D"/>
            </w:tcBorders>
            <w:tcMar>
              <w:top w:w="80" w:type="nil"/>
              <w:left w:w="80" w:type="nil"/>
              <w:bottom w:w="40" w:type="nil"/>
              <w:right w:w="80" w:type="nil"/>
            </w:tcMar>
            <w:vAlign w:val="center"/>
          </w:tcPr>
          <w:p w14:paraId="5A16C2E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312,787</w:t>
            </w:r>
          </w:p>
        </w:tc>
      </w:tr>
    </w:tbl>
    <w:p w14:paraId="71BCD771"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p>
    <w:p w14:paraId="74A1FDD0"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4.2.2 EOCT Subjects</w:t>
      </w:r>
    </w:p>
    <w:p w14:paraId="059306D5"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Each EOCT subject is analyzed using more than one sequence of prior subjects, grades and years, and these unique progressions are disaggregated in Table 4 using the most recent prior available for each norm group (although more prior years’ scores can be used in SGP calculations when available). Unless otherwise noted, all priors are from the </w:t>
      </w:r>
      <w:proofErr w:type="gramStart"/>
      <w:r>
        <w:rPr>
          <w:rFonts w:ascii="Calibri" w:hAnsi="Calibri" w:cs="Calibri"/>
          <w:sz w:val="29"/>
          <w:szCs w:val="29"/>
          <w:u w:color="0000E9"/>
        </w:rPr>
        <w:t>Spring</w:t>
      </w:r>
      <w:proofErr w:type="gramEnd"/>
      <w:r>
        <w:rPr>
          <w:rFonts w:ascii="Calibri" w:hAnsi="Calibri" w:cs="Calibri"/>
          <w:sz w:val="29"/>
          <w:szCs w:val="29"/>
          <w:u w:color="0000E9"/>
        </w:rPr>
        <w:t xml:space="preserve"> of 2015. The correlations between current EOCT and prior test score are generally lower than in the grade level norm groups, and overall lower correlations may be expected in EOCT subjects due to the change in specific subject from one course to the next.</w:t>
      </w:r>
    </w:p>
    <w:p w14:paraId="7479CD00"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relationships between growth and prior achievement reported in Table 4 are still non-existent for cohort referenced SGPs and slightly negative after SIMEX correction. These results are as expected for appropriate fit to the respective models as discussed in the grade level section above.</w:t>
      </w:r>
    </w:p>
    <w:p w14:paraId="7FBA7EF8" w14:textId="77777777" w:rsidR="008A5243" w:rsidRDefault="008A5243" w:rsidP="008A5243">
      <w:pPr>
        <w:widowControl w:val="0"/>
        <w:autoSpaceDE w:val="0"/>
        <w:autoSpaceDN w:val="0"/>
        <w:adjustRightInd w:val="0"/>
        <w:rPr>
          <w:rFonts w:ascii="Calibri" w:hAnsi="Calibri" w:cs="Calibri"/>
          <w:sz w:val="29"/>
          <w:szCs w:val="29"/>
          <w:u w:color="0000E9"/>
        </w:rPr>
      </w:pPr>
    </w:p>
    <w:tbl>
      <w:tblPr>
        <w:tblW w:w="11574" w:type="dxa"/>
        <w:tblInd w:w="-566" w:type="dxa"/>
        <w:tblBorders>
          <w:top w:val="nil"/>
          <w:left w:val="nil"/>
          <w:right w:val="nil"/>
        </w:tblBorders>
        <w:tblLayout w:type="fixed"/>
        <w:tblLook w:val="0000" w:firstRow="0" w:lastRow="0" w:firstColumn="0" w:lastColumn="0" w:noHBand="0" w:noVBand="0"/>
      </w:tblPr>
      <w:tblGrid>
        <w:gridCol w:w="2590"/>
        <w:gridCol w:w="3126"/>
        <w:gridCol w:w="1899"/>
        <w:gridCol w:w="1013"/>
        <w:gridCol w:w="1587"/>
        <w:gridCol w:w="1359"/>
      </w:tblGrid>
      <w:tr w:rsidR="008A5243" w14:paraId="67B2F45B" w14:textId="77777777" w:rsidTr="008A5243">
        <w:tblPrEx>
          <w:tblCellMar>
            <w:top w:w="0" w:type="dxa"/>
            <w:bottom w:w="0" w:type="dxa"/>
          </w:tblCellMar>
        </w:tblPrEx>
        <w:tc>
          <w:tcPr>
            <w:tcW w:w="11574" w:type="dxa"/>
            <w:gridSpan w:val="6"/>
            <w:tcMar>
              <w:top w:w="80" w:type="nil"/>
              <w:left w:w="80" w:type="nil"/>
              <w:bottom w:w="40" w:type="nil"/>
              <w:right w:w="80" w:type="nil"/>
            </w:tcMar>
            <w:vAlign w:val="center"/>
          </w:tcPr>
          <w:p w14:paraId="30A5E79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4:</w:t>
            </w:r>
            <w:r>
              <w:rPr>
                <w:rFonts w:ascii="Arial" w:hAnsi="Arial" w:cs="Arial"/>
                <w:sz w:val="26"/>
                <w:szCs w:val="26"/>
                <w:u w:color="0000E9"/>
              </w:rPr>
              <w:t xml:space="preserve"> EOCT Student Level Correlations between Prior Standardized Scale Score and 1) Current Scale Score, 2) SGP and 3) SIMEX SGP - Disaggregated by Norm Group.</w:t>
            </w:r>
          </w:p>
        </w:tc>
      </w:tr>
      <w:tr w:rsidR="008A5243" w14:paraId="76D0FA7C" w14:textId="77777777" w:rsidTr="008A5243">
        <w:tblPrEx>
          <w:tblBorders>
            <w:top w:val="none" w:sz="0" w:space="0" w:color="auto"/>
          </w:tblBorders>
          <w:tblCellMar>
            <w:top w:w="0" w:type="dxa"/>
            <w:bottom w:w="0" w:type="dxa"/>
          </w:tblCellMar>
        </w:tblPrEx>
        <w:tc>
          <w:tcPr>
            <w:tcW w:w="2590" w:type="dxa"/>
            <w:tcBorders>
              <w:top w:val="single" w:sz="16" w:space="0" w:color="6D6D6D"/>
              <w:bottom w:val="single" w:sz="8" w:space="0" w:color="6D6D6D"/>
            </w:tcBorders>
            <w:tcMar>
              <w:top w:w="20" w:type="nil"/>
              <w:left w:w="20" w:type="nil"/>
              <w:bottom w:w="20" w:type="nil"/>
              <w:right w:w="20" w:type="nil"/>
            </w:tcMar>
            <w:vAlign w:val="center"/>
          </w:tcPr>
          <w:p w14:paraId="5755391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3126" w:type="dxa"/>
            <w:tcBorders>
              <w:top w:val="single" w:sz="16" w:space="0" w:color="6D6D6D"/>
              <w:bottom w:val="single" w:sz="8" w:space="0" w:color="6D6D6D"/>
            </w:tcBorders>
            <w:tcMar>
              <w:top w:w="20" w:type="nil"/>
              <w:left w:w="20" w:type="nil"/>
              <w:bottom w:w="20" w:type="nil"/>
              <w:right w:w="20" w:type="nil"/>
            </w:tcMar>
            <w:vAlign w:val="center"/>
          </w:tcPr>
          <w:p w14:paraId="7B7C5F7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Most Recent Prior</w:t>
            </w:r>
          </w:p>
        </w:tc>
        <w:tc>
          <w:tcPr>
            <w:tcW w:w="1899" w:type="dxa"/>
            <w:tcBorders>
              <w:top w:val="single" w:sz="16" w:space="0" w:color="6D6D6D"/>
              <w:bottom w:val="single" w:sz="8" w:space="0" w:color="6D6D6D"/>
            </w:tcBorders>
            <w:tcMar>
              <w:top w:w="20" w:type="nil"/>
              <w:left w:w="20" w:type="nil"/>
              <w:bottom w:w="20" w:type="nil"/>
              <w:right w:w="20" w:type="nil"/>
            </w:tcMar>
            <w:vAlign w:val="center"/>
          </w:tcPr>
          <w:p w14:paraId="6D66CA2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35063D62" wp14:editId="4B6DAB06">
                  <wp:extent cx="1003300" cy="19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0" cy="190500"/>
                          </a:xfrm>
                          <a:prstGeom prst="rect">
                            <a:avLst/>
                          </a:prstGeom>
                          <a:noFill/>
                          <a:ln>
                            <a:noFill/>
                          </a:ln>
                        </pic:spPr>
                      </pic:pic>
                    </a:graphicData>
                  </a:graphic>
                </wp:inline>
              </w:drawing>
            </w:r>
          </w:p>
        </w:tc>
        <w:tc>
          <w:tcPr>
            <w:tcW w:w="1013" w:type="dxa"/>
            <w:tcBorders>
              <w:top w:val="single" w:sz="16" w:space="0" w:color="6D6D6D"/>
              <w:bottom w:val="single" w:sz="8" w:space="0" w:color="6D6D6D"/>
            </w:tcBorders>
            <w:tcMar>
              <w:top w:w="20" w:type="nil"/>
              <w:left w:w="20" w:type="nil"/>
              <w:bottom w:w="20" w:type="nil"/>
              <w:right w:w="20" w:type="nil"/>
            </w:tcMar>
            <w:vAlign w:val="center"/>
          </w:tcPr>
          <w:p w14:paraId="1B65C197"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4946D787" wp14:editId="3DC7216C">
                  <wp:extent cx="533400" cy="190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p>
        </w:tc>
        <w:tc>
          <w:tcPr>
            <w:tcW w:w="1587" w:type="dxa"/>
            <w:tcBorders>
              <w:top w:val="single" w:sz="16" w:space="0" w:color="6D6D6D"/>
              <w:bottom w:val="single" w:sz="8" w:space="0" w:color="6D6D6D"/>
            </w:tcBorders>
            <w:tcMar>
              <w:top w:w="20" w:type="nil"/>
              <w:left w:w="20" w:type="nil"/>
              <w:bottom w:w="20" w:type="nil"/>
              <w:right w:w="20" w:type="nil"/>
            </w:tcMar>
            <w:vAlign w:val="center"/>
          </w:tcPr>
          <w:p w14:paraId="29C070BC"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noProof/>
                <w:sz w:val="26"/>
                <w:szCs w:val="26"/>
                <w:u w:color="0000E9"/>
                <w:lang w:eastAsia="en-US"/>
              </w:rPr>
              <w:drawing>
                <wp:inline distT="0" distB="0" distL="0" distR="0" wp14:anchorId="1B59FBBC" wp14:editId="661B2A6B">
                  <wp:extent cx="838200" cy="190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p>
        </w:tc>
        <w:tc>
          <w:tcPr>
            <w:tcW w:w="1359" w:type="dxa"/>
            <w:tcBorders>
              <w:top w:val="single" w:sz="16" w:space="0" w:color="6D6D6D"/>
              <w:bottom w:val="single" w:sz="8" w:space="0" w:color="6D6D6D"/>
            </w:tcBorders>
            <w:tcMar>
              <w:top w:w="20" w:type="nil"/>
              <w:left w:w="20" w:type="nil"/>
              <w:bottom w:w="20" w:type="nil"/>
              <w:right w:w="20" w:type="nil"/>
            </w:tcMar>
            <w:vAlign w:val="center"/>
          </w:tcPr>
          <w:p w14:paraId="56B19C96"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N Size</w:t>
            </w:r>
          </w:p>
        </w:tc>
      </w:tr>
      <w:tr w:rsidR="008A5243" w14:paraId="00E8BF61"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4A2658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3126" w:type="dxa"/>
            <w:tcMar>
              <w:top w:w="80" w:type="nil"/>
              <w:left w:w="80" w:type="nil"/>
              <w:bottom w:w="40" w:type="nil"/>
              <w:right w:w="80" w:type="nil"/>
            </w:tcMar>
            <w:vAlign w:val="center"/>
          </w:tcPr>
          <w:p w14:paraId="3C234D2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1899" w:type="dxa"/>
            <w:tcMar>
              <w:top w:w="80" w:type="nil"/>
              <w:left w:w="80" w:type="nil"/>
              <w:bottom w:w="40" w:type="nil"/>
              <w:right w:w="80" w:type="nil"/>
            </w:tcMar>
            <w:vAlign w:val="center"/>
          </w:tcPr>
          <w:p w14:paraId="3153357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0.67</w:t>
            </w:r>
          </w:p>
        </w:tc>
        <w:tc>
          <w:tcPr>
            <w:tcW w:w="1013" w:type="dxa"/>
            <w:tcMar>
              <w:top w:w="80" w:type="nil"/>
              <w:left w:w="80" w:type="nil"/>
              <w:bottom w:w="40" w:type="nil"/>
              <w:right w:w="80" w:type="nil"/>
            </w:tcMar>
            <w:vAlign w:val="center"/>
          </w:tcPr>
          <w:p w14:paraId="603628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18B54CF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-0.11</w:t>
            </w:r>
          </w:p>
        </w:tc>
        <w:tc>
          <w:tcPr>
            <w:tcW w:w="1359" w:type="dxa"/>
            <w:tcMar>
              <w:top w:w="80" w:type="nil"/>
              <w:left w:w="80" w:type="nil"/>
              <w:bottom w:w="40" w:type="nil"/>
              <w:right w:w="80" w:type="nil"/>
            </w:tcMar>
            <w:vAlign w:val="center"/>
          </w:tcPr>
          <w:p w14:paraId="7E5794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1,193</w:t>
            </w:r>
          </w:p>
        </w:tc>
      </w:tr>
      <w:tr w:rsidR="008A5243" w14:paraId="17EDDCDA"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7C02ADCC"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0DD268D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6</w:t>
            </w:r>
          </w:p>
        </w:tc>
        <w:tc>
          <w:tcPr>
            <w:tcW w:w="1899" w:type="dxa"/>
            <w:tcMar>
              <w:top w:w="80" w:type="nil"/>
              <w:left w:w="80" w:type="nil"/>
              <w:bottom w:w="40" w:type="nil"/>
              <w:right w:w="80" w:type="nil"/>
            </w:tcMar>
            <w:vAlign w:val="center"/>
          </w:tcPr>
          <w:p w14:paraId="5C0CDD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0.77</w:t>
            </w:r>
          </w:p>
        </w:tc>
        <w:tc>
          <w:tcPr>
            <w:tcW w:w="1013" w:type="dxa"/>
            <w:tcMar>
              <w:top w:w="80" w:type="nil"/>
              <w:left w:w="80" w:type="nil"/>
              <w:bottom w:w="40" w:type="nil"/>
              <w:right w:w="80" w:type="nil"/>
            </w:tcMar>
            <w:vAlign w:val="center"/>
          </w:tcPr>
          <w:p w14:paraId="749BE4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1B9530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1359" w:type="dxa"/>
            <w:tcMar>
              <w:top w:w="80" w:type="nil"/>
              <w:left w:w="80" w:type="nil"/>
              <w:bottom w:w="40" w:type="nil"/>
              <w:right w:w="80" w:type="nil"/>
            </w:tcMar>
            <w:vAlign w:val="center"/>
          </w:tcPr>
          <w:p w14:paraId="4577972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12,884</w:t>
            </w:r>
          </w:p>
        </w:tc>
      </w:tr>
      <w:tr w:rsidR="008A5243" w14:paraId="6C104E5A"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1B3E6772"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441348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7</w:t>
            </w:r>
          </w:p>
        </w:tc>
        <w:tc>
          <w:tcPr>
            <w:tcW w:w="1899" w:type="dxa"/>
            <w:tcMar>
              <w:top w:w="80" w:type="nil"/>
              <w:left w:w="80" w:type="nil"/>
              <w:bottom w:w="40" w:type="nil"/>
              <w:right w:w="80" w:type="nil"/>
            </w:tcMar>
            <w:vAlign w:val="center"/>
          </w:tcPr>
          <w:p w14:paraId="32D0FFF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0.81</w:t>
            </w:r>
          </w:p>
        </w:tc>
        <w:tc>
          <w:tcPr>
            <w:tcW w:w="1013" w:type="dxa"/>
            <w:tcMar>
              <w:top w:w="80" w:type="nil"/>
              <w:left w:w="80" w:type="nil"/>
              <w:bottom w:w="40" w:type="nil"/>
              <w:right w:w="80" w:type="nil"/>
            </w:tcMar>
            <w:vAlign w:val="center"/>
          </w:tcPr>
          <w:p w14:paraId="16F75E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2AFD86D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5B29C25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69,317</w:t>
            </w:r>
          </w:p>
        </w:tc>
      </w:tr>
      <w:tr w:rsidR="008A5243" w14:paraId="4141C260"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489AC3FD"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745D8CF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8</w:t>
            </w:r>
          </w:p>
        </w:tc>
        <w:tc>
          <w:tcPr>
            <w:tcW w:w="1899" w:type="dxa"/>
            <w:tcMar>
              <w:top w:w="80" w:type="nil"/>
              <w:left w:w="80" w:type="nil"/>
              <w:bottom w:w="40" w:type="nil"/>
              <w:right w:w="80" w:type="nil"/>
            </w:tcMar>
            <w:vAlign w:val="center"/>
          </w:tcPr>
          <w:p w14:paraId="43F5A13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0.67</w:t>
            </w:r>
          </w:p>
        </w:tc>
        <w:tc>
          <w:tcPr>
            <w:tcW w:w="1013" w:type="dxa"/>
            <w:tcMar>
              <w:top w:w="80" w:type="nil"/>
              <w:left w:w="80" w:type="nil"/>
              <w:bottom w:w="40" w:type="nil"/>
              <w:right w:w="80" w:type="nil"/>
            </w:tcMar>
            <w:vAlign w:val="center"/>
          </w:tcPr>
          <w:p w14:paraId="4136B1E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6A535BC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-0.10</w:t>
            </w:r>
          </w:p>
        </w:tc>
        <w:tc>
          <w:tcPr>
            <w:tcW w:w="1359" w:type="dxa"/>
            <w:tcMar>
              <w:top w:w="80" w:type="nil"/>
              <w:left w:w="80" w:type="nil"/>
              <w:bottom w:w="40" w:type="nil"/>
              <w:right w:w="80" w:type="nil"/>
            </w:tcMar>
            <w:vAlign w:val="center"/>
          </w:tcPr>
          <w:p w14:paraId="1AF4ED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172,218</w:t>
            </w:r>
          </w:p>
        </w:tc>
      </w:tr>
      <w:tr w:rsidR="008A5243" w14:paraId="4FCC915A"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12CAB7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3126" w:type="dxa"/>
            <w:tcMar>
              <w:top w:w="80" w:type="nil"/>
              <w:left w:w="80" w:type="nil"/>
              <w:bottom w:w="40" w:type="nil"/>
              <w:right w:w="80" w:type="nil"/>
            </w:tcMar>
            <w:vAlign w:val="center"/>
          </w:tcPr>
          <w:p w14:paraId="05E75B1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1899" w:type="dxa"/>
            <w:tcMar>
              <w:top w:w="80" w:type="nil"/>
              <w:left w:w="80" w:type="nil"/>
              <w:bottom w:w="40" w:type="nil"/>
              <w:right w:w="80" w:type="nil"/>
            </w:tcMar>
            <w:vAlign w:val="center"/>
          </w:tcPr>
          <w:p w14:paraId="179F6CA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0.83</w:t>
            </w:r>
          </w:p>
        </w:tc>
        <w:tc>
          <w:tcPr>
            <w:tcW w:w="1013" w:type="dxa"/>
            <w:tcMar>
              <w:top w:w="80" w:type="nil"/>
              <w:left w:w="80" w:type="nil"/>
              <w:bottom w:w="40" w:type="nil"/>
              <w:right w:w="80" w:type="nil"/>
            </w:tcMar>
            <w:vAlign w:val="center"/>
          </w:tcPr>
          <w:p w14:paraId="5A1946C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16BDD6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0BC997A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11,677</w:t>
            </w:r>
          </w:p>
        </w:tc>
      </w:tr>
      <w:tr w:rsidR="008A5243" w14:paraId="0B732AC3"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75F10ACD"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3B3843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1899" w:type="dxa"/>
            <w:tcMar>
              <w:top w:w="80" w:type="nil"/>
              <w:left w:w="80" w:type="nil"/>
              <w:bottom w:w="40" w:type="nil"/>
              <w:right w:w="80" w:type="nil"/>
            </w:tcMar>
            <w:vAlign w:val="center"/>
          </w:tcPr>
          <w:p w14:paraId="789197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0.75</w:t>
            </w:r>
          </w:p>
        </w:tc>
        <w:tc>
          <w:tcPr>
            <w:tcW w:w="1013" w:type="dxa"/>
            <w:tcMar>
              <w:top w:w="80" w:type="nil"/>
              <w:left w:w="80" w:type="nil"/>
              <w:bottom w:w="40" w:type="nil"/>
              <w:right w:w="80" w:type="nil"/>
            </w:tcMar>
            <w:vAlign w:val="center"/>
          </w:tcPr>
          <w:p w14:paraId="047D98D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615C55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2E4440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67,945</w:t>
            </w:r>
          </w:p>
        </w:tc>
      </w:tr>
      <w:tr w:rsidR="008A5243" w14:paraId="6F0A1019"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5C3C277F"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0AC416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8</w:t>
            </w:r>
          </w:p>
        </w:tc>
        <w:tc>
          <w:tcPr>
            <w:tcW w:w="1899" w:type="dxa"/>
            <w:tcMar>
              <w:top w:w="80" w:type="nil"/>
              <w:left w:w="80" w:type="nil"/>
              <w:bottom w:w="40" w:type="nil"/>
              <w:right w:w="80" w:type="nil"/>
            </w:tcMar>
            <w:vAlign w:val="center"/>
          </w:tcPr>
          <w:p w14:paraId="1FAE136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0.79</w:t>
            </w:r>
          </w:p>
        </w:tc>
        <w:tc>
          <w:tcPr>
            <w:tcW w:w="1013" w:type="dxa"/>
            <w:tcMar>
              <w:top w:w="80" w:type="nil"/>
              <w:left w:w="80" w:type="nil"/>
              <w:bottom w:w="40" w:type="nil"/>
              <w:right w:w="80" w:type="nil"/>
            </w:tcMar>
            <w:vAlign w:val="center"/>
          </w:tcPr>
          <w:p w14:paraId="742BE8B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1587" w:type="dxa"/>
            <w:tcMar>
              <w:top w:w="80" w:type="nil"/>
              <w:left w:w="80" w:type="nil"/>
              <w:bottom w:w="40" w:type="nil"/>
              <w:right w:w="80" w:type="nil"/>
            </w:tcMar>
            <w:vAlign w:val="center"/>
          </w:tcPr>
          <w:p w14:paraId="538C273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1359" w:type="dxa"/>
            <w:tcMar>
              <w:top w:w="80" w:type="nil"/>
              <w:left w:w="80" w:type="nil"/>
              <w:bottom w:w="40" w:type="nil"/>
              <w:right w:w="80" w:type="nil"/>
            </w:tcMar>
            <w:vAlign w:val="center"/>
          </w:tcPr>
          <w:p w14:paraId="42CA89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2,913</w:t>
            </w:r>
          </w:p>
        </w:tc>
      </w:tr>
      <w:tr w:rsidR="008A5243" w14:paraId="16C48D66"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7018810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3126" w:type="dxa"/>
            <w:tcMar>
              <w:top w:w="80" w:type="nil"/>
              <w:left w:w="80" w:type="nil"/>
              <w:bottom w:w="40" w:type="nil"/>
              <w:right w:w="80" w:type="nil"/>
            </w:tcMar>
            <w:vAlign w:val="center"/>
          </w:tcPr>
          <w:p w14:paraId="771B8DD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1899" w:type="dxa"/>
            <w:tcMar>
              <w:top w:w="80" w:type="nil"/>
              <w:left w:w="80" w:type="nil"/>
              <w:bottom w:w="40" w:type="nil"/>
              <w:right w:w="80" w:type="nil"/>
            </w:tcMar>
            <w:vAlign w:val="center"/>
          </w:tcPr>
          <w:p w14:paraId="771D3A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0.81</w:t>
            </w:r>
          </w:p>
        </w:tc>
        <w:tc>
          <w:tcPr>
            <w:tcW w:w="1013" w:type="dxa"/>
            <w:tcMar>
              <w:top w:w="80" w:type="nil"/>
              <w:left w:w="80" w:type="nil"/>
              <w:bottom w:w="40" w:type="nil"/>
              <w:right w:w="80" w:type="nil"/>
            </w:tcMar>
            <w:vAlign w:val="center"/>
          </w:tcPr>
          <w:p w14:paraId="3769D3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71DD6A3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564100B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2,976</w:t>
            </w:r>
          </w:p>
        </w:tc>
      </w:tr>
      <w:tr w:rsidR="008A5243" w14:paraId="40B329FD"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0D7148A4"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4DFC73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1899" w:type="dxa"/>
            <w:tcMar>
              <w:top w:w="80" w:type="nil"/>
              <w:left w:w="80" w:type="nil"/>
              <w:bottom w:w="40" w:type="nil"/>
              <w:right w:w="80" w:type="nil"/>
            </w:tcMar>
            <w:vAlign w:val="center"/>
          </w:tcPr>
          <w:p w14:paraId="68D876C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0.78</w:t>
            </w:r>
          </w:p>
        </w:tc>
        <w:tc>
          <w:tcPr>
            <w:tcW w:w="1013" w:type="dxa"/>
            <w:tcMar>
              <w:top w:w="80" w:type="nil"/>
              <w:left w:w="80" w:type="nil"/>
              <w:bottom w:w="40" w:type="nil"/>
              <w:right w:w="80" w:type="nil"/>
            </w:tcMar>
            <w:vAlign w:val="center"/>
          </w:tcPr>
          <w:p w14:paraId="53516AF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758141D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1359" w:type="dxa"/>
            <w:tcMar>
              <w:top w:w="80" w:type="nil"/>
              <w:left w:w="80" w:type="nil"/>
              <w:bottom w:w="40" w:type="nil"/>
              <w:right w:w="80" w:type="nil"/>
            </w:tcMar>
            <w:vAlign w:val="center"/>
          </w:tcPr>
          <w:p w14:paraId="7AC709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104,058</w:t>
            </w:r>
          </w:p>
        </w:tc>
      </w:tr>
      <w:tr w:rsidR="008A5243" w14:paraId="5419E340"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345EA8E6"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2E825F2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7</w:t>
            </w:r>
          </w:p>
        </w:tc>
        <w:tc>
          <w:tcPr>
            <w:tcW w:w="1899" w:type="dxa"/>
            <w:tcMar>
              <w:top w:w="80" w:type="nil"/>
              <w:left w:w="80" w:type="nil"/>
              <w:bottom w:w="40" w:type="nil"/>
              <w:right w:w="80" w:type="nil"/>
            </w:tcMar>
            <w:vAlign w:val="center"/>
          </w:tcPr>
          <w:p w14:paraId="5A899F6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0.74</w:t>
            </w:r>
          </w:p>
        </w:tc>
        <w:tc>
          <w:tcPr>
            <w:tcW w:w="1013" w:type="dxa"/>
            <w:tcMar>
              <w:top w:w="80" w:type="nil"/>
              <w:left w:w="80" w:type="nil"/>
              <w:bottom w:w="40" w:type="nil"/>
              <w:right w:w="80" w:type="nil"/>
            </w:tcMar>
            <w:vAlign w:val="center"/>
          </w:tcPr>
          <w:p w14:paraId="6CB527C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1587" w:type="dxa"/>
            <w:tcMar>
              <w:top w:w="80" w:type="nil"/>
              <w:left w:w="80" w:type="nil"/>
              <w:bottom w:w="40" w:type="nil"/>
              <w:right w:w="80" w:type="nil"/>
            </w:tcMar>
            <w:vAlign w:val="center"/>
          </w:tcPr>
          <w:p w14:paraId="7CC3022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6037B4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1,476</w:t>
            </w:r>
          </w:p>
        </w:tc>
      </w:tr>
      <w:tr w:rsidR="008A5243" w14:paraId="51FD4AD1"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002FE8C5"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49016AD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8</w:t>
            </w:r>
          </w:p>
        </w:tc>
        <w:tc>
          <w:tcPr>
            <w:tcW w:w="1899" w:type="dxa"/>
            <w:tcMar>
              <w:top w:w="80" w:type="nil"/>
              <w:left w:w="80" w:type="nil"/>
              <w:bottom w:w="40" w:type="nil"/>
              <w:right w:w="80" w:type="nil"/>
            </w:tcMar>
            <w:vAlign w:val="center"/>
          </w:tcPr>
          <w:p w14:paraId="566D7AF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0.77</w:t>
            </w:r>
          </w:p>
        </w:tc>
        <w:tc>
          <w:tcPr>
            <w:tcW w:w="1013" w:type="dxa"/>
            <w:tcMar>
              <w:top w:w="80" w:type="nil"/>
              <w:left w:w="80" w:type="nil"/>
              <w:bottom w:w="40" w:type="nil"/>
              <w:right w:w="80" w:type="nil"/>
            </w:tcMar>
            <w:vAlign w:val="center"/>
          </w:tcPr>
          <w:p w14:paraId="41129C4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1587" w:type="dxa"/>
            <w:tcMar>
              <w:top w:w="80" w:type="nil"/>
              <w:left w:w="80" w:type="nil"/>
              <w:bottom w:w="40" w:type="nil"/>
              <w:right w:w="80" w:type="nil"/>
            </w:tcMar>
            <w:vAlign w:val="center"/>
          </w:tcPr>
          <w:p w14:paraId="020183F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1359" w:type="dxa"/>
            <w:tcMar>
              <w:top w:w="80" w:type="nil"/>
              <w:left w:w="80" w:type="nil"/>
              <w:bottom w:w="40" w:type="nil"/>
              <w:right w:w="80" w:type="nil"/>
            </w:tcMar>
            <w:vAlign w:val="center"/>
          </w:tcPr>
          <w:p w14:paraId="0F307B7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5,509</w:t>
            </w:r>
          </w:p>
        </w:tc>
      </w:tr>
      <w:tr w:rsidR="008A5243" w14:paraId="7487206E"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7D2C0272"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1C66DD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Fall 2015 Algebra I</w:t>
            </w:r>
          </w:p>
        </w:tc>
        <w:tc>
          <w:tcPr>
            <w:tcW w:w="1899" w:type="dxa"/>
            <w:tcMar>
              <w:top w:w="80" w:type="nil"/>
              <w:left w:w="80" w:type="nil"/>
              <w:bottom w:w="40" w:type="nil"/>
              <w:right w:w="80" w:type="nil"/>
            </w:tcMar>
            <w:vAlign w:val="center"/>
          </w:tcPr>
          <w:p w14:paraId="31489A5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0.71</w:t>
            </w:r>
          </w:p>
        </w:tc>
        <w:tc>
          <w:tcPr>
            <w:tcW w:w="1013" w:type="dxa"/>
            <w:tcMar>
              <w:top w:w="80" w:type="nil"/>
              <w:left w:w="80" w:type="nil"/>
              <w:bottom w:w="40" w:type="nil"/>
              <w:right w:w="80" w:type="nil"/>
            </w:tcMar>
            <w:vAlign w:val="center"/>
          </w:tcPr>
          <w:p w14:paraId="495631A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1587" w:type="dxa"/>
            <w:tcMar>
              <w:top w:w="80" w:type="nil"/>
              <w:left w:w="80" w:type="nil"/>
              <w:bottom w:w="40" w:type="nil"/>
              <w:right w:w="80" w:type="nil"/>
            </w:tcMar>
            <w:vAlign w:val="center"/>
          </w:tcPr>
          <w:p w14:paraId="0ABCC8E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-0.11</w:t>
            </w:r>
          </w:p>
        </w:tc>
        <w:tc>
          <w:tcPr>
            <w:tcW w:w="1359" w:type="dxa"/>
            <w:tcMar>
              <w:top w:w="80" w:type="nil"/>
              <w:left w:w="80" w:type="nil"/>
              <w:bottom w:w="40" w:type="nil"/>
              <w:right w:w="80" w:type="nil"/>
            </w:tcMar>
            <w:vAlign w:val="center"/>
          </w:tcPr>
          <w:p w14:paraId="07737CC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1,101</w:t>
            </w:r>
          </w:p>
        </w:tc>
      </w:tr>
      <w:tr w:rsidR="008A5243" w14:paraId="3EC5B88A"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7EF40E0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1</w:t>
            </w:r>
          </w:p>
        </w:tc>
        <w:tc>
          <w:tcPr>
            <w:tcW w:w="3126" w:type="dxa"/>
            <w:tcMar>
              <w:top w:w="80" w:type="nil"/>
              <w:left w:w="80" w:type="nil"/>
              <w:bottom w:w="40" w:type="nil"/>
              <w:right w:w="80" w:type="nil"/>
            </w:tcMar>
            <w:vAlign w:val="center"/>
          </w:tcPr>
          <w:p w14:paraId="73CA018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7</w:t>
            </w:r>
          </w:p>
        </w:tc>
        <w:tc>
          <w:tcPr>
            <w:tcW w:w="1899" w:type="dxa"/>
            <w:tcMar>
              <w:top w:w="80" w:type="nil"/>
              <w:left w:w="80" w:type="nil"/>
              <w:bottom w:w="40" w:type="nil"/>
              <w:right w:w="80" w:type="nil"/>
            </w:tcMar>
            <w:vAlign w:val="center"/>
          </w:tcPr>
          <w:p w14:paraId="27A93E5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0.78</w:t>
            </w:r>
          </w:p>
        </w:tc>
        <w:tc>
          <w:tcPr>
            <w:tcW w:w="1013" w:type="dxa"/>
            <w:tcMar>
              <w:top w:w="80" w:type="nil"/>
              <w:left w:w="80" w:type="nil"/>
              <w:bottom w:w="40" w:type="nil"/>
              <w:right w:w="80" w:type="nil"/>
            </w:tcMar>
            <w:vAlign w:val="center"/>
          </w:tcPr>
          <w:p w14:paraId="22C915D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1587" w:type="dxa"/>
            <w:tcMar>
              <w:top w:w="80" w:type="nil"/>
              <w:left w:w="80" w:type="nil"/>
              <w:bottom w:w="40" w:type="nil"/>
              <w:right w:w="80" w:type="nil"/>
            </w:tcMar>
            <w:vAlign w:val="center"/>
          </w:tcPr>
          <w:p w14:paraId="17571C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-0.10</w:t>
            </w:r>
          </w:p>
        </w:tc>
        <w:tc>
          <w:tcPr>
            <w:tcW w:w="1359" w:type="dxa"/>
            <w:tcMar>
              <w:top w:w="80" w:type="nil"/>
              <w:left w:w="80" w:type="nil"/>
              <w:bottom w:w="40" w:type="nil"/>
              <w:right w:w="80" w:type="nil"/>
            </w:tcMar>
            <w:vAlign w:val="center"/>
          </w:tcPr>
          <w:p w14:paraId="03E9E3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1,261</w:t>
            </w:r>
          </w:p>
        </w:tc>
      </w:tr>
      <w:tr w:rsidR="008A5243" w14:paraId="097B0DF3" w14:textId="77777777" w:rsidTr="008A5243">
        <w:tblPrEx>
          <w:tblBorders>
            <w:top w:val="none" w:sz="0" w:space="0" w:color="auto"/>
          </w:tblBorders>
          <w:tblCellMar>
            <w:top w:w="0" w:type="dxa"/>
            <w:bottom w:w="0" w:type="dxa"/>
          </w:tblCellMar>
        </w:tblPrEx>
        <w:tc>
          <w:tcPr>
            <w:tcW w:w="2590" w:type="dxa"/>
            <w:tcMar>
              <w:top w:w="80" w:type="nil"/>
              <w:left w:w="80" w:type="nil"/>
              <w:bottom w:w="40" w:type="nil"/>
              <w:right w:w="80" w:type="nil"/>
            </w:tcMar>
            <w:vAlign w:val="center"/>
          </w:tcPr>
          <w:p w14:paraId="424562F8" w14:textId="77777777" w:rsidR="008A5243" w:rsidRDefault="008A5243">
            <w:pPr>
              <w:widowControl w:val="0"/>
              <w:autoSpaceDE w:val="0"/>
              <w:autoSpaceDN w:val="0"/>
              <w:adjustRightInd w:val="0"/>
              <w:rPr>
                <w:rFonts w:ascii="Arial" w:hAnsi="Arial" w:cs="Arial"/>
                <w:sz w:val="26"/>
                <w:szCs w:val="26"/>
                <w:u w:color="0000E9"/>
              </w:rPr>
            </w:pPr>
          </w:p>
        </w:tc>
        <w:tc>
          <w:tcPr>
            <w:tcW w:w="3126" w:type="dxa"/>
            <w:tcMar>
              <w:top w:w="80" w:type="nil"/>
              <w:left w:w="80" w:type="nil"/>
              <w:bottom w:w="40" w:type="nil"/>
              <w:right w:w="80" w:type="nil"/>
            </w:tcMar>
            <w:vAlign w:val="center"/>
          </w:tcPr>
          <w:p w14:paraId="7AF29F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 Grade 8</w:t>
            </w:r>
          </w:p>
        </w:tc>
        <w:tc>
          <w:tcPr>
            <w:tcW w:w="1899" w:type="dxa"/>
            <w:tcMar>
              <w:top w:w="80" w:type="nil"/>
              <w:left w:w="80" w:type="nil"/>
              <w:bottom w:w="40" w:type="nil"/>
              <w:right w:w="80" w:type="nil"/>
            </w:tcMar>
            <w:vAlign w:val="center"/>
          </w:tcPr>
          <w:p w14:paraId="48EF480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0.75</w:t>
            </w:r>
          </w:p>
        </w:tc>
        <w:tc>
          <w:tcPr>
            <w:tcW w:w="1013" w:type="dxa"/>
            <w:tcMar>
              <w:top w:w="80" w:type="nil"/>
              <w:left w:w="80" w:type="nil"/>
              <w:bottom w:w="40" w:type="nil"/>
              <w:right w:w="80" w:type="nil"/>
            </w:tcMar>
            <w:vAlign w:val="center"/>
          </w:tcPr>
          <w:p w14:paraId="1EAA2BA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Mar>
              <w:top w:w="80" w:type="nil"/>
              <w:left w:w="80" w:type="nil"/>
              <w:bottom w:w="40" w:type="nil"/>
              <w:right w:w="80" w:type="nil"/>
            </w:tcMar>
            <w:vAlign w:val="center"/>
          </w:tcPr>
          <w:p w14:paraId="01595E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-0.10</w:t>
            </w:r>
          </w:p>
        </w:tc>
        <w:tc>
          <w:tcPr>
            <w:tcW w:w="1359" w:type="dxa"/>
            <w:tcMar>
              <w:top w:w="80" w:type="nil"/>
              <w:left w:w="80" w:type="nil"/>
              <w:bottom w:w="40" w:type="nil"/>
              <w:right w:w="80" w:type="nil"/>
            </w:tcMar>
            <w:vAlign w:val="center"/>
          </w:tcPr>
          <w:p w14:paraId="5C8F88A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12,528</w:t>
            </w:r>
          </w:p>
        </w:tc>
      </w:tr>
      <w:tr w:rsidR="008A5243" w14:paraId="1A17FA15" w14:textId="77777777" w:rsidTr="008A5243">
        <w:tblPrEx>
          <w:tblCellMar>
            <w:top w:w="0" w:type="dxa"/>
            <w:bottom w:w="0" w:type="dxa"/>
          </w:tblCellMar>
        </w:tblPrEx>
        <w:tc>
          <w:tcPr>
            <w:tcW w:w="2590" w:type="dxa"/>
            <w:tcBorders>
              <w:bottom w:val="single" w:sz="16" w:space="0" w:color="6D6D6D"/>
            </w:tcBorders>
            <w:tcMar>
              <w:top w:w="80" w:type="nil"/>
              <w:left w:w="80" w:type="nil"/>
              <w:bottom w:w="40" w:type="nil"/>
              <w:right w:w="80" w:type="nil"/>
            </w:tcMar>
            <w:vAlign w:val="center"/>
          </w:tcPr>
          <w:p w14:paraId="50D2CB9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2</w:t>
            </w:r>
          </w:p>
        </w:tc>
        <w:tc>
          <w:tcPr>
            <w:tcW w:w="3126" w:type="dxa"/>
            <w:tcBorders>
              <w:bottom w:val="single" w:sz="16" w:space="0" w:color="6D6D6D"/>
            </w:tcBorders>
            <w:tcMar>
              <w:top w:w="80" w:type="nil"/>
              <w:left w:w="80" w:type="nil"/>
              <w:bottom w:w="40" w:type="nil"/>
              <w:right w:w="80" w:type="nil"/>
            </w:tcMar>
            <w:vAlign w:val="center"/>
          </w:tcPr>
          <w:p w14:paraId="41D92F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1</w:t>
            </w:r>
          </w:p>
        </w:tc>
        <w:tc>
          <w:tcPr>
            <w:tcW w:w="1899" w:type="dxa"/>
            <w:tcBorders>
              <w:bottom w:val="single" w:sz="16" w:space="0" w:color="6D6D6D"/>
            </w:tcBorders>
            <w:tcMar>
              <w:top w:w="80" w:type="nil"/>
              <w:left w:w="80" w:type="nil"/>
              <w:bottom w:w="40" w:type="nil"/>
              <w:right w:w="80" w:type="nil"/>
            </w:tcMar>
            <w:vAlign w:val="center"/>
          </w:tcPr>
          <w:p w14:paraId="43EF05B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0.72</w:t>
            </w:r>
          </w:p>
        </w:tc>
        <w:tc>
          <w:tcPr>
            <w:tcW w:w="1013" w:type="dxa"/>
            <w:tcBorders>
              <w:bottom w:val="single" w:sz="16" w:space="0" w:color="6D6D6D"/>
            </w:tcBorders>
            <w:tcMar>
              <w:top w:w="80" w:type="nil"/>
              <w:left w:w="80" w:type="nil"/>
              <w:bottom w:w="40" w:type="nil"/>
              <w:right w:w="80" w:type="nil"/>
            </w:tcMar>
            <w:vAlign w:val="center"/>
          </w:tcPr>
          <w:p w14:paraId="43BA872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1587" w:type="dxa"/>
            <w:tcBorders>
              <w:bottom w:val="single" w:sz="16" w:space="0" w:color="6D6D6D"/>
            </w:tcBorders>
            <w:tcMar>
              <w:top w:w="80" w:type="nil"/>
              <w:left w:w="80" w:type="nil"/>
              <w:bottom w:w="40" w:type="nil"/>
              <w:right w:w="80" w:type="nil"/>
            </w:tcMar>
            <w:vAlign w:val="center"/>
          </w:tcPr>
          <w:p w14:paraId="65DFEF4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1359" w:type="dxa"/>
            <w:tcBorders>
              <w:bottom w:val="single" w:sz="16" w:space="0" w:color="6D6D6D"/>
            </w:tcBorders>
            <w:tcMar>
              <w:top w:w="80" w:type="nil"/>
              <w:left w:w="80" w:type="nil"/>
              <w:bottom w:w="40" w:type="nil"/>
              <w:right w:w="80" w:type="nil"/>
            </w:tcMar>
            <w:vAlign w:val="center"/>
          </w:tcPr>
          <w:p w14:paraId="5AEB909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2,865</w:t>
            </w:r>
          </w:p>
        </w:tc>
      </w:tr>
    </w:tbl>
    <w:p w14:paraId="24E1B4B3"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p>
    <w:p w14:paraId="01DDEBEE" w14:textId="77777777" w:rsidR="008A5243" w:rsidRDefault="008A5243">
      <w:pPr>
        <w:rPr>
          <w:rFonts w:ascii="Cambria" w:hAnsi="Cambria" w:cs="Cambria"/>
          <w:b/>
          <w:bCs/>
          <w:color w:val="2A4B7E"/>
          <w:sz w:val="37"/>
          <w:szCs w:val="37"/>
          <w:u w:color="0000E9"/>
        </w:rPr>
      </w:pPr>
      <w:r>
        <w:rPr>
          <w:rFonts w:ascii="Cambria" w:hAnsi="Cambria" w:cs="Cambria"/>
          <w:b/>
          <w:bCs/>
          <w:color w:val="2A4B7E"/>
          <w:sz w:val="37"/>
          <w:szCs w:val="37"/>
          <w:u w:color="0000E9"/>
        </w:rPr>
        <w:br w:type="page"/>
      </w:r>
    </w:p>
    <w:p w14:paraId="39B0C614"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r>
        <w:rPr>
          <w:rFonts w:ascii="Cambria" w:hAnsi="Cambria" w:cs="Cambria"/>
          <w:b/>
          <w:bCs/>
          <w:color w:val="2A4B7E"/>
          <w:sz w:val="37"/>
          <w:szCs w:val="37"/>
          <w:u w:color="0000E9"/>
        </w:rPr>
        <w:t>5 SGP Results</w:t>
      </w:r>
    </w:p>
    <w:p w14:paraId="4DABC515"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In the following sections basic descriptive statistics from the 2016 analyses are provided, including the consortium-level mean and median growth percentiles. Currently the PARCC consortium uses unadjusted cohort-referenced SGPs as the official student-level growth metric. Descriptive statistics from the unadjusted and SIMEX corrected SGP results are both presented here. The interested reader can find more in depth discussions of the SGP methodology in Appendix B of this report as well as other </w:t>
      </w:r>
      <w:hyperlink r:id="rId26" w:history="1">
        <w:r>
          <w:rPr>
            <w:rFonts w:ascii="Calibri" w:hAnsi="Calibri" w:cs="Calibri"/>
            <w:color w:val="6B006D"/>
            <w:sz w:val="29"/>
            <w:szCs w:val="29"/>
            <w:u w:val="single" w:color="6B006D"/>
          </w:rPr>
          <w:t>available literature</w:t>
        </w:r>
      </w:hyperlink>
      <w:r>
        <w:rPr>
          <w:rFonts w:ascii="Calibri" w:hAnsi="Calibri" w:cs="Calibri"/>
          <w:sz w:val="29"/>
          <w:szCs w:val="29"/>
          <w:u w:color="0000E9"/>
        </w:rPr>
        <w:t>, and information about the SIMEX measurement error correction methodology is available in recent academic articles (see Shang et al., 2015).</w:t>
      </w:r>
    </w:p>
    <w:p w14:paraId="51B4A2F9"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5.1 Unadjusted SGPs</w:t>
      </w:r>
    </w:p>
    <w:p w14:paraId="19DD1D53"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Growth percentiles, being quantities associated with each individual student, can be easily summarized across numerous grouping indicators to provide summary results regarding growth. The median and mean of a collection of growth percentiles are used as measures of central tendency that summarize the distribution as a single number. With perfect data fit, we expect the consortium-wide median of all student growth percentiles in any grade to be 50 because the data are norm-referenced across all students in PARCC. Median (and mean) growth percentiles well below 50 represent growth less than the consortium “average” and median growth percentiles well above 50 represent growth in excess of the PARCC “average”.</w:t>
      </w:r>
    </w:p>
    <w:p w14:paraId="52BABE16"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To demonstrate the norm-referenced nature of the growth percentiles viewed at the consortium level, Tables 5 and 6 present the cohort-referenced growth percentile medians and means for the grade level and EOCT content areas respectively.</w:t>
      </w:r>
    </w:p>
    <w:p w14:paraId="611B3007" w14:textId="77777777" w:rsidR="008A5243" w:rsidRDefault="008A5243" w:rsidP="008A5243">
      <w:pPr>
        <w:widowControl w:val="0"/>
        <w:autoSpaceDE w:val="0"/>
        <w:autoSpaceDN w:val="0"/>
        <w:adjustRightInd w:val="0"/>
        <w:rPr>
          <w:rFonts w:ascii="Calibri" w:hAnsi="Calibri" w:cs="Calibri"/>
          <w:sz w:val="29"/>
          <w:szCs w:val="29"/>
          <w:u w:color="0000E9"/>
        </w:rPr>
      </w:pPr>
    </w:p>
    <w:tbl>
      <w:tblPr>
        <w:tblW w:w="11613" w:type="dxa"/>
        <w:tblInd w:w="-606" w:type="dxa"/>
        <w:tblBorders>
          <w:top w:val="nil"/>
          <w:left w:val="nil"/>
          <w:right w:val="nil"/>
        </w:tblBorders>
        <w:tblLayout w:type="fixed"/>
        <w:tblLook w:val="0000" w:firstRow="0" w:lastRow="0" w:firstColumn="0" w:lastColumn="0" w:noHBand="0" w:noVBand="0"/>
      </w:tblPr>
      <w:tblGrid>
        <w:gridCol w:w="1967"/>
        <w:gridCol w:w="239"/>
        <w:gridCol w:w="1140"/>
        <w:gridCol w:w="1230"/>
        <w:gridCol w:w="1140"/>
        <w:gridCol w:w="1140"/>
        <w:gridCol w:w="950"/>
        <w:gridCol w:w="190"/>
        <w:gridCol w:w="1140"/>
        <w:gridCol w:w="1140"/>
        <w:gridCol w:w="1337"/>
      </w:tblGrid>
      <w:tr w:rsidR="008A5243" w14:paraId="1FD861FE" w14:textId="77777777" w:rsidTr="008A5243">
        <w:tblPrEx>
          <w:tblCellMar>
            <w:top w:w="0" w:type="dxa"/>
            <w:bottom w:w="0" w:type="dxa"/>
          </w:tblCellMar>
        </w:tblPrEx>
        <w:tc>
          <w:tcPr>
            <w:tcW w:w="11613" w:type="dxa"/>
            <w:gridSpan w:val="11"/>
            <w:tcMar>
              <w:top w:w="80" w:type="nil"/>
              <w:left w:w="80" w:type="nil"/>
              <w:bottom w:w="40" w:type="nil"/>
              <w:right w:w="80" w:type="nil"/>
            </w:tcMar>
            <w:vAlign w:val="center"/>
          </w:tcPr>
          <w:p w14:paraId="6B0E54C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5:</w:t>
            </w:r>
            <w:r>
              <w:rPr>
                <w:rFonts w:ascii="Arial" w:hAnsi="Arial" w:cs="Arial"/>
                <w:sz w:val="26"/>
                <w:szCs w:val="26"/>
                <w:u w:color="0000E9"/>
              </w:rPr>
              <w:t xml:space="preserve"> Spring 2016 Grade Level Median (Mean) Student Growth Percentile by Grade and Content Area.</w:t>
            </w:r>
          </w:p>
        </w:tc>
      </w:tr>
      <w:tr w:rsidR="008A5243" w14:paraId="2C96B8E6" w14:textId="77777777" w:rsidTr="008A5243">
        <w:tblPrEx>
          <w:tblBorders>
            <w:top w:val="none" w:sz="0" w:space="0" w:color="auto"/>
          </w:tblBorders>
          <w:tblCellMar>
            <w:top w:w="0" w:type="dxa"/>
            <w:bottom w:w="0" w:type="dxa"/>
          </w:tblCellMar>
        </w:tblPrEx>
        <w:tc>
          <w:tcPr>
            <w:tcW w:w="1967" w:type="dxa"/>
            <w:tcBorders>
              <w:top w:val="single" w:sz="16" w:space="0" w:color="6D6D6D"/>
            </w:tcBorders>
            <w:tcMar>
              <w:top w:w="20" w:type="nil"/>
              <w:left w:w="20" w:type="nil"/>
              <w:bottom w:w="20" w:type="nil"/>
              <w:right w:w="20" w:type="nil"/>
            </w:tcMar>
            <w:vAlign w:val="center"/>
          </w:tcPr>
          <w:p w14:paraId="4B340A31" w14:textId="77777777" w:rsidR="008A5243" w:rsidRDefault="008A5243">
            <w:pPr>
              <w:widowControl w:val="0"/>
              <w:autoSpaceDE w:val="0"/>
              <w:autoSpaceDN w:val="0"/>
              <w:adjustRightInd w:val="0"/>
              <w:rPr>
                <w:rFonts w:ascii="Arial" w:hAnsi="Arial" w:cs="Arial"/>
                <w:b/>
                <w:bCs/>
                <w:sz w:val="26"/>
                <w:szCs w:val="26"/>
                <w:u w:color="0000E9"/>
              </w:rPr>
            </w:pPr>
          </w:p>
        </w:tc>
        <w:tc>
          <w:tcPr>
            <w:tcW w:w="239" w:type="dxa"/>
            <w:tcBorders>
              <w:top w:val="single" w:sz="16" w:space="0" w:color="6D6D6D"/>
            </w:tcBorders>
            <w:tcMar>
              <w:top w:w="20" w:type="nil"/>
              <w:left w:w="20" w:type="nil"/>
              <w:bottom w:w="20" w:type="nil"/>
              <w:right w:w="20" w:type="nil"/>
            </w:tcMar>
            <w:vAlign w:val="center"/>
          </w:tcPr>
          <w:p w14:paraId="2677C72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9407" w:type="dxa"/>
            <w:gridSpan w:val="9"/>
            <w:tcBorders>
              <w:top w:val="single" w:sz="16" w:space="0" w:color="6D6D6D"/>
              <w:bottom w:val="single" w:sz="8" w:space="0" w:color="6D6D6D"/>
            </w:tcBorders>
            <w:tcMar>
              <w:top w:w="20" w:type="nil"/>
              <w:left w:w="20" w:type="nil"/>
              <w:bottom w:w="20" w:type="nil"/>
              <w:right w:w="20" w:type="nil"/>
            </w:tcMar>
            <w:vAlign w:val="center"/>
          </w:tcPr>
          <w:p w14:paraId="5C1F01D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Grades</w:t>
            </w:r>
          </w:p>
        </w:tc>
      </w:tr>
      <w:tr w:rsidR="008A5243" w14:paraId="4F08F678" w14:textId="77777777" w:rsidTr="008A5243">
        <w:tblPrEx>
          <w:tblBorders>
            <w:top w:val="none" w:sz="0" w:space="0" w:color="auto"/>
          </w:tblBorders>
          <w:tblCellMar>
            <w:top w:w="0" w:type="dxa"/>
            <w:bottom w:w="0" w:type="dxa"/>
          </w:tblCellMar>
        </w:tblPrEx>
        <w:tc>
          <w:tcPr>
            <w:tcW w:w="1967" w:type="dxa"/>
            <w:tcBorders>
              <w:bottom w:val="single" w:sz="8" w:space="0" w:color="6D6D6D"/>
            </w:tcBorders>
            <w:tcMar>
              <w:top w:w="20" w:type="nil"/>
              <w:left w:w="20" w:type="nil"/>
              <w:bottom w:w="20" w:type="nil"/>
              <w:right w:w="20" w:type="nil"/>
            </w:tcMar>
            <w:vAlign w:val="center"/>
          </w:tcPr>
          <w:p w14:paraId="2D402BF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239" w:type="dxa"/>
            <w:tcBorders>
              <w:bottom w:val="single" w:sz="8" w:space="0" w:color="6D6D6D"/>
            </w:tcBorders>
            <w:tcMar>
              <w:top w:w="20" w:type="nil"/>
              <w:left w:w="20" w:type="nil"/>
              <w:bottom w:w="20" w:type="nil"/>
              <w:right w:w="20" w:type="nil"/>
            </w:tcMar>
            <w:vAlign w:val="center"/>
          </w:tcPr>
          <w:p w14:paraId="11E294F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1140" w:type="dxa"/>
            <w:tcBorders>
              <w:bottom w:val="single" w:sz="8" w:space="0" w:color="6D6D6D"/>
            </w:tcBorders>
            <w:tcMar>
              <w:top w:w="20" w:type="nil"/>
              <w:left w:w="20" w:type="nil"/>
              <w:bottom w:w="20" w:type="nil"/>
              <w:right w:w="20" w:type="nil"/>
            </w:tcMar>
            <w:vAlign w:val="center"/>
          </w:tcPr>
          <w:p w14:paraId="3C79AE75"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4</w:t>
            </w:r>
          </w:p>
        </w:tc>
        <w:tc>
          <w:tcPr>
            <w:tcW w:w="1230" w:type="dxa"/>
            <w:tcBorders>
              <w:bottom w:val="single" w:sz="8" w:space="0" w:color="6D6D6D"/>
            </w:tcBorders>
            <w:tcMar>
              <w:top w:w="20" w:type="nil"/>
              <w:left w:w="20" w:type="nil"/>
              <w:bottom w:w="20" w:type="nil"/>
              <w:right w:w="20" w:type="nil"/>
            </w:tcMar>
            <w:vAlign w:val="center"/>
          </w:tcPr>
          <w:p w14:paraId="2326997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5</w:t>
            </w:r>
          </w:p>
        </w:tc>
        <w:tc>
          <w:tcPr>
            <w:tcW w:w="1140" w:type="dxa"/>
            <w:tcBorders>
              <w:bottom w:val="single" w:sz="8" w:space="0" w:color="6D6D6D"/>
            </w:tcBorders>
            <w:tcMar>
              <w:top w:w="20" w:type="nil"/>
              <w:left w:w="20" w:type="nil"/>
              <w:bottom w:w="20" w:type="nil"/>
              <w:right w:w="20" w:type="nil"/>
            </w:tcMar>
            <w:vAlign w:val="center"/>
          </w:tcPr>
          <w:p w14:paraId="1ADA57B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6</w:t>
            </w:r>
          </w:p>
        </w:tc>
        <w:tc>
          <w:tcPr>
            <w:tcW w:w="1140" w:type="dxa"/>
            <w:tcBorders>
              <w:bottom w:val="single" w:sz="8" w:space="0" w:color="6D6D6D"/>
            </w:tcBorders>
            <w:tcMar>
              <w:top w:w="20" w:type="nil"/>
              <w:left w:w="20" w:type="nil"/>
              <w:bottom w:w="20" w:type="nil"/>
              <w:right w:w="20" w:type="nil"/>
            </w:tcMar>
            <w:vAlign w:val="center"/>
          </w:tcPr>
          <w:p w14:paraId="4563565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7</w:t>
            </w:r>
          </w:p>
        </w:tc>
        <w:tc>
          <w:tcPr>
            <w:tcW w:w="1140" w:type="dxa"/>
            <w:gridSpan w:val="2"/>
            <w:tcBorders>
              <w:bottom w:val="single" w:sz="8" w:space="0" w:color="6D6D6D"/>
            </w:tcBorders>
            <w:tcMar>
              <w:top w:w="20" w:type="nil"/>
              <w:left w:w="20" w:type="nil"/>
              <w:bottom w:w="20" w:type="nil"/>
              <w:right w:w="20" w:type="nil"/>
            </w:tcMar>
            <w:vAlign w:val="center"/>
          </w:tcPr>
          <w:p w14:paraId="0EF3A85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8</w:t>
            </w:r>
          </w:p>
        </w:tc>
        <w:tc>
          <w:tcPr>
            <w:tcW w:w="1140" w:type="dxa"/>
            <w:tcBorders>
              <w:bottom w:val="single" w:sz="8" w:space="0" w:color="6D6D6D"/>
            </w:tcBorders>
            <w:tcMar>
              <w:top w:w="20" w:type="nil"/>
              <w:left w:w="20" w:type="nil"/>
              <w:bottom w:w="20" w:type="nil"/>
              <w:right w:w="20" w:type="nil"/>
            </w:tcMar>
            <w:vAlign w:val="center"/>
          </w:tcPr>
          <w:p w14:paraId="348EB51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9</w:t>
            </w:r>
          </w:p>
        </w:tc>
        <w:tc>
          <w:tcPr>
            <w:tcW w:w="1140" w:type="dxa"/>
            <w:tcBorders>
              <w:bottom w:val="single" w:sz="8" w:space="0" w:color="6D6D6D"/>
            </w:tcBorders>
            <w:tcMar>
              <w:top w:w="20" w:type="nil"/>
              <w:left w:w="20" w:type="nil"/>
              <w:bottom w:w="20" w:type="nil"/>
              <w:right w:w="20" w:type="nil"/>
            </w:tcMar>
            <w:vAlign w:val="center"/>
          </w:tcPr>
          <w:p w14:paraId="61C58A1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10</w:t>
            </w:r>
          </w:p>
        </w:tc>
        <w:tc>
          <w:tcPr>
            <w:tcW w:w="1337" w:type="dxa"/>
            <w:tcBorders>
              <w:bottom w:val="single" w:sz="8" w:space="0" w:color="6D6D6D"/>
            </w:tcBorders>
            <w:tcMar>
              <w:top w:w="20" w:type="nil"/>
              <w:left w:w="20" w:type="nil"/>
              <w:bottom w:w="20" w:type="nil"/>
              <w:right w:w="20" w:type="nil"/>
            </w:tcMar>
            <w:vAlign w:val="center"/>
          </w:tcPr>
          <w:p w14:paraId="724EAB27"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11</w:t>
            </w:r>
          </w:p>
        </w:tc>
      </w:tr>
      <w:tr w:rsidR="008A5243" w14:paraId="5486BECF" w14:textId="77777777" w:rsidTr="008A5243">
        <w:tblPrEx>
          <w:tblBorders>
            <w:top w:val="none" w:sz="0" w:space="0" w:color="auto"/>
          </w:tblBorders>
          <w:tblCellMar>
            <w:top w:w="0" w:type="dxa"/>
            <w:bottom w:w="0" w:type="dxa"/>
          </w:tblCellMar>
        </w:tblPrEx>
        <w:tc>
          <w:tcPr>
            <w:tcW w:w="1967" w:type="dxa"/>
            <w:tcMar>
              <w:top w:w="80" w:type="nil"/>
              <w:left w:w="80" w:type="nil"/>
              <w:bottom w:w="40" w:type="nil"/>
              <w:right w:w="80" w:type="nil"/>
            </w:tcMar>
            <w:vAlign w:val="center"/>
          </w:tcPr>
          <w:p w14:paraId="25E44AD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ELA</w:t>
            </w:r>
          </w:p>
        </w:tc>
        <w:tc>
          <w:tcPr>
            <w:tcW w:w="239" w:type="dxa"/>
            <w:tcMar>
              <w:top w:w="80" w:type="nil"/>
              <w:left w:w="80" w:type="nil"/>
              <w:bottom w:w="40" w:type="nil"/>
              <w:right w:w="80" w:type="nil"/>
            </w:tcMar>
            <w:vAlign w:val="center"/>
          </w:tcPr>
          <w:p w14:paraId="4216D2A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140" w:type="dxa"/>
            <w:tcMar>
              <w:top w:w="80" w:type="nil"/>
              <w:left w:w="80" w:type="nil"/>
              <w:bottom w:w="40" w:type="nil"/>
              <w:right w:w="80" w:type="nil"/>
            </w:tcMar>
            <w:vAlign w:val="center"/>
          </w:tcPr>
          <w:p w14:paraId="009BEFE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230" w:type="dxa"/>
            <w:tcMar>
              <w:top w:w="80" w:type="nil"/>
              <w:left w:w="80" w:type="nil"/>
              <w:bottom w:w="40" w:type="nil"/>
              <w:right w:w="80" w:type="nil"/>
            </w:tcMar>
            <w:vAlign w:val="center"/>
          </w:tcPr>
          <w:p w14:paraId="794FB4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Mar>
              <w:top w:w="80" w:type="nil"/>
              <w:left w:w="80" w:type="nil"/>
              <w:bottom w:w="40" w:type="nil"/>
              <w:right w:w="80" w:type="nil"/>
            </w:tcMar>
            <w:vAlign w:val="center"/>
          </w:tcPr>
          <w:p w14:paraId="01BA707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Mar>
              <w:top w:w="80" w:type="nil"/>
              <w:left w:w="80" w:type="nil"/>
              <w:bottom w:w="40" w:type="nil"/>
              <w:right w:w="80" w:type="nil"/>
            </w:tcMar>
            <w:vAlign w:val="center"/>
          </w:tcPr>
          <w:p w14:paraId="6878AD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gridSpan w:val="2"/>
            <w:tcMar>
              <w:top w:w="80" w:type="nil"/>
              <w:left w:w="80" w:type="nil"/>
              <w:bottom w:w="40" w:type="nil"/>
              <w:right w:w="80" w:type="nil"/>
            </w:tcMar>
            <w:vAlign w:val="center"/>
          </w:tcPr>
          <w:p w14:paraId="7898FA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Mar>
              <w:top w:w="80" w:type="nil"/>
              <w:left w:w="80" w:type="nil"/>
              <w:bottom w:w="40" w:type="nil"/>
              <w:right w:w="80" w:type="nil"/>
            </w:tcMar>
            <w:vAlign w:val="center"/>
          </w:tcPr>
          <w:p w14:paraId="1FC49A9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Mar>
              <w:top w:w="80" w:type="nil"/>
              <w:left w:w="80" w:type="nil"/>
              <w:bottom w:w="40" w:type="nil"/>
              <w:right w:w="80" w:type="nil"/>
            </w:tcMar>
            <w:vAlign w:val="center"/>
          </w:tcPr>
          <w:p w14:paraId="546ADE0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337" w:type="dxa"/>
            <w:tcMar>
              <w:top w:w="80" w:type="nil"/>
              <w:left w:w="80" w:type="nil"/>
              <w:bottom w:w="40" w:type="nil"/>
              <w:right w:w="80" w:type="nil"/>
            </w:tcMar>
            <w:vAlign w:val="center"/>
          </w:tcPr>
          <w:p w14:paraId="22D4B09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r>
      <w:tr w:rsidR="008A5243" w14:paraId="1242436A" w14:textId="77777777" w:rsidTr="008A5243">
        <w:tblPrEx>
          <w:tblCellMar>
            <w:top w:w="0" w:type="dxa"/>
            <w:bottom w:w="0" w:type="dxa"/>
          </w:tblCellMar>
        </w:tblPrEx>
        <w:tc>
          <w:tcPr>
            <w:tcW w:w="1967" w:type="dxa"/>
            <w:tcBorders>
              <w:bottom w:val="single" w:sz="16" w:space="0" w:color="6D6D6D"/>
            </w:tcBorders>
            <w:tcMar>
              <w:top w:w="80" w:type="nil"/>
              <w:left w:w="80" w:type="nil"/>
              <w:bottom w:w="40" w:type="nil"/>
              <w:right w:w="80" w:type="nil"/>
            </w:tcMar>
            <w:vAlign w:val="center"/>
          </w:tcPr>
          <w:p w14:paraId="5052E90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w:t>
            </w:r>
          </w:p>
        </w:tc>
        <w:tc>
          <w:tcPr>
            <w:tcW w:w="239" w:type="dxa"/>
            <w:tcBorders>
              <w:bottom w:val="single" w:sz="16" w:space="0" w:color="6D6D6D"/>
            </w:tcBorders>
            <w:tcMar>
              <w:top w:w="80" w:type="nil"/>
              <w:left w:w="80" w:type="nil"/>
              <w:bottom w:w="40" w:type="nil"/>
              <w:right w:w="80" w:type="nil"/>
            </w:tcMar>
            <w:vAlign w:val="center"/>
          </w:tcPr>
          <w:p w14:paraId="17C1DB7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140" w:type="dxa"/>
            <w:tcBorders>
              <w:bottom w:val="single" w:sz="16" w:space="0" w:color="6D6D6D"/>
            </w:tcBorders>
            <w:tcMar>
              <w:top w:w="80" w:type="nil"/>
              <w:left w:w="80" w:type="nil"/>
              <w:bottom w:w="40" w:type="nil"/>
              <w:right w:w="80" w:type="nil"/>
            </w:tcMar>
            <w:vAlign w:val="center"/>
          </w:tcPr>
          <w:p w14:paraId="030CAFE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230" w:type="dxa"/>
            <w:tcBorders>
              <w:bottom w:val="single" w:sz="16" w:space="0" w:color="6D6D6D"/>
            </w:tcBorders>
            <w:tcMar>
              <w:top w:w="80" w:type="nil"/>
              <w:left w:w="80" w:type="nil"/>
              <w:bottom w:w="40" w:type="nil"/>
              <w:right w:w="80" w:type="nil"/>
            </w:tcMar>
            <w:vAlign w:val="center"/>
          </w:tcPr>
          <w:p w14:paraId="18C61F8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Borders>
              <w:bottom w:val="single" w:sz="16" w:space="0" w:color="6D6D6D"/>
            </w:tcBorders>
            <w:tcMar>
              <w:top w:w="80" w:type="nil"/>
              <w:left w:w="80" w:type="nil"/>
              <w:bottom w:w="40" w:type="nil"/>
              <w:right w:w="80" w:type="nil"/>
            </w:tcMar>
            <w:vAlign w:val="center"/>
          </w:tcPr>
          <w:p w14:paraId="03B4E86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Borders>
              <w:bottom w:val="single" w:sz="16" w:space="0" w:color="6D6D6D"/>
            </w:tcBorders>
            <w:tcMar>
              <w:top w:w="80" w:type="nil"/>
              <w:left w:w="80" w:type="nil"/>
              <w:bottom w:w="40" w:type="nil"/>
              <w:right w:w="80" w:type="nil"/>
            </w:tcMar>
            <w:vAlign w:val="center"/>
          </w:tcPr>
          <w:p w14:paraId="4E45484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gridSpan w:val="2"/>
            <w:tcBorders>
              <w:bottom w:val="single" w:sz="16" w:space="0" w:color="6D6D6D"/>
            </w:tcBorders>
            <w:tcMar>
              <w:top w:w="80" w:type="nil"/>
              <w:left w:w="80" w:type="nil"/>
              <w:bottom w:w="40" w:type="nil"/>
              <w:right w:w="80" w:type="nil"/>
            </w:tcMar>
            <w:vAlign w:val="center"/>
          </w:tcPr>
          <w:p w14:paraId="52F3C6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140" w:type="dxa"/>
            <w:tcBorders>
              <w:bottom w:val="single" w:sz="16" w:space="0" w:color="6D6D6D"/>
            </w:tcBorders>
            <w:tcMar>
              <w:top w:w="80" w:type="nil"/>
              <w:left w:w="80" w:type="nil"/>
              <w:bottom w:w="40" w:type="nil"/>
              <w:right w:w="80" w:type="nil"/>
            </w:tcMar>
            <w:vAlign w:val="center"/>
          </w:tcPr>
          <w:p w14:paraId="6D1AD695" w14:textId="77777777" w:rsidR="008A5243" w:rsidRDefault="008A5243">
            <w:pPr>
              <w:widowControl w:val="0"/>
              <w:autoSpaceDE w:val="0"/>
              <w:autoSpaceDN w:val="0"/>
              <w:adjustRightInd w:val="0"/>
              <w:rPr>
                <w:rFonts w:ascii="Arial" w:hAnsi="Arial" w:cs="Arial"/>
                <w:sz w:val="26"/>
                <w:szCs w:val="26"/>
                <w:u w:color="0000E9"/>
              </w:rPr>
            </w:pPr>
          </w:p>
        </w:tc>
        <w:tc>
          <w:tcPr>
            <w:tcW w:w="1140" w:type="dxa"/>
            <w:tcBorders>
              <w:bottom w:val="single" w:sz="16" w:space="0" w:color="6D6D6D"/>
            </w:tcBorders>
            <w:tcMar>
              <w:top w:w="80" w:type="nil"/>
              <w:left w:w="80" w:type="nil"/>
              <w:bottom w:w="40" w:type="nil"/>
              <w:right w:w="80" w:type="nil"/>
            </w:tcMar>
            <w:vAlign w:val="center"/>
          </w:tcPr>
          <w:p w14:paraId="39A70140" w14:textId="77777777" w:rsidR="008A5243" w:rsidRDefault="008A5243">
            <w:pPr>
              <w:widowControl w:val="0"/>
              <w:autoSpaceDE w:val="0"/>
              <w:autoSpaceDN w:val="0"/>
              <w:adjustRightInd w:val="0"/>
              <w:rPr>
                <w:rFonts w:ascii="Arial" w:hAnsi="Arial" w:cs="Arial"/>
                <w:sz w:val="26"/>
                <w:szCs w:val="26"/>
                <w:u w:color="0000E9"/>
              </w:rPr>
            </w:pPr>
          </w:p>
        </w:tc>
        <w:tc>
          <w:tcPr>
            <w:tcW w:w="1337" w:type="dxa"/>
            <w:tcBorders>
              <w:bottom w:val="single" w:sz="16" w:space="0" w:color="6D6D6D"/>
            </w:tcBorders>
            <w:tcMar>
              <w:top w:w="80" w:type="nil"/>
              <w:left w:w="80" w:type="nil"/>
              <w:bottom w:w="40" w:type="nil"/>
              <w:right w:w="80" w:type="nil"/>
            </w:tcMar>
            <w:vAlign w:val="center"/>
          </w:tcPr>
          <w:p w14:paraId="56E7B61C" w14:textId="77777777" w:rsidR="008A5243" w:rsidRDefault="008A5243">
            <w:pPr>
              <w:widowControl w:val="0"/>
              <w:autoSpaceDE w:val="0"/>
              <w:autoSpaceDN w:val="0"/>
              <w:adjustRightInd w:val="0"/>
              <w:rPr>
                <w:rFonts w:ascii="Arial" w:hAnsi="Arial" w:cs="Arial"/>
                <w:sz w:val="26"/>
                <w:szCs w:val="26"/>
                <w:u w:color="0000E9"/>
              </w:rPr>
            </w:pPr>
          </w:p>
        </w:tc>
      </w:tr>
      <w:tr w:rsidR="008A5243" w14:paraId="5B56B0ED" w14:textId="77777777" w:rsidTr="008A5243">
        <w:tblPrEx>
          <w:tblCellMar>
            <w:top w:w="0" w:type="dxa"/>
            <w:bottom w:w="0" w:type="dxa"/>
          </w:tblCellMar>
        </w:tblPrEx>
        <w:tc>
          <w:tcPr>
            <w:tcW w:w="11613" w:type="dxa"/>
            <w:gridSpan w:val="11"/>
            <w:tcMar>
              <w:top w:w="80" w:type="nil"/>
              <w:left w:w="80" w:type="nil"/>
              <w:bottom w:w="40" w:type="nil"/>
              <w:right w:w="80" w:type="nil"/>
            </w:tcMar>
            <w:vAlign w:val="center"/>
          </w:tcPr>
          <w:p w14:paraId="1320FAEC" w14:textId="77777777" w:rsidR="008A5243" w:rsidRDefault="008A5243">
            <w:pPr>
              <w:widowControl w:val="0"/>
              <w:autoSpaceDE w:val="0"/>
              <w:autoSpaceDN w:val="0"/>
              <w:adjustRightInd w:val="0"/>
              <w:rPr>
                <w:rFonts w:ascii="Arial" w:hAnsi="Arial" w:cs="Arial"/>
                <w:b/>
                <w:bCs/>
                <w:sz w:val="26"/>
                <w:szCs w:val="26"/>
                <w:u w:color="0000E9"/>
              </w:rPr>
            </w:pPr>
          </w:p>
          <w:p w14:paraId="7346F929" w14:textId="77777777" w:rsidR="008A5243" w:rsidRDefault="008A5243">
            <w:pPr>
              <w:widowControl w:val="0"/>
              <w:autoSpaceDE w:val="0"/>
              <w:autoSpaceDN w:val="0"/>
              <w:adjustRightInd w:val="0"/>
              <w:rPr>
                <w:rFonts w:ascii="Arial" w:hAnsi="Arial" w:cs="Arial"/>
                <w:b/>
                <w:bCs/>
                <w:sz w:val="26"/>
                <w:szCs w:val="26"/>
                <w:u w:color="0000E9"/>
              </w:rPr>
            </w:pPr>
          </w:p>
          <w:p w14:paraId="04D19A67" w14:textId="77777777" w:rsidR="008A5243" w:rsidRDefault="008A5243">
            <w:pPr>
              <w:widowControl w:val="0"/>
              <w:autoSpaceDE w:val="0"/>
              <w:autoSpaceDN w:val="0"/>
              <w:adjustRightInd w:val="0"/>
              <w:rPr>
                <w:rFonts w:ascii="Arial" w:hAnsi="Arial" w:cs="Arial"/>
                <w:b/>
                <w:bCs/>
                <w:sz w:val="26"/>
                <w:szCs w:val="26"/>
                <w:u w:color="0000E9"/>
              </w:rPr>
            </w:pPr>
          </w:p>
          <w:p w14:paraId="781D024F" w14:textId="77777777" w:rsidR="008A5243" w:rsidRDefault="008A5243">
            <w:pPr>
              <w:widowControl w:val="0"/>
              <w:autoSpaceDE w:val="0"/>
              <w:autoSpaceDN w:val="0"/>
              <w:adjustRightInd w:val="0"/>
              <w:rPr>
                <w:rFonts w:ascii="Arial" w:hAnsi="Arial" w:cs="Arial"/>
                <w:b/>
                <w:bCs/>
                <w:sz w:val="26"/>
                <w:szCs w:val="26"/>
                <w:u w:color="0000E9"/>
              </w:rPr>
            </w:pPr>
          </w:p>
          <w:p w14:paraId="0BEE86F1" w14:textId="77777777" w:rsidR="008A5243" w:rsidRDefault="008A5243">
            <w:pPr>
              <w:widowControl w:val="0"/>
              <w:autoSpaceDE w:val="0"/>
              <w:autoSpaceDN w:val="0"/>
              <w:adjustRightInd w:val="0"/>
              <w:rPr>
                <w:rFonts w:ascii="Arial" w:hAnsi="Arial" w:cs="Arial"/>
                <w:b/>
                <w:bCs/>
                <w:sz w:val="26"/>
                <w:szCs w:val="26"/>
                <w:u w:color="0000E9"/>
              </w:rPr>
            </w:pPr>
          </w:p>
          <w:p w14:paraId="58BB70F0" w14:textId="77777777" w:rsidR="008A5243" w:rsidRDefault="008A5243">
            <w:pPr>
              <w:widowControl w:val="0"/>
              <w:autoSpaceDE w:val="0"/>
              <w:autoSpaceDN w:val="0"/>
              <w:adjustRightInd w:val="0"/>
              <w:rPr>
                <w:rFonts w:ascii="Arial" w:hAnsi="Arial" w:cs="Arial"/>
                <w:b/>
                <w:bCs/>
                <w:sz w:val="26"/>
                <w:szCs w:val="26"/>
                <w:u w:color="0000E9"/>
              </w:rPr>
            </w:pPr>
          </w:p>
          <w:p w14:paraId="29E899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6:</w:t>
            </w:r>
            <w:r>
              <w:rPr>
                <w:rFonts w:ascii="Arial" w:hAnsi="Arial" w:cs="Arial"/>
                <w:sz w:val="26"/>
                <w:szCs w:val="26"/>
                <w:u w:color="0000E9"/>
              </w:rPr>
              <w:t xml:space="preserve"> Spring 2016 EOCT Median and Mean Student Growth Percentile by Content Area.</w:t>
            </w:r>
          </w:p>
        </w:tc>
      </w:tr>
      <w:tr w:rsidR="008A5243" w14:paraId="5CBE02E4" w14:textId="77777777" w:rsidTr="008A5243">
        <w:tblPrEx>
          <w:tblBorders>
            <w:top w:val="none" w:sz="0" w:space="0" w:color="auto"/>
          </w:tblBorders>
          <w:tblCellMar>
            <w:top w:w="0" w:type="dxa"/>
            <w:bottom w:w="0" w:type="dxa"/>
          </w:tblCellMar>
        </w:tblPrEx>
        <w:tc>
          <w:tcPr>
            <w:tcW w:w="4576" w:type="dxa"/>
            <w:gridSpan w:val="4"/>
            <w:tcBorders>
              <w:top w:val="single" w:sz="16" w:space="0" w:color="6D6D6D"/>
              <w:bottom w:val="single" w:sz="8" w:space="0" w:color="6D6D6D"/>
            </w:tcBorders>
            <w:tcMar>
              <w:top w:w="20" w:type="nil"/>
              <w:left w:w="20" w:type="nil"/>
              <w:bottom w:w="20" w:type="nil"/>
              <w:right w:w="20" w:type="nil"/>
            </w:tcMar>
            <w:vAlign w:val="center"/>
          </w:tcPr>
          <w:p w14:paraId="27CE489E"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3230" w:type="dxa"/>
            <w:gridSpan w:val="3"/>
            <w:tcBorders>
              <w:top w:val="single" w:sz="16" w:space="0" w:color="6D6D6D"/>
              <w:bottom w:val="single" w:sz="8" w:space="0" w:color="6D6D6D"/>
            </w:tcBorders>
            <w:tcMar>
              <w:top w:w="20" w:type="nil"/>
              <w:left w:w="20" w:type="nil"/>
              <w:bottom w:w="20" w:type="nil"/>
              <w:right w:w="20" w:type="nil"/>
            </w:tcMar>
            <w:vAlign w:val="center"/>
          </w:tcPr>
          <w:p w14:paraId="2FC4AB0B"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Median SGP</w:t>
            </w:r>
          </w:p>
        </w:tc>
        <w:tc>
          <w:tcPr>
            <w:tcW w:w="3807" w:type="dxa"/>
            <w:gridSpan w:val="4"/>
            <w:tcBorders>
              <w:top w:val="single" w:sz="16" w:space="0" w:color="6D6D6D"/>
              <w:bottom w:val="single" w:sz="8" w:space="0" w:color="6D6D6D"/>
            </w:tcBorders>
            <w:tcMar>
              <w:top w:w="20" w:type="nil"/>
              <w:left w:w="20" w:type="nil"/>
              <w:bottom w:w="20" w:type="nil"/>
              <w:right w:w="20" w:type="nil"/>
            </w:tcMar>
            <w:vAlign w:val="center"/>
          </w:tcPr>
          <w:p w14:paraId="26E2901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r>
      <w:tr w:rsidR="008A5243" w14:paraId="5E90B80E" w14:textId="77777777" w:rsidTr="008A5243">
        <w:tblPrEx>
          <w:tblBorders>
            <w:top w:val="none" w:sz="0" w:space="0" w:color="auto"/>
          </w:tblBorders>
          <w:tblCellMar>
            <w:top w:w="0" w:type="dxa"/>
            <w:bottom w:w="0" w:type="dxa"/>
          </w:tblCellMar>
        </w:tblPrEx>
        <w:tc>
          <w:tcPr>
            <w:tcW w:w="4576" w:type="dxa"/>
            <w:gridSpan w:val="4"/>
            <w:tcMar>
              <w:top w:w="80" w:type="nil"/>
              <w:left w:w="80" w:type="nil"/>
              <w:bottom w:w="40" w:type="nil"/>
              <w:right w:w="80" w:type="nil"/>
            </w:tcMar>
            <w:vAlign w:val="center"/>
          </w:tcPr>
          <w:p w14:paraId="0081C4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3230" w:type="dxa"/>
            <w:gridSpan w:val="3"/>
            <w:tcMar>
              <w:top w:w="80" w:type="nil"/>
              <w:left w:w="80" w:type="nil"/>
              <w:bottom w:w="40" w:type="nil"/>
              <w:right w:w="80" w:type="nil"/>
            </w:tcMar>
            <w:vAlign w:val="center"/>
          </w:tcPr>
          <w:p w14:paraId="0D59CD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807" w:type="dxa"/>
            <w:gridSpan w:val="4"/>
            <w:tcMar>
              <w:top w:w="80" w:type="nil"/>
              <w:left w:w="80" w:type="nil"/>
              <w:bottom w:w="40" w:type="nil"/>
              <w:right w:w="80" w:type="nil"/>
            </w:tcMar>
            <w:vAlign w:val="center"/>
          </w:tcPr>
          <w:p w14:paraId="493A59B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75BCC49F" w14:textId="77777777" w:rsidTr="008A5243">
        <w:tblPrEx>
          <w:tblBorders>
            <w:top w:val="none" w:sz="0" w:space="0" w:color="auto"/>
          </w:tblBorders>
          <w:tblCellMar>
            <w:top w:w="0" w:type="dxa"/>
            <w:bottom w:w="0" w:type="dxa"/>
          </w:tblCellMar>
        </w:tblPrEx>
        <w:tc>
          <w:tcPr>
            <w:tcW w:w="4576" w:type="dxa"/>
            <w:gridSpan w:val="4"/>
            <w:tcMar>
              <w:top w:w="80" w:type="nil"/>
              <w:left w:w="80" w:type="nil"/>
              <w:bottom w:w="40" w:type="nil"/>
              <w:right w:w="80" w:type="nil"/>
            </w:tcMar>
            <w:vAlign w:val="center"/>
          </w:tcPr>
          <w:p w14:paraId="70F1C8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3230" w:type="dxa"/>
            <w:gridSpan w:val="3"/>
            <w:tcMar>
              <w:top w:w="80" w:type="nil"/>
              <w:left w:w="80" w:type="nil"/>
              <w:bottom w:w="40" w:type="nil"/>
              <w:right w:w="80" w:type="nil"/>
            </w:tcMar>
            <w:vAlign w:val="center"/>
          </w:tcPr>
          <w:p w14:paraId="06B51B4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807" w:type="dxa"/>
            <w:gridSpan w:val="4"/>
            <w:tcMar>
              <w:top w:w="80" w:type="nil"/>
              <w:left w:w="80" w:type="nil"/>
              <w:bottom w:w="40" w:type="nil"/>
              <w:right w:w="80" w:type="nil"/>
            </w:tcMar>
            <w:vAlign w:val="center"/>
          </w:tcPr>
          <w:p w14:paraId="6CE3AEF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79830646" w14:textId="77777777" w:rsidTr="008A5243">
        <w:tblPrEx>
          <w:tblBorders>
            <w:top w:val="none" w:sz="0" w:space="0" w:color="auto"/>
          </w:tblBorders>
          <w:tblCellMar>
            <w:top w:w="0" w:type="dxa"/>
            <w:bottom w:w="0" w:type="dxa"/>
          </w:tblCellMar>
        </w:tblPrEx>
        <w:tc>
          <w:tcPr>
            <w:tcW w:w="4576" w:type="dxa"/>
            <w:gridSpan w:val="4"/>
            <w:tcMar>
              <w:top w:w="80" w:type="nil"/>
              <w:left w:w="80" w:type="nil"/>
              <w:bottom w:w="40" w:type="nil"/>
              <w:right w:w="80" w:type="nil"/>
            </w:tcMar>
            <w:vAlign w:val="center"/>
          </w:tcPr>
          <w:p w14:paraId="65D0084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3230" w:type="dxa"/>
            <w:gridSpan w:val="3"/>
            <w:tcMar>
              <w:top w:w="80" w:type="nil"/>
              <w:left w:w="80" w:type="nil"/>
              <w:bottom w:w="40" w:type="nil"/>
              <w:right w:w="80" w:type="nil"/>
            </w:tcMar>
            <w:vAlign w:val="center"/>
          </w:tcPr>
          <w:p w14:paraId="78D9DF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807" w:type="dxa"/>
            <w:gridSpan w:val="4"/>
            <w:tcMar>
              <w:top w:w="80" w:type="nil"/>
              <w:left w:w="80" w:type="nil"/>
              <w:bottom w:w="40" w:type="nil"/>
              <w:right w:w="80" w:type="nil"/>
            </w:tcMar>
            <w:vAlign w:val="center"/>
          </w:tcPr>
          <w:p w14:paraId="5971B03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50.1</w:t>
            </w:r>
          </w:p>
        </w:tc>
      </w:tr>
      <w:tr w:rsidR="008A5243" w14:paraId="0218040A" w14:textId="77777777" w:rsidTr="008A5243">
        <w:tblPrEx>
          <w:tblBorders>
            <w:top w:val="none" w:sz="0" w:space="0" w:color="auto"/>
          </w:tblBorders>
          <w:tblCellMar>
            <w:top w:w="0" w:type="dxa"/>
            <w:bottom w:w="0" w:type="dxa"/>
          </w:tblCellMar>
        </w:tblPrEx>
        <w:tc>
          <w:tcPr>
            <w:tcW w:w="4576" w:type="dxa"/>
            <w:gridSpan w:val="4"/>
            <w:tcMar>
              <w:top w:w="80" w:type="nil"/>
              <w:left w:w="80" w:type="nil"/>
              <w:bottom w:w="40" w:type="nil"/>
              <w:right w:w="80" w:type="nil"/>
            </w:tcMar>
            <w:vAlign w:val="center"/>
          </w:tcPr>
          <w:p w14:paraId="32949DC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1</w:t>
            </w:r>
          </w:p>
        </w:tc>
        <w:tc>
          <w:tcPr>
            <w:tcW w:w="3230" w:type="dxa"/>
            <w:gridSpan w:val="3"/>
            <w:tcMar>
              <w:top w:w="80" w:type="nil"/>
              <w:left w:w="80" w:type="nil"/>
              <w:bottom w:w="40" w:type="nil"/>
              <w:right w:w="80" w:type="nil"/>
            </w:tcMar>
            <w:vAlign w:val="center"/>
          </w:tcPr>
          <w:p w14:paraId="0A756F9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807" w:type="dxa"/>
            <w:gridSpan w:val="4"/>
            <w:tcMar>
              <w:top w:w="80" w:type="nil"/>
              <w:left w:w="80" w:type="nil"/>
              <w:bottom w:w="40" w:type="nil"/>
              <w:right w:w="80" w:type="nil"/>
            </w:tcMar>
            <w:vAlign w:val="center"/>
          </w:tcPr>
          <w:p w14:paraId="5647230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49.9</w:t>
            </w:r>
          </w:p>
        </w:tc>
      </w:tr>
      <w:tr w:rsidR="008A5243" w14:paraId="5F614186" w14:textId="77777777" w:rsidTr="008A5243">
        <w:tblPrEx>
          <w:tblCellMar>
            <w:top w:w="0" w:type="dxa"/>
            <w:bottom w:w="0" w:type="dxa"/>
          </w:tblCellMar>
        </w:tblPrEx>
        <w:tc>
          <w:tcPr>
            <w:tcW w:w="4576" w:type="dxa"/>
            <w:gridSpan w:val="4"/>
            <w:tcBorders>
              <w:bottom w:val="single" w:sz="16" w:space="0" w:color="6D6D6D"/>
            </w:tcBorders>
            <w:tcMar>
              <w:top w:w="80" w:type="nil"/>
              <w:left w:w="80" w:type="nil"/>
              <w:bottom w:w="40" w:type="nil"/>
              <w:right w:w="80" w:type="nil"/>
            </w:tcMar>
            <w:vAlign w:val="center"/>
          </w:tcPr>
          <w:p w14:paraId="6E5F991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2</w:t>
            </w:r>
          </w:p>
        </w:tc>
        <w:tc>
          <w:tcPr>
            <w:tcW w:w="3230" w:type="dxa"/>
            <w:gridSpan w:val="3"/>
            <w:tcBorders>
              <w:bottom w:val="single" w:sz="16" w:space="0" w:color="6D6D6D"/>
            </w:tcBorders>
            <w:tcMar>
              <w:top w:w="80" w:type="nil"/>
              <w:left w:w="80" w:type="nil"/>
              <w:bottom w:w="40" w:type="nil"/>
              <w:right w:w="80" w:type="nil"/>
            </w:tcMar>
            <w:vAlign w:val="center"/>
          </w:tcPr>
          <w:p w14:paraId="648127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807" w:type="dxa"/>
            <w:gridSpan w:val="4"/>
            <w:tcBorders>
              <w:bottom w:val="single" w:sz="16" w:space="0" w:color="6D6D6D"/>
            </w:tcBorders>
            <w:tcMar>
              <w:top w:w="80" w:type="nil"/>
              <w:left w:w="80" w:type="nil"/>
              <w:bottom w:w="40" w:type="nil"/>
              <w:right w:w="80" w:type="nil"/>
            </w:tcMar>
            <w:vAlign w:val="center"/>
          </w:tcPr>
          <w:p w14:paraId="49C32B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49.8</w:t>
            </w:r>
          </w:p>
        </w:tc>
      </w:tr>
    </w:tbl>
    <w:p w14:paraId="311BAAFD" w14:textId="77777777" w:rsidR="008A5243" w:rsidRDefault="008A5243" w:rsidP="008A5243">
      <w:pPr>
        <w:widowControl w:val="0"/>
        <w:autoSpaceDE w:val="0"/>
        <w:autoSpaceDN w:val="0"/>
        <w:adjustRightInd w:val="0"/>
        <w:rPr>
          <w:rFonts w:ascii="Calibri" w:hAnsi="Calibri" w:cs="Calibri"/>
          <w:sz w:val="29"/>
          <w:szCs w:val="29"/>
          <w:u w:color="0000E9"/>
        </w:rPr>
      </w:pPr>
    </w:p>
    <w:p w14:paraId="0D7B88AD"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Based upon perfect model fit to the data, the median of all state growth percentiles in each grade by year by subject combination should be 50. That is, in the conditional distributions, 50 percent of growth percentiles should be less than 50 and 50 percent should be greater than 50. Deviations from 50 indicate imperfect model fit to the data. Imperfect model fit can occur for a number of reasons, some due to issues with the data (e.g., floor and ceiling effects leading to a “bunching” up of the data) as well as issues due to the way that the SGP function fits the data. The results in Tables 5 and 6 are close to perfect, with almost all values equal to 50.</w:t>
      </w:r>
    </w:p>
    <w:p w14:paraId="57370361"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The results are coarse in that they are aggregated across hundreds of thousands of students. More refined fit analyses were presented in the Goodness-of-Fit section. Depending upon feedback from Pearson, it may be desirable to tweak some operational parameters and attempt to improve fit even further. The impact upon the operational results based on better fit is expected to be extremely minor.</w:t>
      </w:r>
    </w:p>
    <w:p w14:paraId="7489725B"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It is important to note how, at the entire consortium level, the </w:t>
      </w:r>
      <w:r>
        <w:rPr>
          <w:rFonts w:ascii="Calibri" w:hAnsi="Calibri" w:cs="Calibri"/>
          <w:i/>
          <w:iCs/>
          <w:sz w:val="29"/>
          <w:szCs w:val="29"/>
          <w:u w:color="0000E9"/>
        </w:rPr>
        <w:t>norm-referenced</w:t>
      </w:r>
      <w:r>
        <w:rPr>
          <w:rFonts w:ascii="Calibri" w:hAnsi="Calibri" w:cs="Calibri"/>
          <w:sz w:val="29"/>
          <w:szCs w:val="29"/>
          <w:u w:color="0000E9"/>
        </w:rPr>
        <w:t xml:space="preserve"> growth information returns little information on annual trends due to its norm-reference nature. What the results indicate is that a typical (or average) student in the state demonstrates 50</w:t>
      </w:r>
      <w:r>
        <w:rPr>
          <w:rFonts w:ascii="Calibri" w:hAnsi="Calibri" w:cs="Calibri"/>
          <w:u w:color="0000E9"/>
          <w:vertAlign w:val="superscript"/>
        </w:rPr>
        <w:t>th</w:t>
      </w:r>
      <w:r>
        <w:rPr>
          <w:rFonts w:ascii="Calibri" w:hAnsi="Calibri" w:cs="Calibri"/>
          <w:sz w:val="29"/>
          <w:szCs w:val="29"/>
          <w:u w:color="0000E9"/>
        </w:rPr>
        <w:t xml:space="preserve"> percentile growth. That is, “typical students” demonstrate “typical growth”. One benefit of the norm-referenced results follows when subgroups are examined (e.g., schools, district, demographic groups, etc.) Examining subgroups in terms of the mean or median of their student growth percentiles, it is then possible to investigate why some subgroups display lower/higher student growth than others. Moreover, because the subgroup summary statistic (i.e., the median) is composed of many individual student growth percentiles, one can break out the result and further examine the distribution of individual results.</w:t>
      </w:r>
    </w:p>
    <w:p w14:paraId="57F51042"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5.2 SIMEX Adjusted SGPs</w:t>
      </w:r>
    </w:p>
    <w:p w14:paraId="6F7D8FE9"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The use of error-prone standardized test scores in statistical models can lead to numerous problems. Understanding the effects of measurement error and correcting for it is particularly difficult in the SGP model given that it is based on non-parametric </w:t>
      </w:r>
      <w:proofErr w:type="spellStart"/>
      <w:r>
        <w:rPr>
          <w:rFonts w:ascii="Calibri" w:hAnsi="Calibri" w:cs="Calibri"/>
          <w:sz w:val="29"/>
          <w:szCs w:val="29"/>
          <w:u w:color="0000E9"/>
        </w:rPr>
        <w:t>quantile</w:t>
      </w:r>
      <w:proofErr w:type="spellEnd"/>
      <w:r>
        <w:rPr>
          <w:rFonts w:ascii="Calibri" w:hAnsi="Calibri" w:cs="Calibri"/>
          <w:sz w:val="29"/>
          <w:szCs w:val="29"/>
          <w:u w:color="0000E9"/>
        </w:rPr>
        <w:t xml:space="preserve"> regression. Preliminary investigations suggest that the use of error-prone measures may lead SGP estimates to be inflated for students with high prior achievement and underestimated for students with lower prior achievement. This bias at the individual student-level can translate to bias in aggregate measures (such as median and mean SGPs) when student sorting based on prior achievement exists at the level of aggregation (e.g. classrooms or schools). As a result, growth and prior achievement are (positively) correlated, giving schools and teachers with higher achieving students an undue advantage and disadvantaging those with lower achieving students (Shang et al., 2015).</w:t>
      </w:r>
    </w:p>
    <w:p w14:paraId="3F06D8FA"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Simulation-extrapolation (SIMEX) methods of correcting for measurement error induced bias in the SGP estimation has been proposed and tested in other states. Descriptive statistics from these analyses are provided here and in the Goodness-of-Fit section.</w:t>
      </w:r>
    </w:p>
    <w:tbl>
      <w:tblPr>
        <w:tblW w:w="12087" w:type="dxa"/>
        <w:tblInd w:w="-1086" w:type="dxa"/>
        <w:tblBorders>
          <w:top w:val="nil"/>
          <w:left w:val="nil"/>
          <w:right w:val="nil"/>
        </w:tblBorders>
        <w:tblLayout w:type="fixed"/>
        <w:tblLook w:val="0000" w:firstRow="0" w:lastRow="0" w:firstColumn="0" w:lastColumn="0" w:noHBand="0" w:noVBand="0"/>
      </w:tblPr>
      <w:tblGrid>
        <w:gridCol w:w="1697"/>
        <w:gridCol w:w="236"/>
        <w:gridCol w:w="1207"/>
        <w:gridCol w:w="1930"/>
        <w:gridCol w:w="1207"/>
        <w:gridCol w:w="1207"/>
        <w:gridCol w:w="1141"/>
        <w:gridCol w:w="66"/>
        <w:gridCol w:w="1207"/>
        <w:gridCol w:w="1207"/>
        <w:gridCol w:w="982"/>
      </w:tblGrid>
      <w:tr w:rsidR="008A5243" w14:paraId="260DCE1A" w14:textId="77777777" w:rsidTr="008A5243">
        <w:tblPrEx>
          <w:tblCellMar>
            <w:top w:w="0" w:type="dxa"/>
            <w:bottom w:w="0" w:type="dxa"/>
          </w:tblCellMar>
        </w:tblPrEx>
        <w:tc>
          <w:tcPr>
            <w:tcW w:w="12087" w:type="dxa"/>
            <w:gridSpan w:val="11"/>
            <w:tcMar>
              <w:top w:w="80" w:type="nil"/>
              <w:left w:w="80" w:type="nil"/>
              <w:bottom w:w="40" w:type="nil"/>
              <w:right w:w="80" w:type="nil"/>
            </w:tcMar>
            <w:vAlign w:val="center"/>
          </w:tcPr>
          <w:p w14:paraId="04BEC81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7:</w:t>
            </w:r>
            <w:r>
              <w:rPr>
                <w:rFonts w:ascii="Arial" w:hAnsi="Arial" w:cs="Arial"/>
                <w:sz w:val="26"/>
                <w:szCs w:val="26"/>
                <w:u w:color="0000E9"/>
              </w:rPr>
              <w:t xml:space="preserve"> SIMEX Corrected Grade Level Median (Mean) Student Growth Percentile by Grade and Content Area for Spring 2016</w:t>
            </w:r>
          </w:p>
        </w:tc>
      </w:tr>
      <w:tr w:rsidR="008A5243" w14:paraId="6603BE35" w14:textId="77777777" w:rsidTr="008A5243">
        <w:tblPrEx>
          <w:tblBorders>
            <w:top w:val="none" w:sz="0" w:space="0" w:color="auto"/>
          </w:tblBorders>
          <w:tblCellMar>
            <w:top w:w="0" w:type="dxa"/>
            <w:bottom w:w="0" w:type="dxa"/>
          </w:tblCellMar>
        </w:tblPrEx>
        <w:tc>
          <w:tcPr>
            <w:tcW w:w="1697" w:type="dxa"/>
            <w:tcBorders>
              <w:top w:val="single" w:sz="16" w:space="0" w:color="6D6D6D"/>
            </w:tcBorders>
            <w:tcMar>
              <w:top w:w="20" w:type="nil"/>
              <w:left w:w="20" w:type="nil"/>
              <w:bottom w:w="20" w:type="nil"/>
              <w:right w:w="20" w:type="nil"/>
            </w:tcMar>
            <w:vAlign w:val="center"/>
          </w:tcPr>
          <w:p w14:paraId="7AA88F70" w14:textId="77777777" w:rsidR="008A5243" w:rsidRDefault="008A5243">
            <w:pPr>
              <w:widowControl w:val="0"/>
              <w:autoSpaceDE w:val="0"/>
              <w:autoSpaceDN w:val="0"/>
              <w:adjustRightInd w:val="0"/>
              <w:rPr>
                <w:rFonts w:ascii="Arial" w:hAnsi="Arial" w:cs="Arial"/>
                <w:b/>
                <w:bCs/>
                <w:sz w:val="26"/>
                <w:szCs w:val="26"/>
                <w:u w:color="0000E9"/>
              </w:rPr>
            </w:pPr>
          </w:p>
        </w:tc>
        <w:tc>
          <w:tcPr>
            <w:tcW w:w="236" w:type="dxa"/>
            <w:tcBorders>
              <w:top w:val="single" w:sz="16" w:space="0" w:color="6D6D6D"/>
            </w:tcBorders>
            <w:tcMar>
              <w:top w:w="20" w:type="nil"/>
              <w:left w:w="20" w:type="nil"/>
              <w:bottom w:w="20" w:type="nil"/>
              <w:right w:w="20" w:type="nil"/>
            </w:tcMar>
            <w:vAlign w:val="center"/>
          </w:tcPr>
          <w:p w14:paraId="2F93AD4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10154" w:type="dxa"/>
            <w:gridSpan w:val="9"/>
            <w:tcBorders>
              <w:top w:val="single" w:sz="16" w:space="0" w:color="6D6D6D"/>
              <w:bottom w:val="single" w:sz="8" w:space="0" w:color="6D6D6D"/>
            </w:tcBorders>
            <w:tcMar>
              <w:top w:w="20" w:type="nil"/>
              <w:left w:w="20" w:type="nil"/>
              <w:bottom w:w="20" w:type="nil"/>
              <w:right w:w="20" w:type="nil"/>
            </w:tcMar>
            <w:vAlign w:val="center"/>
          </w:tcPr>
          <w:p w14:paraId="4F6B64B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Grades</w:t>
            </w:r>
          </w:p>
        </w:tc>
      </w:tr>
      <w:tr w:rsidR="008A5243" w14:paraId="0465FE2E" w14:textId="77777777" w:rsidTr="008A5243">
        <w:tblPrEx>
          <w:tblBorders>
            <w:top w:val="none" w:sz="0" w:space="0" w:color="auto"/>
          </w:tblBorders>
          <w:tblCellMar>
            <w:top w:w="0" w:type="dxa"/>
            <w:bottom w:w="0" w:type="dxa"/>
          </w:tblCellMar>
        </w:tblPrEx>
        <w:tc>
          <w:tcPr>
            <w:tcW w:w="1697" w:type="dxa"/>
            <w:tcBorders>
              <w:bottom w:val="single" w:sz="8" w:space="0" w:color="6D6D6D"/>
            </w:tcBorders>
            <w:tcMar>
              <w:top w:w="20" w:type="nil"/>
              <w:left w:w="20" w:type="nil"/>
              <w:bottom w:w="20" w:type="nil"/>
              <w:right w:w="20" w:type="nil"/>
            </w:tcMar>
            <w:vAlign w:val="center"/>
          </w:tcPr>
          <w:p w14:paraId="38A4EF8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236" w:type="dxa"/>
            <w:tcBorders>
              <w:bottom w:val="single" w:sz="8" w:space="0" w:color="6D6D6D"/>
            </w:tcBorders>
            <w:tcMar>
              <w:top w:w="20" w:type="nil"/>
              <w:left w:w="20" w:type="nil"/>
              <w:bottom w:w="20" w:type="nil"/>
              <w:right w:w="20" w:type="nil"/>
            </w:tcMar>
            <w:vAlign w:val="center"/>
          </w:tcPr>
          <w:p w14:paraId="2A8562E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 </w:t>
            </w:r>
          </w:p>
        </w:tc>
        <w:tc>
          <w:tcPr>
            <w:tcW w:w="1207" w:type="dxa"/>
            <w:tcBorders>
              <w:bottom w:val="single" w:sz="8" w:space="0" w:color="6D6D6D"/>
            </w:tcBorders>
            <w:tcMar>
              <w:top w:w="20" w:type="nil"/>
              <w:left w:w="20" w:type="nil"/>
              <w:bottom w:w="20" w:type="nil"/>
              <w:right w:w="20" w:type="nil"/>
            </w:tcMar>
            <w:vAlign w:val="center"/>
          </w:tcPr>
          <w:p w14:paraId="5A2F605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4</w:t>
            </w:r>
          </w:p>
        </w:tc>
        <w:tc>
          <w:tcPr>
            <w:tcW w:w="1930" w:type="dxa"/>
            <w:tcBorders>
              <w:bottom w:val="single" w:sz="8" w:space="0" w:color="6D6D6D"/>
            </w:tcBorders>
            <w:tcMar>
              <w:top w:w="20" w:type="nil"/>
              <w:left w:w="20" w:type="nil"/>
              <w:bottom w:w="20" w:type="nil"/>
              <w:right w:w="20" w:type="nil"/>
            </w:tcMar>
            <w:vAlign w:val="center"/>
          </w:tcPr>
          <w:p w14:paraId="668F436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5</w:t>
            </w:r>
          </w:p>
        </w:tc>
        <w:tc>
          <w:tcPr>
            <w:tcW w:w="1207" w:type="dxa"/>
            <w:tcBorders>
              <w:bottom w:val="single" w:sz="8" w:space="0" w:color="6D6D6D"/>
            </w:tcBorders>
            <w:tcMar>
              <w:top w:w="20" w:type="nil"/>
              <w:left w:w="20" w:type="nil"/>
              <w:bottom w:w="20" w:type="nil"/>
              <w:right w:w="20" w:type="nil"/>
            </w:tcMar>
            <w:vAlign w:val="center"/>
          </w:tcPr>
          <w:p w14:paraId="21193B1B"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6</w:t>
            </w:r>
          </w:p>
        </w:tc>
        <w:tc>
          <w:tcPr>
            <w:tcW w:w="1207" w:type="dxa"/>
            <w:tcBorders>
              <w:bottom w:val="single" w:sz="8" w:space="0" w:color="6D6D6D"/>
            </w:tcBorders>
            <w:tcMar>
              <w:top w:w="20" w:type="nil"/>
              <w:left w:w="20" w:type="nil"/>
              <w:bottom w:w="20" w:type="nil"/>
              <w:right w:w="20" w:type="nil"/>
            </w:tcMar>
            <w:vAlign w:val="center"/>
          </w:tcPr>
          <w:p w14:paraId="5FFD443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7</w:t>
            </w:r>
          </w:p>
        </w:tc>
        <w:tc>
          <w:tcPr>
            <w:tcW w:w="1207" w:type="dxa"/>
            <w:gridSpan w:val="2"/>
            <w:tcBorders>
              <w:bottom w:val="single" w:sz="8" w:space="0" w:color="6D6D6D"/>
            </w:tcBorders>
            <w:tcMar>
              <w:top w:w="20" w:type="nil"/>
              <w:left w:w="20" w:type="nil"/>
              <w:bottom w:w="20" w:type="nil"/>
              <w:right w:w="20" w:type="nil"/>
            </w:tcMar>
            <w:vAlign w:val="center"/>
          </w:tcPr>
          <w:p w14:paraId="122FB24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8</w:t>
            </w:r>
          </w:p>
        </w:tc>
        <w:tc>
          <w:tcPr>
            <w:tcW w:w="1207" w:type="dxa"/>
            <w:tcBorders>
              <w:bottom w:val="single" w:sz="8" w:space="0" w:color="6D6D6D"/>
            </w:tcBorders>
            <w:tcMar>
              <w:top w:w="20" w:type="nil"/>
              <w:left w:w="20" w:type="nil"/>
              <w:bottom w:w="20" w:type="nil"/>
              <w:right w:w="20" w:type="nil"/>
            </w:tcMar>
            <w:vAlign w:val="center"/>
          </w:tcPr>
          <w:p w14:paraId="4AD7FB27"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9</w:t>
            </w:r>
          </w:p>
        </w:tc>
        <w:tc>
          <w:tcPr>
            <w:tcW w:w="1207" w:type="dxa"/>
            <w:tcBorders>
              <w:bottom w:val="single" w:sz="8" w:space="0" w:color="6D6D6D"/>
            </w:tcBorders>
            <w:tcMar>
              <w:top w:w="20" w:type="nil"/>
              <w:left w:w="20" w:type="nil"/>
              <w:bottom w:w="20" w:type="nil"/>
              <w:right w:w="20" w:type="nil"/>
            </w:tcMar>
            <w:vAlign w:val="center"/>
          </w:tcPr>
          <w:p w14:paraId="5ACAF66F"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10</w:t>
            </w:r>
          </w:p>
        </w:tc>
        <w:tc>
          <w:tcPr>
            <w:tcW w:w="982" w:type="dxa"/>
            <w:tcBorders>
              <w:bottom w:val="single" w:sz="8" w:space="0" w:color="6D6D6D"/>
            </w:tcBorders>
            <w:tcMar>
              <w:top w:w="20" w:type="nil"/>
              <w:left w:w="20" w:type="nil"/>
              <w:bottom w:w="20" w:type="nil"/>
              <w:right w:w="20" w:type="nil"/>
            </w:tcMar>
            <w:vAlign w:val="center"/>
          </w:tcPr>
          <w:p w14:paraId="375CF66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11</w:t>
            </w:r>
          </w:p>
        </w:tc>
      </w:tr>
      <w:tr w:rsidR="008A5243" w14:paraId="3705FDBD" w14:textId="77777777" w:rsidTr="008A5243">
        <w:tblPrEx>
          <w:tblBorders>
            <w:top w:val="none" w:sz="0" w:space="0" w:color="auto"/>
          </w:tblBorders>
          <w:tblCellMar>
            <w:top w:w="0" w:type="dxa"/>
            <w:bottom w:w="0" w:type="dxa"/>
          </w:tblCellMar>
        </w:tblPrEx>
        <w:tc>
          <w:tcPr>
            <w:tcW w:w="1697" w:type="dxa"/>
            <w:tcMar>
              <w:top w:w="80" w:type="nil"/>
              <w:left w:w="80" w:type="nil"/>
              <w:bottom w:w="40" w:type="nil"/>
              <w:right w:w="80" w:type="nil"/>
            </w:tcMar>
            <w:vAlign w:val="center"/>
          </w:tcPr>
          <w:p w14:paraId="57D4CAA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ELA</w:t>
            </w:r>
          </w:p>
        </w:tc>
        <w:tc>
          <w:tcPr>
            <w:tcW w:w="236" w:type="dxa"/>
            <w:tcMar>
              <w:top w:w="80" w:type="nil"/>
              <w:left w:w="80" w:type="nil"/>
              <w:bottom w:w="40" w:type="nil"/>
              <w:right w:w="80" w:type="nil"/>
            </w:tcMar>
            <w:vAlign w:val="center"/>
          </w:tcPr>
          <w:p w14:paraId="196E6A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207" w:type="dxa"/>
            <w:tcMar>
              <w:top w:w="80" w:type="nil"/>
              <w:left w:w="80" w:type="nil"/>
              <w:bottom w:w="40" w:type="nil"/>
              <w:right w:w="80" w:type="nil"/>
            </w:tcMar>
            <w:vAlign w:val="center"/>
          </w:tcPr>
          <w:p w14:paraId="3C067B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930" w:type="dxa"/>
            <w:tcMar>
              <w:top w:w="80" w:type="nil"/>
              <w:left w:w="80" w:type="nil"/>
              <w:bottom w:w="40" w:type="nil"/>
              <w:right w:w="80" w:type="nil"/>
            </w:tcMar>
            <w:vAlign w:val="center"/>
          </w:tcPr>
          <w:p w14:paraId="5FAD4D9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207" w:type="dxa"/>
            <w:tcMar>
              <w:top w:w="80" w:type="nil"/>
              <w:left w:w="80" w:type="nil"/>
              <w:bottom w:w="40" w:type="nil"/>
              <w:right w:w="80" w:type="nil"/>
            </w:tcMar>
            <w:vAlign w:val="center"/>
          </w:tcPr>
          <w:p w14:paraId="168770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Mar>
              <w:top w:w="80" w:type="nil"/>
              <w:left w:w="80" w:type="nil"/>
              <w:bottom w:w="40" w:type="nil"/>
              <w:right w:w="80" w:type="nil"/>
            </w:tcMar>
            <w:vAlign w:val="center"/>
          </w:tcPr>
          <w:p w14:paraId="64F6B0D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c>
          <w:tcPr>
            <w:tcW w:w="1207" w:type="dxa"/>
            <w:gridSpan w:val="2"/>
            <w:tcMar>
              <w:top w:w="80" w:type="nil"/>
              <w:left w:w="80" w:type="nil"/>
              <w:bottom w:w="40" w:type="nil"/>
              <w:right w:w="80" w:type="nil"/>
            </w:tcMar>
            <w:vAlign w:val="center"/>
          </w:tcPr>
          <w:p w14:paraId="66EBD2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Mar>
              <w:top w:w="80" w:type="nil"/>
              <w:left w:w="80" w:type="nil"/>
              <w:bottom w:w="40" w:type="nil"/>
              <w:right w:w="80" w:type="nil"/>
            </w:tcMar>
            <w:vAlign w:val="center"/>
          </w:tcPr>
          <w:p w14:paraId="7FFBEA6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Mar>
              <w:top w:w="80" w:type="nil"/>
              <w:left w:w="80" w:type="nil"/>
              <w:bottom w:w="40" w:type="nil"/>
              <w:right w:w="80" w:type="nil"/>
            </w:tcMar>
            <w:vAlign w:val="center"/>
          </w:tcPr>
          <w:p w14:paraId="7E5CB7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982" w:type="dxa"/>
            <w:tcMar>
              <w:top w:w="80" w:type="nil"/>
              <w:left w:w="80" w:type="nil"/>
              <w:bottom w:w="40" w:type="nil"/>
              <w:right w:w="80" w:type="nil"/>
            </w:tcMar>
            <w:vAlign w:val="center"/>
          </w:tcPr>
          <w:p w14:paraId="45F3DA2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(50)</w:t>
            </w:r>
          </w:p>
        </w:tc>
      </w:tr>
      <w:tr w:rsidR="008A5243" w14:paraId="30F2B94A" w14:textId="77777777" w:rsidTr="008A5243">
        <w:tblPrEx>
          <w:tblCellMar>
            <w:top w:w="0" w:type="dxa"/>
            <w:bottom w:w="0" w:type="dxa"/>
          </w:tblCellMar>
        </w:tblPrEx>
        <w:tc>
          <w:tcPr>
            <w:tcW w:w="1697" w:type="dxa"/>
            <w:tcBorders>
              <w:bottom w:val="single" w:sz="16" w:space="0" w:color="6D6D6D"/>
            </w:tcBorders>
            <w:tcMar>
              <w:top w:w="80" w:type="nil"/>
              <w:left w:w="80" w:type="nil"/>
              <w:bottom w:w="40" w:type="nil"/>
              <w:right w:w="80" w:type="nil"/>
            </w:tcMar>
            <w:vAlign w:val="center"/>
          </w:tcPr>
          <w:p w14:paraId="7BE40C2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Mathematics</w:t>
            </w:r>
          </w:p>
        </w:tc>
        <w:tc>
          <w:tcPr>
            <w:tcW w:w="236" w:type="dxa"/>
            <w:tcBorders>
              <w:bottom w:val="single" w:sz="16" w:space="0" w:color="6D6D6D"/>
            </w:tcBorders>
            <w:tcMar>
              <w:top w:w="80" w:type="nil"/>
              <w:left w:w="80" w:type="nil"/>
              <w:bottom w:w="40" w:type="nil"/>
              <w:right w:w="80" w:type="nil"/>
            </w:tcMar>
            <w:vAlign w:val="center"/>
          </w:tcPr>
          <w:p w14:paraId="76B251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 </w:t>
            </w:r>
          </w:p>
        </w:tc>
        <w:tc>
          <w:tcPr>
            <w:tcW w:w="1207" w:type="dxa"/>
            <w:tcBorders>
              <w:bottom w:val="single" w:sz="16" w:space="0" w:color="6D6D6D"/>
            </w:tcBorders>
            <w:tcMar>
              <w:top w:w="80" w:type="nil"/>
              <w:left w:w="80" w:type="nil"/>
              <w:bottom w:w="40" w:type="nil"/>
              <w:right w:w="80" w:type="nil"/>
            </w:tcMar>
            <w:vAlign w:val="center"/>
          </w:tcPr>
          <w:p w14:paraId="31E73A1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930" w:type="dxa"/>
            <w:tcBorders>
              <w:bottom w:val="single" w:sz="16" w:space="0" w:color="6D6D6D"/>
            </w:tcBorders>
            <w:tcMar>
              <w:top w:w="80" w:type="nil"/>
              <w:left w:w="80" w:type="nil"/>
              <w:bottom w:w="40" w:type="nil"/>
              <w:right w:w="80" w:type="nil"/>
            </w:tcMar>
            <w:vAlign w:val="center"/>
          </w:tcPr>
          <w:p w14:paraId="0EAD5D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Borders>
              <w:bottom w:val="single" w:sz="16" w:space="0" w:color="6D6D6D"/>
            </w:tcBorders>
            <w:tcMar>
              <w:top w:w="80" w:type="nil"/>
              <w:left w:w="80" w:type="nil"/>
              <w:bottom w:w="40" w:type="nil"/>
              <w:right w:w="80" w:type="nil"/>
            </w:tcMar>
            <w:vAlign w:val="center"/>
          </w:tcPr>
          <w:p w14:paraId="2BF07CD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Borders>
              <w:bottom w:val="single" w:sz="16" w:space="0" w:color="6D6D6D"/>
            </w:tcBorders>
            <w:tcMar>
              <w:top w:w="80" w:type="nil"/>
              <w:left w:w="80" w:type="nil"/>
              <w:bottom w:w="40" w:type="nil"/>
              <w:right w:w="80" w:type="nil"/>
            </w:tcMar>
            <w:vAlign w:val="center"/>
          </w:tcPr>
          <w:p w14:paraId="43F1EB4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gridSpan w:val="2"/>
            <w:tcBorders>
              <w:bottom w:val="single" w:sz="16" w:space="0" w:color="6D6D6D"/>
            </w:tcBorders>
            <w:tcMar>
              <w:top w:w="80" w:type="nil"/>
              <w:left w:w="80" w:type="nil"/>
              <w:bottom w:w="40" w:type="nil"/>
              <w:right w:w="80" w:type="nil"/>
            </w:tcMar>
            <w:vAlign w:val="center"/>
          </w:tcPr>
          <w:p w14:paraId="32DC760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 (49.9)</w:t>
            </w:r>
          </w:p>
        </w:tc>
        <w:tc>
          <w:tcPr>
            <w:tcW w:w="1207" w:type="dxa"/>
            <w:tcBorders>
              <w:bottom w:val="single" w:sz="16" w:space="0" w:color="6D6D6D"/>
            </w:tcBorders>
            <w:tcMar>
              <w:top w:w="80" w:type="nil"/>
              <w:left w:w="80" w:type="nil"/>
              <w:bottom w:w="40" w:type="nil"/>
              <w:right w:w="80" w:type="nil"/>
            </w:tcMar>
            <w:vAlign w:val="center"/>
          </w:tcPr>
          <w:p w14:paraId="4EA81BCB" w14:textId="77777777" w:rsidR="008A5243" w:rsidRDefault="008A5243">
            <w:pPr>
              <w:widowControl w:val="0"/>
              <w:autoSpaceDE w:val="0"/>
              <w:autoSpaceDN w:val="0"/>
              <w:adjustRightInd w:val="0"/>
              <w:rPr>
                <w:rFonts w:ascii="Arial" w:hAnsi="Arial" w:cs="Arial"/>
                <w:sz w:val="26"/>
                <w:szCs w:val="26"/>
                <w:u w:color="0000E9"/>
              </w:rPr>
            </w:pPr>
          </w:p>
        </w:tc>
        <w:tc>
          <w:tcPr>
            <w:tcW w:w="1207" w:type="dxa"/>
            <w:tcBorders>
              <w:bottom w:val="single" w:sz="16" w:space="0" w:color="6D6D6D"/>
            </w:tcBorders>
            <w:tcMar>
              <w:top w:w="80" w:type="nil"/>
              <w:left w:w="80" w:type="nil"/>
              <w:bottom w:w="40" w:type="nil"/>
              <w:right w:w="80" w:type="nil"/>
            </w:tcMar>
            <w:vAlign w:val="center"/>
          </w:tcPr>
          <w:p w14:paraId="223F1842" w14:textId="77777777" w:rsidR="008A5243" w:rsidRDefault="008A5243">
            <w:pPr>
              <w:widowControl w:val="0"/>
              <w:autoSpaceDE w:val="0"/>
              <w:autoSpaceDN w:val="0"/>
              <w:adjustRightInd w:val="0"/>
              <w:rPr>
                <w:rFonts w:ascii="Arial" w:hAnsi="Arial" w:cs="Arial"/>
                <w:sz w:val="26"/>
                <w:szCs w:val="26"/>
                <w:u w:color="0000E9"/>
              </w:rPr>
            </w:pPr>
          </w:p>
        </w:tc>
        <w:tc>
          <w:tcPr>
            <w:tcW w:w="982" w:type="dxa"/>
            <w:tcBorders>
              <w:bottom w:val="single" w:sz="16" w:space="0" w:color="6D6D6D"/>
            </w:tcBorders>
            <w:tcMar>
              <w:top w:w="80" w:type="nil"/>
              <w:left w:w="80" w:type="nil"/>
              <w:bottom w:w="40" w:type="nil"/>
              <w:right w:w="80" w:type="nil"/>
            </w:tcMar>
            <w:vAlign w:val="center"/>
          </w:tcPr>
          <w:p w14:paraId="699269D3" w14:textId="77777777" w:rsidR="008A5243" w:rsidRDefault="008A5243">
            <w:pPr>
              <w:widowControl w:val="0"/>
              <w:autoSpaceDE w:val="0"/>
              <w:autoSpaceDN w:val="0"/>
              <w:adjustRightInd w:val="0"/>
              <w:rPr>
                <w:rFonts w:ascii="Arial" w:hAnsi="Arial" w:cs="Arial"/>
                <w:sz w:val="26"/>
                <w:szCs w:val="26"/>
                <w:u w:color="0000E9"/>
              </w:rPr>
            </w:pPr>
          </w:p>
        </w:tc>
      </w:tr>
      <w:tr w:rsidR="008A5243" w14:paraId="0D9CB277" w14:textId="77777777" w:rsidTr="008A5243">
        <w:tblPrEx>
          <w:tblCellMar>
            <w:top w:w="0" w:type="dxa"/>
            <w:bottom w:w="0" w:type="dxa"/>
          </w:tblCellMar>
        </w:tblPrEx>
        <w:tc>
          <w:tcPr>
            <w:tcW w:w="12087" w:type="dxa"/>
            <w:gridSpan w:val="11"/>
            <w:tcMar>
              <w:top w:w="80" w:type="nil"/>
              <w:left w:w="80" w:type="nil"/>
              <w:bottom w:w="40" w:type="nil"/>
              <w:right w:w="80" w:type="nil"/>
            </w:tcMar>
            <w:vAlign w:val="center"/>
          </w:tcPr>
          <w:p w14:paraId="6ABB2C77" w14:textId="77777777" w:rsidR="008A5243" w:rsidRDefault="008A5243">
            <w:pPr>
              <w:widowControl w:val="0"/>
              <w:autoSpaceDE w:val="0"/>
              <w:autoSpaceDN w:val="0"/>
              <w:adjustRightInd w:val="0"/>
              <w:rPr>
                <w:rFonts w:ascii="Arial" w:hAnsi="Arial" w:cs="Arial"/>
                <w:b/>
                <w:bCs/>
                <w:sz w:val="26"/>
                <w:szCs w:val="26"/>
                <w:u w:color="0000E9"/>
              </w:rPr>
            </w:pPr>
          </w:p>
          <w:p w14:paraId="29A5B03E" w14:textId="77777777" w:rsidR="008A5243" w:rsidRDefault="008A5243">
            <w:pPr>
              <w:widowControl w:val="0"/>
              <w:autoSpaceDE w:val="0"/>
              <w:autoSpaceDN w:val="0"/>
              <w:adjustRightInd w:val="0"/>
              <w:rPr>
                <w:rFonts w:ascii="Arial" w:hAnsi="Arial" w:cs="Arial"/>
                <w:b/>
                <w:bCs/>
                <w:sz w:val="26"/>
                <w:szCs w:val="26"/>
                <w:u w:color="0000E9"/>
              </w:rPr>
            </w:pPr>
          </w:p>
          <w:p w14:paraId="5466FA4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8:</w:t>
            </w:r>
            <w:r>
              <w:rPr>
                <w:rFonts w:ascii="Arial" w:hAnsi="Arial" w:cs="Arial"/>
                <w:sz w:val="26"/>
                <w:szCs w:val="26"/>
                <w:u w:color="0000E9"/>
              </w:rPr>
              <w:t xml:space="preserve"> SIMEX Corrected EOCT Median (Mean) Student Growth Percentile by Content Area for Spring 2016</w:t>
            </w:r>
          </w:p>
        </w:tc>
      </w:tr>
      <w:tr w:rsidR="008A5243" w14:paraId="3CF127A9" w14:textId="77777777" w:rsidTr="008A5243">
        <w:tblPrEx>
          <w:tblBorders>
            <w:top w:val="none" w:sz="0" w:space="0" w:color="auto"/>
          </w:tblBorders>
          <w:tblCellMar>
            <w:top w:w="0" w:type="dxa"/>
            <w:bottom w:w="0" w:type="dxa"/>
          </w:tblCellMar>
        </w:tblPrEx>
        <w:tc>
          <w:tcPr>
            <w:tcW w:w="5070" w:type="dxa"/>
            <w:gridSpan w:val="4"/>
            <w:tcBorders>
              <w:top w:val="single" w:sz="16" w:space="0" w:color="6D6D6D"/>
              <w:bottom w:val="single" w:sz="8" w:space="0" w:color="6D6D6D"/>
            </w:tcBorders>
            <w:tcMar>
              <w:top w:w="20" w:type="nil"/>
              <w:left w:w="20" w:type="nil"/>
              <w:bottom w:w="20" w:type="nil"/>
              <w:right w:w="20" w:type="nil"/>
            </w:tcMar>
            <w:vAlign w:val="center"/>
          </w:tcPr>
          <w:p w14:paraId="4F7740F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Content Area</w:t>
            </w:r>
          </w:p>
        </w:tc>
        <w:tc>
          <w:tcPr>
            <w:tcW w:w="3555" w:type="dxa"/>
            <w:gridSpan w:val="3"/>
            <w:tcBorders>
              <w:top w:val="single" w:sz="16" w:space="0" w:color="6D6D6D"/>
              <w:bottom w:val="single" w:sz="8" w:space="0" w:color="6D6D6D"/>
            </w:tcBorders>
            <w:tcMar>
              <w:top w:w="20" w:type="nil"/>
              <w:left w:w="20" w:type="nil"/>
              <w:bottom w:w="20" w:type="nil"/>
              <w:right w:w="20" w:type="nil"/>
            </w:tcMar>
            <w:vAlign w:val="center"/>
          </w:tcPr>
          <w:p w14:paraId="2D0342DB"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Median SGP</w:t>
            </w:r>
          </w:p>
        </w:tc>
        <w:tc>
          <w:tcPr>
            <w:tcW w:w="3462" w:type="dxa"/>
            <w:gridSpan w:val="4"/>
            <w:tcBorders>
              <w:top w:val="single" w:sz="16" w:space="0" w:color="6D6D6D"/>
              <w:bottom w:val="single" w:sz="8" w:space="0" w:color="6D6D6D"/>
            </w:tcBorders>
            <w:tcMar>
              <w:top w:w="20" w:type="nil"/>
              <w:left w:w="20" w:type="nil"/>
              <w:bottom w:w="20" w:type="nil"/>
              <w:right w:w="20" w:type="nil"/>
            </w:tcMar>
            <w:vAlign w:val="center"/>
          </w:tcPr>
          <w:p w14:paraId="71289536"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r>
      <w:tr w:rsidR="008A5243" w14:paraId="3B18290D" w14:textId="77777777" w:rsidTr="008A5243">
        <w:tblPrEx>
          <w:tblBorders>
            <w:top w:val="none" w:sz="0" w:space="0" w:color="auto"/>
          </w:tblBorders>
          <w:tblCellMar>
            <w:top w:w="0" w:type="dxa"/>
            <w:bottom w:w="0" w:type="dxa"/>
          </w:tblCellMar>
        </w:tblPrEx>
        <w:tc>
          <w:tcPr>
            <w:tcW w:w="5070" w:type="dxa"/>
            <w:gridSpan w:val="4"/>
            <w:tcMar>
              <w:top w:w="80" w:type="nil"/>
              <w:left w:w="80" w:type="nil"/>
              <w:bottom w:w="40" w:type="nil"/>
              <w:right w:w="80" w:type="nil"/>
            </w:tcMar>
            <w:vAlign w:val="center"/>
          </w:tcPr>
          <w:p w14:paraId="0A8B5F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3555" w:type="dxa"/>
            <w:gridSpan w:val="3"/>
            <w:tcMar>
              <w:top w:w="80" w:type="nil"/>
              <w:left w:w="80" w:type="nil"/>
              <w:bottom w:w="40" w:type="nil"/>
              <w:right w:w="80" w:type="nil"/>
            </w:tcMar>
            <w:vAlign w:val="center"/>
          </w:tcPr>
          <w:p w14:paraId="1FE43A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462" w:type="dxa"/>
            <w:gridSpan w:val="4"/>
            <w:tcMar>
              <w:top w:w="80" w:type="nil"/>
              <w:left w:w="80" w:type="nil"/>
              <w:bottom w:w="40" w:type="nil"/>
              <w:right w:w="80" w:type="nil"/>
            </w:tcMar>
            <w:vAlign w:val="center"/>
          </w:tcPr>
          <w:p w14:paraId="11A67D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43B87AB7" w14:textId="77777777" w:rsidTr="008A5243">
        <w:tblPrEx>
          <w:tblBorders>
            <w:top w:val="none" w:sz="0" w:space="0" w:color="auto"/>
          </w:tblBorders>
          <w:tblCellMar>
            <w:top w:w="0" w:type="dxa"/>
            <w:bottom w:w="0" w:type="dxa"/>
          </w:tblCellMar>
        </w:tblPrEx>
        <w:tc>
          <w:tcPr>
            <w:tcW w:w="5070" w:type="dxa"/>
            <w:gridSpan w:val="4"/>
            <w:tcMar>
              <w:top w:w="80" w:type="nil"/>
              <w:left w:w="80" w:type="nil"/>
              <w:bottom w:w="40" w:type="nil"/>
              <w:right w:w="80" w:type="nil"/>
            </w:tcMar>
            <w:vAlign w:val="center"/>
          </w:tcPr>
          <w:p w14:paraId="28EB9C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3555" w:type="dxa"/>
            <w:gridSpan w:val="3"/>
            <w:tcMar>
              <w:top w:w="80" w:type="nil"/>
              <w:left w:w="80" w:type="nil"/>
              <w:bottom w:w="40" w:type="nil"/>
              <w:right w:w="80" w:type="nil"/>
            </w:tcMar>
            <w:vAlign w:val="center"/>
          </w:tcPr>
          <w:p w14:paraId="71E2D73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462" w:type="dxa"/>
            <w:gridSpan w:val="4"/>
            <w:tcMar>
              <w:top w:w="80" w:type="nil"/>
              <w:left w:w="80" w:type="nil"/>
              <w:bottom w:w="40" w:type="nil"/>
              <w:right w:w="80" w:type="nil"/>
            </w:tcMar>
            <w:vAlign w:val="center"/>
          </w:tcPr>
          <w:p w14:paraId="2666758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49.9</w:t>
            </w:r>
          </w:p>
        </w:tc>
      </w:tr>
      <w:tr w:rsidR="008A5243" w14:paraId="368CE31F" w14:textId="77777777" w:rsidTr="008A5243">
        <w:tblPrEx>
          <w:tblBorders>
            <w:top w:val="none" w:sz="0" w:space="0" w:color="auto"/>
          </w:tblBorders>
          <w:tblCellMar>
            <w:top w:w="0" w:type="dxa"/>
            <w:bottom w:w="0" w:type="dxa"/>
          </w:tblCellMar>
        </w:tblPrEx>
        <w:tc>
          <w:tcPr>
            <w:tcW w:w="5070" w:type="dxa"/>
            <w:gridSpan w:val="4"/>
            <w:tcMar>
              <w:top w:w="80" w:type="nil"/>
              <w:left w:w="80" w:type="nil"/>
              <w:bottom w:w="40" w:type="nil"/>
              <w:right w:w="80" w:type="nil"/>
            </w:tcMar>
            <w:vAlign w:val="center"/>
          </w:tcPr>
          <w:p w14:paraId="174885D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3555" w:type="dxa"/>
            <w:gridSpan w:val="3"/>
            <w:tcMar>
              <w:top w:w="80" w:type="nil"/>
              <w:left w:w="80" w:type="nil"/>
              <w:bottom w:w="40" w:type="nil"/>
              <w:right w:w="80" w:type="nil"/>
            </w:tcMar>
            <w:vAlign w:val="center"/>
          </w:tcPr>
          <w:p w14:paraId="5442536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3462" w:type="dxa"/>
            <w:gridSpan w:val="4"/>
            <w:tcMar>
              <w:top w:w="80" w:type="nil"/>
              <w:left w:w="80" w:type="nil"/>
              <w:bottom w:w="40" w:type="nil"/>
              <w:right w:w="80" w:type="nil"/>
            </w:tcMar>
            <w:vAlign w:val="center"/>
          </w:tcPr>
          <w:p w14:paraId="0F86844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08C62221" w14:textId="77777777" w:rsidTr="008A5243">
        <w:tblPrEx>
          <w:tblBorders>
            <w:top w:val="none" w:sz="0" w:space="0" w:color="auto"/>
          </w:tblBorders>
          <w:tblCellMar>
            <w:top w:w="0" w:type="dxa"/>
            <w:bottom w:w="0" w:type="dxa"/>
          </w:tblCellMar>
        </w:tblPrEx>
        <w:tc>
          <w:tcPr>
            <w:tcW w:w="5070" w:type="dxa"/>
            <w:gridSpan w:val="4"/>
            <w:tcMar>
              <w:top w:w="80" w:type="nil"/>
              <w:left w:w="80" w:type="nil"/>
              <w:bottom w:w="40" w:type="nil"/>
              <w:right w:w="80" w:type="nil"/>
            </w:tcMar>
            <w:vAlign w:val="center"/>
          </w:tcPr>
          <w:p w14:paraId="55F1DB8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1</w:t>
            </w:r>
          </w:p>
        </w:tc>
        <w:tc>
          <w:tcPr>
            <w:tcW w:w="3555" w:type="dxa"/>
            <w:gridSpan w:val="3"/>
            <w:tcMar>
              <w:top w:w="80" w:type="nil"/>
              <w:left w:w="80" w:type="nil"/>
              <w:bottom w:w="40" w:type="nil"/>
              <w:right w:w="80" w:type="nil"/>
            </w:tcMar>
            <w:vAlign w:val="center"/>
          </w:tcPr>
          <w:p w14:paraId="3A7EA3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3462" w:type="dxa"/>
            <w:gridSpan w:val="4"/>
            <w:tcMar>
              <w:top w:w="80" w:type="nil"/>
              <w:left w:w="80" w:type="nil"/>
              <w:bottom w:w="40" w:type="nil"/>
              <w:right w:w="80" w:type="nil"/>
            </w:tcMar>
            <w:vAlign w:val="center"/>
          </w:tcPr>
          <w:p w14:paraId="274122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49.9</w:t>
            </w:r>
          </w:p>
        </w:tc>
      </w:tr>
      <w:tr w:rsidR="008A5243" w14:paraId="31FE97D7" w14:textId="77777777" w:rsidTr="008A5243">
        <w:tblPrEx>
          <w:tblCellMar>
            <w:top w:w="0" w:type="dxa"/>
            <w:bottom w:w="0" w:type="dxa"/>
          </w:tblCellMar>
        </w:tblPrEx>
        <w:tc>
          <w:tcPr>
            <w:tcW w:w="5070" w:type="dxa"/>
            <w:gridSpan w:val="4"/>
            <w:tcBorders>
              <w:bottom w:val="single" w:sz="16" w:space="0" w:color="6D6D6D"/>
            </w:tcBorders>
            <w:tcMar>
              <w:top w:w="80" w:type="nil"/>
              <w:left w:w="80" w:type="nil"/>
              <w:bottom w:w="40" w:type="nil"/>
              <w:right w:w="80" w:type="nil"/>
            </w:tcMar>
            <w:vAlign w:val="center"/>
          </w:tcPr>
          <w:p w14:paraId="341807E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Integrated Math 2</w:t>
            </w:r>
          </w:p>
        </w:tc>
        <w:tc>
          <w:tcPr>
            <w:tcW w:w="3555" w:type="dxa"/>
            <w:gridSpan w:val="3"/>
            <w:tcBorders>
              <w:bottom w:val="single" w:sz="16" w:space="0" w:color="6D6D6D"/>
            </w:tcBorders>
            <w:tcMar>
              <w:top w:w="80" w:type="nil"/>
              <w:left w:w="80" w:type="nil"/>
              <w:bottom w:w="40" w:type="nil"/>
              <w:right w:w="80" w:type="nil"/>
            </w:tcMar>
            <w:vAlign w:val="center"/>
          </w:tcPr>
          <w:p w14:paraId="18F51B4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3462" w:type="dxa"/>
            <w:gridSpan w:val="4"/>
            <w:tcBorders>
              <w:bottom w:val="single" w:sz="16" w:space="0" w:color="6D6D6D"/>
            </w:tcBorders>
            <w:tcMar>
              <w:top w:w="80" w:type="nil"/>
              <w:left w:w="80" w:type="nil"/>
              <w:bottom w:w="40" w:type="nil"/>
              <w:right w:w="80" w:type="nil"/>
            </w:tcMar>
            <w:vAlign w:val="center"/>
          </w:tcPr>
          <w:p w14:paraId="0E24B9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bl>
    <w:p w14:paraId="0F13D08D"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A comparison of the unadjusted (Tables 5 and 6) and SIMEX corrected (Tables 7 and 8) shows very little difference in the medians and means. This is not surprising as the majority of the growth percentiles for students in the middle of the prior score distributions change very little, and the larger changes that occur for students in the extremes of the prior score distributions tend to even out.</w:t>
      </w:r>
    </w:p>
    <w:p w14:paraId="0634629B" w14:textId="77777777" w:rsidR="008A5243" w:rsidRDefault="008A5243" w:rsidP="008A5243">
      <w:pPr>
        <w:widowControl w:val="0"/>
        <w:autoSpaceDE w:val="0"/>
        <w:autoSpaceDN w:val="0"/>
        <w:adjustRightInd w:val="0"/>
        <w:rPr>
          <w:rFonts w:ascii="Cambria" w:hAnsi="Cambria" w:cs="Cambria"/>
          <w:b/>
          <w:bCs/>
          <w:color w:val="3F6CAF"/>
          <w:sz w:val="34"/>
          <w:szCs w:val="34"/>
          <w:u w:color="0000E9"/>
        </w:rPr>
      </w:pPr>
      <w:r>
        <w:rPr>
          <w:rFonts w:ascii="Cambria" w:hAnsi="Cambria" w:cs="Cambria"/>
          <w:b/>
          <w:bCs/>
          <w:color w:val="3F6CAF"/>
          <w:sz w:val="34"/>
          <w:szCs w:val="34"/>
          <w:u w:color="0000E9"/>
        </w:rPr>
        <w:t>5.3 Group Level Results</w:t>
      </w:r>
    </w:p>
    <w:p w14:paraId="22B77C53"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Unlike when reporting SGPs at the individual level, when aggregating to the group level (e.g., school) the correlation between aggregate prior student achievement and aggregate growth is rarely zero. The correlation between prior student achievement and growth at the school level is a compelling descriptive statistic because it indicates whether students attending schools serving higher achieving students grow faster (on average) than those students attending schools serving lower achieving students. Results from previous state analyses show a correlation between prior </w:t>
      </w:r>
      <w:proofErr w:type="gramStart"/>
      <w:r>
        <w:rPr>
          <w:rFonts w:ascii="Calibri" w:hAnsi="Calibri" w:cs="Calibri"/>
          <w:sz w:val="29"/>
          <w:szCs w:val="29"/>
          <w:u w:color="0000E9"/>
        </w:rPr>
        <w:t>achievement</w:t>
      </w:r>
      <w:proofErr w:type="gramEnd"/>
      <w:r>
        <w:rPr>
          <w:rFonts w:ascii="Calibri" w:hAnsi="Calibri" w:cs="Calibri"/>
          <w:sz w:val="29"/>
          <w:szCs w:val="29"/>
          <w:u w:color="0000E9"/>
        </w:rPr>
        <w:t xml:space="preserve"> of students associated with a current school (quantified as percent at/above proficient) and the median SGP are typically between 0.1 and 0.3 (although higher numbers have been observed in some states as well). That is, these results indicate that on average, students attending schools serving lower achieving students tend to demonstrate less exemplary growth than those attending schools serving higher achieving students. Equivalently, based upon ordinary least squares (OLS) regression assumptions, the prior achievement level of students attending a school accounts for between 1 and 10 percent of the variability observed in student growth. There are no definitive numbers on what this correlation should be, but recent studies on value-added models show similar results (McCaffrey, Han, &amp; Lockwood, 2008).</w:t>
      </w:r>
    </w:p>
    <w:p w14:paraId="74292F7A" w14:textId="77777777" w:rsidR="008A5243" w:rsidRDefault="008A5243" w:rsidP="008A5243">
      <w:pPr>
        <w:widowControl w:val="0"/>
        <w:autoSpaceDE w:val="0"/>
        <w:autoSpaceDN w:val="0"/>
        <w:adjustRightInd w:val="0"/>
        <w:rPr>
          <w:rFonts w:ascii="Cambria" w:hAnsi="Cambria" w:cs="Cambria"/>
          <w:b/>
          <w:bCs/>
          <w:color w:val="3F6CAF"/>
          <w:sz w:val="29"/>
          <w:szCs w:val="29"/>
          <w:u w:color="0000E9"/>
        </w:rPr>
      </w:pPr>
      <w:r>
        <w:rPr>
          <w:rFonts w:ascii="Cambria" w:hAnsi="Cambria" w:cs="Cambria"/>
          <w:b/>
          <w:bCs/>
          <w:color w:val="3F6CAF"/>
          <w:sz w:val="29"/>
          <w:szCs w:val="29"/>
          <w:u w:color="0000E9"/>
        </w:rPr>
        <w:t>5.3.1 States</w:t>
      </w:r>
    </w:p>
    <w:p w14:paraId="6B0F456B"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In this section we aggregate test score and SGP results by state. At present, district, school or other group identification has not been attached to the student records provided to the Center for Assessment. Smaller group level analyses are therefore left to the individual consortium members to perform. In addition to mean SGP values, mean prior test scores are given using both the IRT Theta and PARCC scale metrics. </w:t>
      </w:r>
      <w:proofErr w:type="gramStart"/>
      <w:r>
        <w:rPr>
          <w:rFonts w:ascii="Calibri" w:hAnsi="Calibri" w:cs="Calibri"/>
          <w:sz w:val="29"/>
          <w:szCs w:val="29"/>
          <w:u w:color="0000E9"/>
        </w:rPr>
        <w:t>This mean</w:t>
      </w:r>
      <w:proofErr w:type="gramEnd"/>
      <w:r>
        <w:rPr>
          <w:rFonts w:ascii="Calibri" w:hAnsi="Calibri" w:cs="Calibri"/>
          <w:sz w:val="29"/>
          <w:szCs w:val="29"/>
          <w:u w:color="0000E9"/>
        </w:rPr>
        <w:t xml:space="preserve"> prior achievement value is given further context by providing percentile value it corresponds with in that test score distribution.</w:t>
      </w:r>
    </w:p>
    <w:p w14:paraId="43E6FB81"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Summary values are provided in the following tables only when a state has </w:t>
      </w:r>
      <w:r>
        <w:rPr>
          <w:rFonts w:ascii="Calibri" w:hAnsi="Calibri" w:cs="Calibri"/>
          <w:i/>
          <w:iCs/>
          <w:sz w:val="29"/>
          <w:szCs w:val="29"/>
          <w:u w:color="0000E9"/>
        </w:rPr>
        <w:t>1,000 students or greater</w:t>
      </w:r>
      <w:r>
        <w:rPr>
          <w:rFonts w:ascii="Calibri" w:hAnsi="Calibri" w:cs="Calibri"/>
          <w:sz w:val="29"/>
          <w:szCs w:val="29"/>
          <w:u w:color="0000E9"/>
        </w:rPr>
        <w:t xml:space="preserve"> in a norm group. A randomized (i.e. non-alphabetical) letter has been attached to each state in order to protect the identity of the member states. As in previous tables of SGP results in this report, ELA and Mathematics results are disaggregated by grade level and EOCT Math tables are disaggregated by the most recent prior ensuring that all SGPs included in the summary statistics include only results from one analysis (norm group). Tables for the Integrated Mathematics SGPs are not presented as only two states had any one cohort with greater than 1,000 students, and therefore presenting these tables may compromise state anonymity.</w:t>
      </w:r>
    </w:p>
    <w:p w14:paraId="0F4B516B"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445F2D22"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577F29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9:</w:t>
            </w:r>
            <w:r>
              <w:rPr>
                <w:rFonts w:ascii="Arial" w:hAnsi="Arial" w:cs="Arial"/>
                <w:sz w:val="26"/>
                <w:szCs w:val="26"/>
                <w:u w:color="0000E9"/>
              </w:rPr>
              <w:t xml:space="preserve"> Spring 2016 Typical Prior Achievement and Growth by State: ELA</w:t>
            </w:r>
          </w:p>
        </w:tc>
      </w:tr>
      <w:tr w:rsidR="008A5243" w14:paraId="5E7C7087"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12534ED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2105422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61C707F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2B8A557F"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74FEA1C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67915BC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4E7AF7AC"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6608EF8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6F5CC3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w:t>
            </w:r>
          </w:p>
        </w:tc>
        <w:tc>
          <w:tcPr>
            <w:tcW w:w="635" w:type="dxa"/>
            <w:tcMar>
              <w:top w:w="80" w:type="nil"/>
              <w:left w:w="80" w:type="nil"/>
              <w:bottom w:w="40" w:type="nil"/>
              <w:right w:w="80" w:type="nil"/>
            </w:tcMar>
            <w:vAlign w:val="center"/>
          </w:tcPr>
          <w:p w14:paraId="7EA897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24B9859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735.2</w:t>
            </w:r>
          </w:p>
        </w:tc>
        <w:tc>
          <w:tcPr>
            <w:tcW w:w="2344" w:type="dxa"/>
            <w:tcMar>
              <w:top w:w="80" w:type="nil"/>
              <w:left w:w="80" w:type="nil"/>
              <w:bottom w:w="40" w:type="nil"/>
              <w:right w:w="80" w:type="nil"/>
            </w:tcMar>
            <w:vAlign w:val="center"/>
          </w:tcPr>
          <w:p w14:paraId="7C4757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58064B3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048139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45.8</w:t>
            </w:r>
          </w:p>
        </w:tc>
        <w:tc>
          <w:tcPr>
            <w:tcW w:w="1244" w:type="dxa"/>
            <w:tcMar>
              <w:top w:w="80" w:type="nil"/>
              <w:left w:w="80" w:type="nil"/>
              <w:bottom w:w="40" w:type="nil"/>
              <w:right w:w="80" w:type="nil"/>
            </w:tcMar>
            <w:vAlign w:val="center"/>
          </w:tcPr>
          <w:p w14:paraId="6C78816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45.7</w:t>
            </w:r>
          </w:p>
        </w:tc>
      </w:tr>
      <w:tr w:rsidR="008A5243" w14:paraId="6F2DE87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FDB222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4B93C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214E40C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737.2</w:t>
            </w:r>
          </w:p>
        </w:tc>
        <w:tc>
          <w:tcPr>
            <w:tcW w:w="2344" w:type="dxa"/>
            <w:tcMar>
              <w:top w:w="80" w:type="nil"/>
              <w:left w:w="80" w:type="nil"/>
              <w:bottom w:w="40" w:type="nil"/>
              <w:right w:w="80" w:type="nil"/>
            </w:tcMar>
            <w:vAlign w:val="center"/>
          </w:tcPr>
          <w:p w14:paraId="5217456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0.05</w:t>
            </w:r>
          </w:p>
        </w:tc>
        <w:tc>
          <w:tcPr>
            <w:tcW w:w="3111" w:type="dxa"/>
            <w:tcMar>
              <w:top w:w="80" w:type="nil"/>
              <w:left w:w="80" w:type="nil"/>
              <w:bottom w:w="40" w:type="nil"/>
              <w:right w:w="80" w:type="nil"/>
            </w:tcMar>
            <w:vAlign w:val="center"/>
          </w:tcPr>
          <w:p w14:paraId="61CEE5C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5951B6D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47.6</w:t>
            </w:r>
          </w:p>
        </w:tc>
        <w:tc>
          <w:tcPr>
            <w:tcW w:w="1244" w:type="dxa"/>
            <w:tcMar>
              <w:top w:w="80" w:type="nil"/>
              <w:left w:w="80" w:type="nil"/>
              <w:bottom w:w="40" w:type="nil"/>
              <w:right w:w="80" w:type="nil"/>
            </w:tcMar>
            <w:vAlign w:val="center"/>
          </w:tcPr>
          <w:p w14:paraId="2EE0551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47.5</w:t>
            </w:r>
          </w:p>
        </w:tc>
      </w:tr>
      <w:tr w:rsidR="008A5243" w14:paraId="09E459C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F3B05A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6549FF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1789F82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720.8</w:t>
            </w:r>
          </w:p>
        </w:tc>
        <w:tc>
          <w:tcPr>
            <w:tcW w:w="2344" w:type="dxa"/>
            <w:tcMar>
              <w:top w:w="80" w:type="nil"/>
              <w:left w:w="80" w:type="nil"/>
              <w:bottom w:w="40" w:type="nil"/>
              <w:right w:w="80" w:type="nil"/>
            </w:tcMar>
            <w:vAlign w:val="center"/>
          </w:tcPr>
          <w:p w14:paraId="23021B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-0.41</w:t>
            </w:r>
          </w:p>
        </w:tc>
        <w:tc>
          <w:tcPr>
            <w:tcW w:w="3111" w:type="dxa"/>
            <w:tcMar>
              <w:top w:w="80" w:type="nil"/>
              <w:left w:w="80" w:type="nil"/>
              <w:bottom w:w="40" w:type="nil"/>
              <w:right w:w="80" w:type="nil"/>
            </w:tcMar>
            <w:vAlign w:val="center"/>
          </w:tcPr>
          <w:p w14:paraId="22E6F3B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34</w:t>
            </w:r>
          </w:p>
        </w:tc>
        <w:tc>
          <w:tcPr>
            <w:tcW w:w="1033" w:type="dxa"/>
            <w:tcMar>
              <w:top w:w="80" w:type="nil"/>
              <w:left w:w="80" w:type="nil"/>
              <w:bottom w:w="40" w:type="nil"/>
              <w:right w:w="80" w:type="nil"/>
            </w:tcMar>
            <w:vAlign w:val="center"/>
          </w:tcPr>
          <w:p w14:paraId="111FAB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49.6</w:t>
            </w:r>
          </w:p>
        </w:tc>
        <w:tc>
          <w:tcPr>
            <w:tcW w:w="1244" w:type="dxa"/>
            <w:tcMar>
              <w:top w:w="80" w:type="nil"/>
              <w:left w:w="80" w:type="nil"/>
              <w:bottom w:w="40" w:type="nil"/>
              <w:right w:w="80" w:type="nil"/>
            </w:tcMar>
            <w:vAlign w:val="center"/>
          </w:tcPr>
          <w:p w14:paraId="07029A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50.5</w:t>
            </w:r>
          </w:p>
        </w:tc>
      </w:tr>
      <w:tr w:rsidR="008A5243" w14:paraId="25D502B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855CB1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E5C0A7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1C0B49E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736.0</w:t>
            </w:r>
          </w:p>
        </w:tc>
        <w:tc>
          <w:tcPr>
            <w:tcW w:w="2344" w:type="dxa"/>
            <w:tcMar>
              <w:top w:w="80" w:type="nil"/>
              <w:left w:w="80" w:type="nil"/>
              <w:bottom w:w="40" w:type="nil"/>
              <w:right w:w="80" w:type="nil"/>
            </w:tcMar>
            <w:vAlign w:val="center"/>
          </w:tcPr>
          <w:p w14:paraId="781F23B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5DAA2C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648952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48.4</w:t>
            </w:r>
          </w:p>
        </w:tc>
        <w:tc>
          <w:tcPr>
            <w:tcW w:w="1244" w:type="dxa"/>
            <w:tcMar>
              <w:top w:w="80" w:type="nil"/>
              <w:left w:w="80" w:type="nil"/>
              <w:bottom w:w="40" w:type="nil"/>
              <w:right w:w="80" w:type="nil"/>
            </w:tcMar>
            <w:vAlign w:val="center"/>
          </w:tcPr>
          <w:p w14:paraId="032E649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48.3</w:t>
            </w:r>
          </w:p>
        </w:tc>
      </w:tr>
      <w:tr w:rsidR="008A5243" w14:paraId="28B581E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7D6F45C"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C696D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439105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737.1</w:t>
            </w:r>
          </w:p>
        </w:tc>
        <w:tc>
          <w:tcPr>
            <w:tcW w:w="2344" w:type="dxa"/>
            <w:tcMar>
              <w:top w:w="80" w:type="nil"/>
              <w:left w:w="80" w:type="nil"/>
              <w:bottom w:w="40" w:type="nil"/>
              <w:right w:w="80" w:type="nil"/>
            </w:tcMar>
            <w:vAlign w:val="center"/>
          </w:tcPr>
          <w:p w14:paraId="2D906DC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0.04</w:t>
            </w:r>
          </w:p>
        </w:tc>
        <w:tc>
          <w:tcPr>
            <w:tcW w:w="3111" w:type="dxa"/>
            <w:tcMar>
              <w:top w:w="80" w:type="nil"/>
              <w:left w:w="80" w:type="nil"/>
              <w:bottom w:w="40" w:type="nil"/>
              <w:right w:w="80" w:type="nil"/>
            </w:tcMar>
            <w:vAlign w:val="center"/>
          </w:tcPr>
          <w:p w14:paraId="18D0A2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16F699E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52.1</w:t>
            </w:r>
          </w:p>
        </w:tc>
        <w:tc>
          <w:tcPr>
            <w:tcW w:w="1244" w:type="dxa"/>
            <w:tcMar>
              <w:top w:w="80" w:type="nil"/>
              <w:left w:w="80" w:type="nil"/>
              <w:bottom w:w="40" w:type="nil"/>
              <w:right w:w="80" w:type="nil"/>
            </w:tcMar>
            <w:vAlign w:val="center"/>
          </w:tcPr>
          <w:p w14:paraId="0D7A525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52.2</w:t>
            </w:r>
          </w:p>
        </w:tc>
      </w:tr>
      <w:tr w:rsidR="008A5243" w14:paraId="242C2CA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645AB3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9C692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61FEA90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750.2</w:t>
            </w:r>
          </w:p>
        </w:tc>
        <w:tc>
          <w:tcPr>
            <w:tcW w:w="2344" w:type="dxa"/>
            <w:tcMar>
              <w:top w:w="80" w:type="nil"/>
              <w:left w:w="80" w:type="nil"/>
              <w:bottom w:w="40" w:type="nil"/>
              <w:right w:w="80" w:type="nil"/>
            </w:tcMar>
            <w:vAlign w:val="center"/>
          </w:tcPr>
          <w:p w14:paraId="01A6FD6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0.41</w:t>
            </w:r>
          </w:p>
        </w:tc>
        <w:tc>
          <w:tcPr>
            <w:tcW w:w="3111" w:type="dxa"/>
            <w:tcMar>
              <w:top w:w="80" w:type="nil"/>
              <w:left w:w="80" w:type="nil"/>
              <w:bottom w:w="40" w:type="nil"/>
              <w:right w:w="80" w:type="nil"/>
            </w:tcMar>
            <w:vAlign w:val="center"/>
          </w:tcPr>
          <w:p w14:paraId="7E5366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62</w:t>
            </w:r>
          </w:p>
        </w:tc>
        <w:tc>
          <w:tcPr>
            <w:tcW w:w="1033" w:type="dxa"/>
            <w:tcMar>
              <w:top w:w="80" w:type="nil"/>
              <w:left w:w="80" w:type="nil"/>
              <w:bottom w:w="40" w:type="nil"/>
              <w:right w:w="80" w:type="nil"/>
            </w:tcMar>
            <w:vAlign w:val="center"/>
          </w:tcPr>
          <w:p w14:paraId="609F7E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54.1</w:t>
            </w:r>
          </w:p>
        </w:tc>
        <w:tc>
          <w:tcPr>
            <w:tcW w:w="1244" w:type="dxa"/>
            <w:tcMar>
              <w:top w:w="80" w:type="nil"/>
              <w:left w:w="80" w:type="nil"/>
              <w:bottom w:w="40" w:type="nil"/>
              <w:right w:w="80" w:type="nil"/>
            </w:tcMar>
            <w:vAlign w:val="center"/>
          </w:tcPr>
          <w:p w14:paraId="61CA2C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53.4</w:t>
            </w:r>
          </w:p>
        </w:tc>
      </w:tr>
      <w:tr w:rsidR="008A5243" w14:paraId="01FF361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DBA584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0D9E3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41EFFC5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724.7</w:t>
            </w:r>
          </w:p>
        </w:tc>
        <w:tc>
          <w:tcPr>
            <w:tcW w:w="2344" w:type="dxa"/>
            <w:tcMar>
              <w:top w:w="80" w:type="nil"/>
              <w:left w:w="80" w:type="nil"/>
              <w:bottom w:w="40" w:type="nil"/>
              <w:right w:w="80" w:type="nil"/>
            </w:tcMar>
            <w:vAlign w:val="center"/>
          </w:tcPr>
          <w:p w14:paraId="2EAFA91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-0.30</w:t>
            </w:r>
          </w:p>
        </w:tc>
        <w:tc>
          <w:tcPr>
            <w:tcW w:w="3111" w:type="dxa"/>
            <w:tcMar>
              <w:top w:w="80" w:type="nil"/>
              <w:left w:w="80" w:type="nil"/>
              <w:bottom w:w="40" w:type="nil"/>
              <w:right w:w="80" w:type="nil"/>
            </w:tcMar>
            <w:vAlign w:val="center"/>
          </w:tcPr>
          <w:p w14:paraId="23F77BE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w:t>
            </w:r>
          </w:p>
        </w:tc>
        <w:tc>
          <w:tcPr>
            <w:tcW w:w="1033" w:type="dxa"/>
            <w:tcMar>
              <w:top w:w="80" w:type="nil"/>
              <w:left w:w="80" w:type="nil"/>
              <w:bottom w:w="40" w:type="nil"/>
              <w:right w:w="80" w:type="nil"/>
            </w:tcMar>
            <w:vAlign w:val="center"/>
          </w:tcPr>
          <w:p w14:paraId="68581F0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42.6</w:t>
            </w:r>
          </w:p>
        </w:tc>
        <w:tc>
          <w:tcPr>
            <w:tcW w:w="1244" w:type="dxa"/>
            <w:tcMar>
              <w:top w:w="80" w:type="nil"/>
              <w:left w:w="80" w:type="nil"/>
              <w:bottom w:w="40" w:type="nil"/>
              <w:right w:w="80" w:type="nil"/>
            </w:tcMar>
            <w:vAlign w:val="center"/>
          </w:tcPr>
          <w:p w14:paraId="17AA796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43.1</w:t>
            </w:r>
          </w:p>
        </w:tc>
      </w:tr>
      <w:tr w:rsidR="008A5243" w14:paraId="5169946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6C9C3A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563AE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0C1F6EF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743.5</w:t>
            </w:r>
          </w:p>
        </w:tc>
        <w:tc>
          <w:tcPr>
            <w:tcW w:w="2344" w:type="dxa"/>
            <w:tcMar>
              <w:top w:w="80" w:type="nil"/>
              <w:left w:w="80" w:type="nil"/>
              <w:bottom w:w="40" w:type="nil"/>
              <w:right w:w="80" w:type="nil"/>
            </w:tcMar>
            <w:vAlign w:val="center"/>
          </w:tcPr>
          <w:p w14:paraId="2CEFC9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0.22</w:t>
            </w:r>
          </w:p>
        </w:tc>
        <w:tc>
          <w:tcPr>
            <w:tcW w:w="3111" w:type="dxa"/>
            <w:tcMar>
              <w:top w:w="80" w:type="nil"/>
              <w:left w:w="80" w:type="nil"/>
              <w:bottom w:w="40" w:type="nil"/>
              <w:right w:w="80" w:type="nil"/>
            </w:tcMar>
            <w:vAlign w:val="center"/>
          </w:tcPr>
          <w:p w14:paraId="0620644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w:t>
            </w:r>
          </w:p>
        </w:tc>
        <w:tc>
          <w:tcPr>
            <w:tcW w:w="1033" w:type="dxa"/>
            <w:tcMar>
              <w:top w:w="80" w:type="nil"/>
              <w:left w:w="80" w:type="nil"/>
              <w:bottom w:w="40" w:type="nil"/>
              <w:right w:w="80" w:type="nil"/>
            </w:tcMar>
            <w:vAlign w:val="center"/>
          </w:tcPr>
          <w:p w14:paraId="23B4B43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57.2</w:t>
            </w:r>
          </w:p>
        </w:tc>
        <w:tc>
          <w:tcPr>
            <w:tcW w:w="1244" w:type="dxa"/>
            <w:tcMar>
              <w:top w:w="80" w:type="nil"/>
              <w:left w:w="80" w:type="nil"/>
              <w:bottom w:w="40" w:type="nil"/>
              <w:right w:w="80" w:type="nil"/>
            </w:tcMar>
            <w:vAlign w:val="center"/>
          </w:tcPr>
          <w:p w14:paraId="66727E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56.9</w:t>
            </w:r>
          </w:p>
        </w:tc>
      </w:tr>
      <w:tr w:rsidR="008A5243" w14:paraId="061C6ED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A7048E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w:t>
            </w:r>
          </w:p>
        </w:tc>
        <w:tc>
          <w:tcPr>
            <w:tcW w:w="635" w:type="dxa"/>
            <w:tcMar>
              <w:top w:w="80" w:type="nil"/>
              <w:left w:w="80" w:type="nil"/>
              <w:bottom w:w="40" w:type="nil"/>
              <w:right w:w="80" w:type="nil"/>
            </w:tcMar>
            <w:vAlign w:val="center"/>
          </w:tcPr>
          <w:p w14:paraId="20AAAD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4EDA550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740.8</w:t>
            </w:r>
          </w:p>
        </w:tc>
        <w:tc>
          <w:tcPr>
            <w:tcW w:w="2344" w:type="dxa"/>
            <w:tcMar>
              <w:top w:w="80" w:type="nil"/>
              <w:left w:w="80" w:type="nil"/>
              <w:bottom w:w="40" w:type="nil"/>
              <w:right w:w="80" w:type="nil"/>
            </w:tcMar>
            <w:vAlign w:val="center"/>
          </w:tcPr>
          <w:p w14:paraId="28FDF4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3111" w:type="dxa"/>
            <w:tcMar>
              <w:top w:w="80" w:type="nil"/>
              <w:left w:w="80" w:type="nil"/>
              <w:bottom w:w="40" w:type="nil"/>
              <w:right w:w="80" w:type="nil"/>
            </w:tcMar>
            <w:vAlign w:val="center"/>
          </w:tcPr>
          <w:p w14:paraId="318C05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63AEC7F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45.1</w:t>
            </w:r>
          </w:p>
        </w:tc>
        <w:tc>
          <w:tcPr>
            <w:tcW w:w="1244" w:type="dxa"/>
            <w:tcMar>
              <w:top w:w="80" w:type="nil"/>
              <w:left w:w="80" w:type="nil"/>
              <w:bottom w:w="40" w:type="nil"/>
              <w:right w:w="80" w:type="nil"/>
            </w:tcMar>
            <w:vAlign w:val="center"/>
          </w:tcPr>
          <w:p w14:paraId="43393E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45.1</w:t>
            </w:r>
          </w:p>
        </w:tc>
      </w:tr>
      <w:tr w:rsidR="008A5243" w14:paraId="7D4CAA2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BD59530"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BC90CC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0AFD27C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740.5</w:t>
            </w:r>
          </w:p>
        </w:tc>
        <w:tc>
          <w:tcPr>
            <w:tcW w:w="2344" w:type="dxa"/>
            <w:tcMar>
              <w:top w:w="80" w:type="nil"/>
              <w:left w:w="80" w:type="nil"/>
              <w:bottom w:w="40" w:type="nil"/>
              <w:right w:w="80" w:type="nil"/>
            </w:tcMar>
            <w:vAlign w:val="center"/>
          </w:tcPr>
          <w:p w14:paraId="2CEC018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7503FBD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34E0AEA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49.0</w:t>
            </w:r>
          </w:p>
        </w:tc>
        <w:tc>
          <w:tcPr>
            <w:tcW w:w="1244" w:type="dxa"/>
            <w:tcMar>
              <w:top w:w="80" w:type="nil"/>
              <w:left w:w="80" w:type="nil"/>
              <w:bottom w:w="40" w:type="nil"/>
              <w:right w:w="80" w:type="nil"/>
            </w:tcMar>
            <w:vAlign w:val="center"/>
          </w:tcPr>
          <w:p w14:paraId="2A9A52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49.2</w:t>
            </w:r>
          </w:p>
        </w:tc>
      </w:tr>
      <w:tr w:rsidR="008A5243" w14:paraId="5DDDCFF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1296E6C"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D7DD2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4EF85AE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727.1</w:t>
            </w:r>
          </w:p>
        </w:tc>
        <w:tc>
          <w:tcPr>
            <w:tcW w:w="2344" w:type="dxa"/>
            <w:tcMar>
              <w:top w:w="80" w:type="nil"/>
              <w:left w:w="80" w:type="nil"/>
              <w:bottom w:w="40" w:type="nil"/>
              <w:right w:w="80" w:type="nil"/>
            </w:tcMar>
            <w:vAlign w:val="center"/>
          </w:tcPr>
          <w:p w14:paraId="28C48AA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-0.45</w:t>
            </w:r>
          </w:p>
        </w:tc>
        <w:tc>
          <w:tcPr>
            <w:tcW w:w="3111" w:type="dxa"/>
            <w:tcMar>
              <w:top w:w="80" w:type="nil"/>
              <w:left w:w="80" w:type="nil"/>
              <w:bottom w:w="40" w:type="nil"/>
              <w:right w:w="80" w:type="nil"/>
            </w:tcMar>
            <w:vAlign w:val="center"/>
          </w:tcPr>
          <w:p w14:paraId="1708F1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31</w:t>
            </w:r>
          </w:p>
        </w:tc>
        <w:tc>
          <w:tcPr>
            <w:tcW w:w="1033" w:type="dxa"/>
            <w:tcMar>
              <w:top w:w="80" w:type="nil"/>
              <w:left w:w="80" w:type="nil"/>
              <w:bottom w:w="40" w:type="nil"/>
              <w:right w:w="80" w:type="nil"/>
            </w:tcMar>
            <w:vAlign w:val="center"/>
          </w:tcPr>
          <w:p w14:paraId="4D3509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52.7</w:t>
            </w:r>
          </w:p>
        </w:tc>
        <w:tc>
          <w:tcPr>
            <w:tcW w:w="1244" w:type="dxa"/>
            <w:tcMar>
              <w:top w:w="80" w:type="nil"/>
              <w:left w:w="80" w:type="nil"/>
              <w:bottom w:w="40" w:type="nil"/>
              <w:right w:w="80" w:type="nil"/>
            </w:tcMar>
            <w:vAlign w:val="center"/>
          </w:tcPr>
          <w:p w14:paraId="06C20F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53.9</w:t>
            </w:r>
          </w:p>
        </w:tc>
      </w:tr>
      <w:tr w:rsidR="008A5243" w14:paraId="7A9FA70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18090C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C3EC56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6F29146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739.0</w:t>
            </w:r>
          </w:p>
        </w:tc>
        <w:tc>
          <w:tcPr>
            <w:tcW w:w="2344" w:type="dxa"/>
            <w:tcMar>
              <w:top w:w="80" w:type="nil"/>
              <w:left w:w="80" w:type="nil"/>
              <w:bottom w:w="40" w:type="nil"/>
              <w:right w:w="80" w:type="nil"/>
            </w:tcMar>
            <w:vAlign w:val="center"/>
          </w:tcPr>
          <w:p w14:paraId="1601A96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-0.06</w:t>
            </w:r>
          </w:p>
        </w:tc>
        <w:tc>
          <w:tcPr>
            <w:tcW w:w="3111" w:type="dxa"/>
            <w:tcMar>
              <w:top w:w="80" w:type="nil"/>
              <w:left w:w="80" w:type="nil"/>
              <w:bottom w:w="40" w:type="nil"/>
              <w:right w:w="80" w:type="nil"/>
            </w:tcMar>
            <w:vAlign w:val="center"/>
          </w:tcPr>
          <w:p w14:paraId="58CC045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25CE90F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53.9</w:t>
            </w:r>
          </w:p>
        </w:tc>
        <w:tc>
          <w:tcPr>
            <w:tcW w:w="1244" w:type="dxa"/>
            <w:tcMar>
              <w:top w:w="80" w:type="nil"/>
              <w:left w:w="80" w:type="nil"/>
              <w:bottom w:w="40" w:type="nil"/>
              <w:right w:w="80" w:type="nil"/>
            </w:tcMar>
            <w:vAlign w:val="center"/>
          </w:tcPr>
          <w:p w14:paraId="009BF8A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54.3</w:t>
            </w:r>
          </w:p>
        </w:tc>
      </w:tr>
      <w:tr w:rsidR="008A5243" w14:paraId="7B9BB54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9D717B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BB50BE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5B96DA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742.1</w:t>
            </w:r>
          </w:p>
        </w:tc>
        <w:tc>
          <w:tcPr>
            <w:tcW w:w="2344" w:type="dxa"/>
            <w:tcMar>
              <w:top w:w="80" w:type="nil"/>
              <w:left w:w="80" w:type="nil"/>
              <w:bottom w:w="40" w:type="nil"/>
              <w:right w:w="80" w:type="nil"/>
            </w:tcMar>
            <w:vAlign w:val="center"/>
          </w:tcPr>
          <w:p w14:paraId="4542F64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0.04</w:t>
            </w:r>
          </w:p>
        </w:tc>
        <w:tc>
          <w:tcPr>
            <w:tcW w:w="3111" w:type="dxa"/>
            <w:tcMar>
              <w:top w:w="80" w:type="nil"/>
              <w:left w:w="80" w:type="nil"/>
              <w:bottom w:w="40" w:type="nil"/>
              <w:right w:w="80" w:type="nil"/>
            </w:tcMar>
            <w:vAlign w:val="center"/>
          </w:tcPr>
          <w:p w14:paraId="34EEBDE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45F77A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50.4</w:t>
            </w:r>
          </w:p>
        </w:tc>
        <w:tc>
          <w:tcPr>
            <w:tcW w:w="1244" w:type="dxa"/>
            <w:tcMar>
              <w:top w:w="80" w:type="nil"/>
              <w:left w:w="80" w:type="nil"/>
              <w:bottom w:w="40" w:type="nil"/>
              <w:right w:w="80" w:type="nil"/>
            </w:tcMar>
            <w:vAlign w:val="center"/>
          </w:tcPr>
          <w:p w14:paraId="4231627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50.5</w:t>
            </w:r>
          </w:p>
        </w:tc>
      </w:tr>
      <w:tr w:rsidR="008A5243" w14:paraId="350B2BB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F85CE7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B4E804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3D9BDD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757.3</w:t>
            </w:r>
          </w:p>
        </w:tc>
        <w:tc>
          <w:tcPr>
            <w:tcW w:w="2344" w:type="dxa"/>
            <w:tcMar>
              <w:top w:w="80" w:type="nil"/>
              <w:left w:w="80" w:type="nil"/>
              <w:bottom w:w="40" w:type="nil"/>
              <w:right w:w="80" w:type="nil"/>
            </w:tcMar>
            <w:vAlign w:val="center"/>
          </w:tcPr>
          <w:p w14:paraId="1F8CD92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0.53</w:t>
            </w:r>
          </w:p>
        </w:tc>
        <w:tc>
          <w:tcPr>
            <w:tcW w:w="3111" w:type="dxa"/>
            <w:tcMar>
              <w:top w:w="80" w:type="nil"/>
              <w:left w:w="80" w:type="nil"/>
              <w:bottom w:w="40" w:type="nil"/>
              <w:right w:w="80" w:type="nil"/>
            </w:tcMar>
            <w:vAlign w:val="center"/>
          </w:tcPr>
          <w:p w14:paraId="797397B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62902C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54.0</w:t>
            </w:r>
          </w:p>
        </w:tc>
        <w:tc>
          <w:tcPr>
            <w:tcW w:w="1244" w:type="dxa"/>
            <w:tcMar>
              <w:top w:w="80" w:type="nil"/>
              <w:left w:w="80" w:type="nil"/>
              <w:bottom w:w="40" w:type="nil"/>
              <w:right w:w="80" w:type="nil"/>
            </w:tcMar>
            <w:vAlign w:val="center"/>
          </w:tcPr>
          <w:p w14:paraId="500A452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53.0</w:t>
            </w:r>
          </w:p>
        </w:tc>
      </w:tr>
      <w:tr w:rsidR="008A5243" w14:paraId="22A4963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8995A8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E32023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5F8B11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727.7</w:t>
            </w:r>
          </w:p>
        </w:tc>
        <w:tc>
          <w:tcPr>
            <w:tcW w:w="2344" w:type="dxa"/>
            <w:tcMar>
              <w:top w:w="80" w:type="nil"/>
              <w:left w:w="80" w:type="nil"/>
              <w:bottom w:w="40" w:type="nil"/>
              <w:right w:w="80" w:type="nil"/>
            </w:tcMar>
            <w:vAlign w:val="center"/>
          </w:tcPr>
          <w:p w14:paraId="7521C36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-0.43</w:t>
            </w:r>
          </w:p>
        </w:tc>
        <w:tc>
          <w:tcPr>
            <w:tcW w:w="3111" w:type="dxa"/>
            <w:tcMar>
              <w:top w:w="80" w:type="nil"/>
              <w:left w:w="80" w:type="nil"/>
              <w:bottom w:w="40" w:type="nil"/>
              <w:right w:w="80" w:type="nil"/>
            </w:tcMar>
            <w:vAlign w:val="center"/>
          </w:tcPr>
          <w:p w14:paraId="2B5229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w:t>
            </w:r>
          </w:p>
        </w:tc>
        <w:tc>
          <w:tcPr>
            <w:tcW w:w="1033" w:type="dxa"/>
            <w:tcMar>
              <w:top w:w="80" w:type="nil"/>
              <w:left w:w="80" w:type="nil"/>
              <w:bottom w:w="40" w:type="nil"/>
              <w:right w:w="80" w:type="nil"/>
            </w:tcMar>
            <w:vAlign w:val="center"/>
          </w:tcPr>
          <w:p w14:paraId="0A13A5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49.2</w:t>
            </w:r>
          </w:p>
        </w:tc>
        <w:tc>
          <w:tcPr>
            <w:tcW w:w="1244" w:type="dxa"/>
            <w:tcMar>
              <w:top w:w="80" w:type="nil"/>
              <w:left w:w="80" w:type="nil"/>
              <w:bottom w:w="40" w:type="nil"/>
              <w:right w:w="80" w:type="nil"/>
            </w:tcMar>
            <w:vAlign w:val="center"/>
          </w:tcPr>
          <w:p w14:paraId="2EC04F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50.3</w:t>
            </w:r>
          </w:p>
        </w:tc>
      </w:tr>
      <w:tr w:rsidR="008A5243" w14:paraId="4ACE378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F245BB5"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0DEF56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1479A20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750.2</w:t>
            </w:r>
          </w:p>
        </w:tc>
        <w:tc>
          <w:tcPr>
            <w:tcW w:w="2344" w:type="dxa"/>
            <w:tcMar>
              <w:top w:w="80" w:type="nil"/>
              <w:left w:w="80" w:type="nil"/>
              <w:bottom w:w="40" w:type="nil"/>
              <w:right w:w="80" w:type="nil"/>
            </w:tcMar>
            <w:vAlign w:val="center"/>
          </w:tcPr>
          <w:p w14:paraId="1948A03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0.30</w:t>
            </w:r>
          </w:p>
        </w:tc>
        <w:tc>
          <w:tcPr>
            <w:tcW w:w="3111" w:type="dxa"/>
            <w:tcMar>
              <w:top w:w="80" w:type="nil"/>
              <w:left w:w="80" w:type="nil"/>
              <w:bottom w:w="40" w:type="nil"/>
              <w:right w:w="80" w:type="nil"/>
            </w:tcMar>
            <w:vAlign w:val="center"/>
          </w:tcPr>
          <w:p w14:paraId="1236F2A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58</w:t>
            </w:r>
          </w:p>
        </w:tc>
        <w:tc>
          <w:tcPr>
            <w:tcW w:w="1033" w:type="dxa"/>
            <w:tcMar>
              <w:top w:w="80" w:type="nil"/>
              <w:left w:w="80" w:type="nil"/>
              <w:bottom w:w="40" w:type="nil"/>
              <w:right w:w="80" w:type="nil"/>
            </w:tcMar>
            <w:vAlign w:val="center"/>
          </w:tcPr>
          <w:p w14:paraId="61081C5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56.2</w:t>
            </w:r>
          </w:p>
        </w:tc>
        <w:tc>
          <w:tcPr>
            <w:tcW w:w="1244" w:type="dxa"/>
            <w:tcMar>
              <w:top w:w="80" w:type="nil"/>
              <w:left w:w="80" w:type="nil"/>
              <w:bottom w:w="40" w:type="nil"/>
              <w:right w:w="80" w:type="nil"/>
            </w:tcMar>
            <w:vAlign w:val="center"/>
          </w:tcPr>
          <w:p w14:paraId="0F33A1A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55.9</w:t>
            </w:r>
          </w:p>
        </w:tc>
      </w:tr>
      <w:tr w:rsidR="008A5243" w14:paraId="68E259E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435DD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w:t>
            </w:r>
          </w:p>
        </w:tc>
        <w:tc>
          <w:tcPr>
            <w:tcW w:w="635" w:type="dxa"/>
            <w:tcMar>
              <w:top w:w="80" w:type="nil"/>
              <w:left w:w="80" w:type="nil"/>
              <w:bottom w:w="40" w:type="nil"/>
              <w:right w:w="80" w:type="nil"/>
            </w:tcMar>
            <w:vAlign w:val="center"/>
          </w:tcPr>
          <w:p w14:paraId="01819FC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64DB4D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739.8</w:t>
            </w:r>
          </w:p>
        </w:tc>
        <w:tc>
          <w:tcPr>
            <w:tcW w:w="2344" w:type="dxa"/>
            <w:tcMar>
              <w:top w:w="80" w:type="nil"/>
              <w:left w:w="80" w:type="nil"/>
              <w:bottom w:w="40" w:type="nil"/>
              <w:right w:w="80" w:type="nil"/>
            </w:tcMar>
            <w:vAlign w:val="center"/>
          </w:tcPr>
          <w:p w14:paraId="4C2D179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-0.03</w:t>
            </w:r>
          </w:p>
        </w:tc>
        <w:tc>
          <w:tcPr>
            <w:tcW w:w="3111" w:type="dxa"/>
            <w:tcMar>
              <w:top w:w="80" w:type="nil"/>
              <w:left w:w="80" w:type="nil"/>
              <w:bottom w:w="40" w:type="nil"/>
              <w:right w:w="80" w:type="nil"/>
            </w:tcMar>
            <w:vAlign w:val="center"/>
          </w:tcPr>
          <w:p w14:paraId="78EF93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19FCD7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c>
          <w:tcPr>
            <w:tcW w:w="1244" w:type="dxa"/>
            <w:tcMar>
              <w:top w:w="80" w:type="nil"/>
              <w:left w:w="80" w:type="nil"/>
              <w:bottom w:w="40" w:type="nil"/>
              <w:right w:w="80" w:type="nil"/>
            </w:tcMar>
            <w:vAlign w:val="center"/>
          </w:tcPr>
          <w:p w14:paraId="13E8E69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r>
      <w:tr w:rsidR="008A5243" w14:paraId="0171418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E9F340D"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C9CC7B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35A68E0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740.0</w:t>
            </w:r>
          </w:p>
        </w:tc>
        <w:tc>
          <w:tcPr>
            <w:tcW w:w="2344" w:type="dxa"/>
            <w:tcMar>
              <w:top w:w="80" w:type="nil"/>
              <w:left w:w="80" w:type="nil"/>
              <w:bottom w:w="40" w:type="nil"/>
              <w:right w:w="80" w:type="nil"/>
            </w:tcMar>
            <w:vAlign w:val="center"/>
          </w:tcPr>
          <w:p w14:paraId="51A34E2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-0.02</w:t>
            </w:r>
          </w:p>
        </w:tc>
        <w:tc>
          <w:tcPr>
            <w:tcW w:w="3111" w:type="dxa"/>
            <w:tcMar>
              <w:top w:w="80" w:type="nil"/>
              <w:left w:w="80" w:type="nil"/>
              <w:bottom w:w="40" w:type="nil"/>
              <w:right w:w="80" w:type="nil"/>
            </w:tcMar>
            <w:vAlign w:val="center"/>
          </w:tcPr>
          <w:p w14:paraId="00F9FD1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116E594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47.5</w:t>
            </w:r>
          </w:p>
        </w:tc>
        <w:tc>
          <w:tcPr>
            <w:tcW w:w="1244" w:type="dxa"/>
            <w:tcMar>
              <w:top w:w="80" w:type="nil"/>
              <w:left w:w="80" w:type="nil"/>
              <w:bottom w:w="40" w:type="nil"/>
              <w:right w:w="80" w:type="nil"/>
            </w:tcMar>
            <w:vAlign w:val="center"/>
          </w:tcPr>
          <w:p w14:paraId="5163EC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47.5</w:t>
            </w:r>
          </w:p>
        </w:tc>
      </w:tr>
      <w:tr w:rsidR="008A5243" w14:paraId="04D3975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0EC0E9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AF7BC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7D12C7A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727.7</w:t>
            </w:r>
          </w:p>
        </w:tc>
        <w:tc>
          <w:tcPr>
            <w:tcW w:w="2344" w:type="dxa"/>
            <w:tcMar>
              <w:top w:w="80" w:type="nil"/>
              <w:left w:w="80" w:type="nil"/>
              <w:bottom w:w="40" w:type="nil"/>
              <w:right w:w="80" w:type="nil"/>
            </w:tcMar>
            <w:vAlign w:val="center"/>
          </w:tcPr>
          <w:p w14:paraId="54835BC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-0.44</w:t>
            </w:r>
          </w:p>
        </w:tc>
        <w:tc>
          <w:tcPr>
            <w:tcW w:w="3111" w:type="dxa"/>
            <w:tcMar>
              <w:top w:w="80" w:type="nil"/>
              <w:left w:w="80" w:type="nil"/>
              <w:bottom w:w="40" w:type="nil"/>
              <w:right w:w="80" w:type="nil"/>
            </w:tcMar>
            <w:vAlign w:val="center"/>
          </w:tcPr>
          <w:p w14:paraId="4E653E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w:t>
            </w:r>
          </w:p>
        </w:tc>
        <w:tc>
          <w:tcPr>
            <w:tcW w:w="1033" w:type="dxa"/>
            <w:tcMar>
              <w:top w:w="80" w:type="nil"/>
              <w:left w:w="80" w:type="nil"/>
              <w:bottom w:w="40" w:type="nil"/>
              <w:right w:w="80" w:type="nil"/>
            </w:tcMar>
            <w:vAlign w:val="center"/>
          </w:tcPr>
          <w:p w14:paraId="1D2375E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48.2</w:t>
            </w:r>
          </w:p>
        </w:tc>
        <w:tc>
          <w:tcPr>
            <w:tcW w:w="1244" w:type="dxa"/>
            <w:tcMar>
              <w:top w:w="80" w:type="nil"/>
              <w:left w:w="80" w:type="nil"/>
              <w:bottom w:w="40" w:type="nil"/>
              <w:right w:w="80" w:type="nil"/>
            </w:tcMar>
            <w:vAlign w:val="center"/>
          </w:tcPr>
          <w:p w14:paraId="746FEC9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49.2</w:t>
            </w:r>
          </w:p>
        </w:tc>
      </w:tr>
      <w:tr w:rsidR="008A5243" w14:paraId="2BB0256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4610F6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A991B3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3EB4FDC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738.2</w:t>
            </w:r>
          </w:p>
        </w:tc>
        <w:tc>
          <w:tcPr>
            <w:tcW w:w="2344" w:type="dxa"/>
            <w:tcMar>
              <w:top w:w="80" w:type="nil"/>
              <w:left w:w="80" w:type="nil"/>
              <w:bottom w:w="40" w:type="nil"/>
              <w:right w:w="80" w:type="nil"/>
            </w:tcMar>
            <w:vAlign w:val="center"/>
          </w:tcPr>
          <w:p w14:paraId="40792A2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3111" w:type="dxa"/>
            <w:tcMar>
              <w:top w:w="80" w:type="nil"/>
              <w:left w:w="80" w:type="nil"/>
              <w:bottom w:w="40" w:type="nil"/>
              <w:right w:w="80" w:type="nil"/>
            </w:tcMar>
            <w:vAlign w:val="center"/>
          </w:tcPr>
          <w:p w14:paraId="035369C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320E77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c>
          <w:tcPr>
            <w:tcW w:w="1244" w:type="dxa"/>
            <w:tcMar>
              <w:top w:w="80" w:type="nil"/>
              <w:left w:w="80" w:type="nil"/>
              <w:bottom w:w="40" w:type="nil"/>
              <w:right w:w="80" w:type="nil"/>
            </w:tcMar>
            <w:vAlign w:val="center"/>
          </w:tcPr>
          <w:p w14:paraId="6FFBD89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50.2</w:t>
            </w:r>
          </w:p>
        </w:tc>
      </w:tr>
      <w:tr w:rsidR="008A5243" w14:paraId="1A061F2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F974AC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A1C08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706F07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740.9</w:t>
            </w:r>
          </w:p>
        </w:tc>
        <w:tc>
          <w:tcPr>
            <w:tcW w:w="2344" w:type="dxa"/>
            <w:tcMar>
              <w:top w:w="80" w:type="nil"/>
              <w:left w:w="80" w:type="nil"/>
              <w:bottom w:w="40" w:type="nil"/>
              <w:right w:w="80" w:type="nil"/>
            </w:tcMar>
            <w:vAlign w:val="center"/>
          </w:tcPr>
          <w:p w14:paraId="6E7B412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0980178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1212F76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c>
          <w:tcPr>
            <w:tcW w:w="1244" w:type="dxa"/>
            <w:tcMar>
              <w:top w:w="80" w:type="nil"/>
              <w:left w:w="80" w:type="nil"/>
              <w:bottom w:w="40" w:type="nil"/>
              <w:right w:w="80" w:type="nil"/>
            </w:tcMar>
            <w:vAlign w:val="center"/>
          </w:tcPr>
          <w:p w14:paraId="7CA9D2B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r>
      <w:tr w:rsidR="008A5243" w14:paraId="4D20EFF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7E5350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F30AA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7912A99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754.6</w:t>
            </w:r>
          </w:p>
        </w:tc>
        <w:tc>
          <w:tcPr>
            <w:tcW w:w="2344" w:type="dxa"/>
            <w:tcMar>
              <w:top w:w="80" w:type="nil"/>
              <w:left w:w="80" w:type="nil"/>
              <w:bottom w:w="40" w:type="nil"/>
              <w:right w:w="80" w:type="nil"/>
            </w:tcMar>
            <w:vAlign w:val="center"/>
          </w:tcPr>
          <w:p w14:paraId="5BFFED2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0.48</w:t>
            </w:r>
          </w:p>
        </w:tc>
        <w:tc>
          <w:tcPr>
            <w:tcW w:w="3111" w:type="dxa"/>
            <w:tcMar>
              <w:top w:w="80" w:type="nil"/>
              <w:left w:w="80" w:type="nil"/>
              <w:bottom w:w="40" w:type="nil"/>
              <w:right w:w="80" w:type="nil"/>
            </w:tcMar>
            <w:vAlign w:val="center"/>
          </w:tcPr>
          <w:p w14:paraId="0439C41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63</w:t>
            </w:r>
          </w:p>
        </w:tc>
        <w:tc>
          <w:tcPr>
            <w:tcW w:w="1033" w:type="dxa"/>
            <w:tcMar>
              <w:top w:w="80" w:type="nil"/>
              <w:left w:w="80" w:type="nil"/>
              <w:bottom w:w="40" w:type="nil"/>
              <w:right w:w="80" w:type="nil"/>
            </w:tcMar>
            <w:vAlign w:val="center"/>
          </w:tcPr>
          <w:p w14:paraId="3725694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56.3</w:t>
            </w:r>
          </w:p>
        </w:tc>
        <w:tc>
          <w:tcPr>
            <w:tcW w:w="1244" w:type="dxa"/>
            <w:tcMar>
              <w:top w:w="80" w:type="nil"/>
              <w:left w:w="80" w:type="nil"/>
              <w:bottom w:w="40" w:type="nil"/>
              <w:right w:w="80" w:type="nil"/>
            </w:tcMar>
            <w:vAlign w:val="center"/>
          </w:tcPr>
          <w:p w14:paraId="31455D8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55.5</w:t>
            </w:r>
          </w:p>
        </w:tc>
      </w:tr>
      <w:tr w:rsidR="008A5243" w14:paraId="5CF9F77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3A3736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08E527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5EFE6D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728.0</w:t>
            </w:r>
          </w:p>
        </w:tc>
        <w:tc>
          <w:tcPr>
            <w:tcW w:w="2344" w:type="dxa"/>
            <w:tcMar>
              <w:top w:w="80" w:type="nil"/>
              <w:left w:w="80" w:type="nil"/>
              <w:bottom w:w="40" w:type="nil"/>
              <w:right w:w="80" w:type="nil"/>
            </w:tcMar>
            <w:vAlign w:val="center"/>
          </w:tcPr>
          <w:p w14:paraId="61B14DA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-0.43</w:t>
            </w:r>
          </w:p>
        </w:tc>
        <w:tc>
          <w:tcPr>
            <w:tcW w:w="3111" w:type="dxa"/>
            <w:tcMar>
              <w:top w:w="80" w:type="nil"/>
              <w:left w:w="80" w:type="nil"/>
              <w:bottom w:w="40" w:type="nil"/>
              <w:right w:w="80" w:type="nil"/>
            </w:tcMar>
            <w:vAlign w:val="center"/>
          </w:tcPr>
          <w:p w14:paraId="69FC8B4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33</w:t>
            </w:r>
          </w:p>
        </w:tc>
        <w:tc>
          <w:tcPr>
            <w:tcW w:w="1033" w:type="dxa"/>
            <w:tcMar>
              <w:top w:w="80" w:type="nil"/>
              <w:left w:w="80" w:type="nil"/>
              <w:bottom w:w="40" w:type="nil"/>
              <w:right w:w="80" w:type="nil"/>
            </w:tcMar>
            <w:vAlign w:val="center"/>
          </w:tcPr>
          <w:p w14:paraId="187828E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c>
          <w:tcPr>
            <w:tcW w:w="1244" w:type="dxa"/>
            <w:tcMar>
              <w:top w:w="80" w:type="nil"/>
              <w:left w:w="80" w:type="nil"/>
              <w:bottom w:w="40" w:type="nil"/>
              <w:right w:w="80" w:type="nil"/>
            </w:tcMar>
            <w:vAlign w:val="center"/>
          </w:tcPr>
          <w:p w14:paraId="54C678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50.4</w:t>
            </w:r>
          </w:p>
        </w:tc>
      </w:tr>
      <w:tr w:rsidR="008A5243" w14:paraId="292EAFBA"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7C96E299"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437FF00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Borders>
              <w:bottom w:val="single" w:sz="16" w:space="0" w:color="6D6D6D"/>
            </w:tcBorders>
            <w:tcMar>
              <w:top w:w="80" w:type="nil"/>
              <w:left w:w="80" w:type="nil"/>
              <w:bottom w:w="40" w:type="nil"/>
              <w:right w:w="80" w:type="nil"/>
            </w:tcMar>
            <w:vAlign w:val="center"/>
          </w:tcPr>
          <w:p w14:paraId="1E2844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750.2</w:t>
            </w:r>
          </w:p>
        </w:tc>
        <w:tc>
          <w:tcPr>
            <w:tcW w:w="2344" w:type="dxa"/>
            <w:tcBorders>
              <w:bottom w:val="single" w:sz="16" w:space="0" w:color="6D6D6D"/>
            </w:tcBorders>
            <w:tcMar>
              <w:top w:w="80" w:type="nil"/>
              <w:left w:w="80" w:type="nil"/>
              <w:bottom w:w="40" w:type="nil"/>
              <w:right w:w="80" w:type="nil"/>
            </w:tcMar>
            <w:vAlign w:val="center"/>
          </w:tcPr>
          <w:p w14:paraId="09E5AF1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0.33</w:t>
            </w:r>
          </w:p>
        </w:tc>
        <w:tc>
          <w:tcPr>
            <w:tcW w:w="3111" w:type="dxa"/>
            <w:tcBorders>
              <w:bottom w:val="single" w:sz="16" w:space="0" w:color="6D6D6D"/>
            </w:tcBorders>
            <w:tcMar>
              <w:top w:w="80" w:type="nil"/>
              <w:left w:w="80" w:type="nil"/>
              <w:bottom w:w="40" w:type="nil"/>
              <w:right w:w="80" w:type="nil"/>
            </w:tcMar>
            <w:vAlign w:val="center"/>
          </w:tcPr>
          <w:p w14:paraId="4B7AEE0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58</w:t>
            </w:r>
          </w:p>
        </w:tc>
        <w:tc>
          <w:tcPr>
            <w:tcW w:w="1033" w:type="dxa"/>
            <w:tcBorders>
              <w:bottom w:val="single" w:sz="16" w:space="0" w:color="6D6D6D"/>
            </w:tcBorders>
            <w:tcMar>
              <w:top w:w="80" w:type="nil"/>
              <w:left w:w="80" w:type="nil"/>
              <w:bottom w:w="40" w:type="nil"/>
              <w:right w:w="80" w:type="nil"/>
            </w:tcMar>
            <w:vAlign w:val="center"/>
          </w:tcPr>
          <w:p w14:paraId="460A79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55.0</w:t>
            </w:r>
          </w:p>
        </w:tc>
        <w:tc>
          <w:tcPr>
            <w:tcW w:w="1244" w:type="dxa"/>
            <w:tcBorders>
              <w:bottom w:val="single" w:sz="16" w:space="0" w:color="6D6D6D"/>
            </w:tcBorders>
            <w:tcMar>
              <w:top w:w="80" w:type="nil"/>
              <w:left w:w="80" w:type="nil"/>
              <w:bottom w:w="40" w:type="nil"/>
              <w:right w:w="80" w:type="nil"/>
            </w:tcMar>
            <w:vAlign w:val="center"/>
          </w:tcPr>
          <w:p w14:paraId="1AD99B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54.5</w:t>
            </w:r>
          </w:p>
        </w:tc>
      </w:tr>
    </w:tbl>
    <w:p w14:paraId="7F183793"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5F3212B6"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5F190DC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10:</w:t>
            </w:r>
            <w:r>
              <w:rPr>
                <w:rFonts w:ascii="Arial" w:hAnsi="Arial" w:cs="Arial"/>
                <w:sz w:val="26"/>
                <w:szCs w:val="26"/>
                <w:u w:color="0000E9"/>
              </w:rPr>
              <w:t xml:space="preserve"> Spring 2016 Typical Prior Achievement and Growth by State: ELA (</w:t>
            </w:r>
            <w:r>
              <w:rPr>
                <w:rFonts w:ascii="Arial" w:hAnsi="Arial" w:cs="Arial"/>
                <w:i/>
                <w:iCs/>
                <w:sz w:val="26"/>
                <w:szCs w:val="26"/>
                <w:u w:color="0000E9"/>
              </w:rPr>
              <w:t>Continued</w:t>
            </w:r>
            <w:r>
              <w:rPr>
                <w:rFonts w:ascii="Arial" w:hAnsi="Arial" w:cs="Arial"/>
                <w:sz w:val="26"/>
                <w:szCs w:val="26"/>
                <w:u w:color="0000E9"/>
              </w:rPr>
              <w:t>)</w:t>
            </w:r>
          </w:p>
        </w:tc>
      </w:tr>
      <w:tr w:rsidR="008A5243" w14:paraId="69B7A531"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1F04A94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10DF0ED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5849263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094C239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48FD1065"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2F6ADEA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31ECEFC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66E06A1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5494B5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w:t>
            </w:r>
          </w:p>
        </w:tc>
        <w:tc>
          <w:tcPr>
            <w:tcW w:w="635" w:type="dxa"/>
            <w:tcMar>
              <w:top w:w="80" w:type="nil"/>
              <w:left w:w="80" w:type="nil"/>
              <w:bottom w:w="40" w:type="nil"/>
              <w:right w:w="80" w:type="nil"/>
            </w:tcMar>
            <w:vAlign w:val="center"/>
          </w:tcPr>
          <w:p w14:paraId="27DB99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2E8A6E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738.2</w:t>
            </w:r>
          </w:p>
        </w:tc>
        <w:tc>
          <w:tcPr>
            <w:tcW w:w="2344" w:type="dxa"/>
            <w:tcMar>
              <w:top w:w="80" w:type="nil"/>
              <w:left w:w="80" w:type="nil"/>
              <w:bottom w:w="40" w:type="nil"/>
              <w:right w:w="80" w:type="nil"/>
            </w:tcMar>
            <w:vAlign w:val="center"/>
          </w:tcPr>
          <w:p w14:paraId="0FB526E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-0.04</w:t>
            </w:r>
          </w:p>
        </w:tc>
        <w:tc>
          <w:tcPr>
            <w:tcW w:w="3111" w:type="dxa"/>
            <w:tcMar>
              <w:top w:w="80" w:type="nil"/>
              <w:left w:w="80" w:type="nil"/>
              <w:bottom w:w="40" w:type="nil"/>
              <w:right w:w="80" w:type="nil"/>
            </w:tcMar>
            <w:vAlign w:val="center"/>
          </w:tcPr>
          <w:p w14:paraId="33A263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77E161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46.6</w:t>
            </w:r>
          </w:p>
        </w:tc>
        <w:tc>
          <w:tcPr>
            <w:tcW w:w="1244" w:type="dxa"/>
            <w:tcMar>
              <w:top w:w="80" w:type="nil"/>
              <w:left w:w="80" w:type="nil"/>
              <w:bottom w:w="40" w:type="nil"/>
              <w:right w:w="80" w:type="nil"/>
            </w:tcMar>
            <w:vAlign w:val="center"/>
          </w:tcPr>
          <w:p w14:paraId="1C543E2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r>
      <w:tr w:rsidR="008A5243" w14:paraId="5A6FF13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A5359C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AA854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26CDF6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738.0</w:t>
            </w:r>
          </w:p>
        </w:tc>
        <w:tc>
          <w:tcPr>
            <w:tcW w:w="2344" w:type="dxa"/>
            <w:tcMar>
              <w:top w:w="80" w:type="nil"/>
              <w:left w:w="80" w:type="nil"/>
              <w:bottom w:w="40" w:type="nil"/>
              <w:right w:w="80" w:type="nil"/>
            </w:tcMar>
            <w:vAlign w:val="center"/>
          </w:tcPr>
          <w:p w14:paraId="4673FC5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-0.04</w:t>
            </w:r>
          </w:p>
        </w:tc>
        <w:tc>
          <w:tcPr>
            <w:tcW w:w="3111" w:type="dxa"/>
            <w:tcMar>
              <w:top w:w="80" w:type="nil"/>
              <w:left w:w="80" w:type="nil"/>
              <w:bottom w:w="40" w:type="nil"/>
              <w:right w:w="80" w:type="nil"/>
            </w:tcMar>
            <w:vAlign w:val="center"/>
          </w:tcPr>
          <w:p w14:paraId="6AA413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w:t>
            </w:r>
          </w:p>
        </w:tc>
        <w:tc>
          <w:tcPr>
            <w:tcW w:w="1033" w:type="dxa"/>
            <w:tcMar>
              <w:top w:w="80" w:type="nil"/>
              <w:left w:w="80" w:type="nil"/>
              <w:bottom w:w="40" w:type="nil"/>
              <w:right w:w="80" w:type="nil"/>
            </w:tcMar>
            <w:vAlign w:val="center"/>
          </w:tcPr>
          <w:p w14:paraId="339E77F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48.6</w:t>
            </w:r>
          </w:p>
        </w:tc>
        <w:tc>
          <w:tcPr>
            <w:tcW w:w="1244" w:type="dxa"/>
            <w:tcMar>
              <w:top w:w="80" w:type="nil"/>
              <w:left w:w="80" w:type="nil"/>
              <w:bottom w:w="40" w:type="nil"/>
              <w:right w:w="80" w:type="nil"/>
            </w:tcMar>
            <w:vAlign w:val="center"/>
          </w:tcPr>
          <w:p w14:paraId="616E2AE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48.8</w:t>
            </w:r>
          </w:p>
        </w:tc>
      </w:tr>
      <w:tr w:rsidR="008A5243" w14:paraId="530B2C7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386F33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B2DBCC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64B00DC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725.7</w:t>
            </w:r>
          </w:p>
        </w:tc>
        <w:tc>
          <w:tcPr>
            <w:tcW w:w="2344" w:type="dxa"/>
            <w:tcMar>
              <w:top w:w="80" w:type="nil"/>
              <w:left w:w="80" w:type="nil"/>
              <w:bottom w:w="40" w:type="nil"/>
              <w:right w:w="80" w:type="nil"/>
            </w:tcMar>
            <w:vAlign w:val="center"/>
          </w:tcPr>
          <w:p w14:paraId="510DBCA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-0.47</w:t>
            </w:r>
          </w:p>
        </w:tc>
        <w:tc>
          <w:tcPr>
            <w:tcW w:w="3111" w:type="dxa"/>
            <w:tcMar>
              <w:top w:w="80" w:type="nil"/>
              <w:left w:w="80" w:type="nil"/>
              <w:bottom w:w="40" w:type="nil"/>
              <w:right w:w="80" w:type="nil"/>
            </w:tcMar>
            <w:vAlign w:val="center"/>
          </w:tcPr>
          <w:p w14:paraId="170B03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31</w:t>
            </w:r>
          </w:p>
        </w:tc>
        <w:tc>
          <w:tcPr>
            <w:tcW w:w="1033" w:type="dxa"/>
            <w:tcMar>
              <w:top w:w="80" w:type="nil"/>
              <w:left w:w="80" w:type="nil"/>
              <w:bottom w:w="40" w:type="nil"/>
              <w:right w:w="80" w:type="nil"/>
            </w:tcMar>
            <w:vAlign w:val="center"/>
          </w:tcPr>
          <w:p w14:paraId="1CA42E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48.0</w:t>
            </w:r>
          </w:p>
        </w:tc>
        <w:tc>
          <w:tcPr>
            <w:tcW w:w="1244" w:type="dxa"/>
            <w:tcMar>
              <w:top w:w="80" w:type="nil"/>
              <w:left w:w="80" w:type="nil"/>
              <w:bottom w:w="40" w:type="nil"/>
              <w:right w:w="80" w:type="nil"/>
            </w:tcMar>
            <w:vAlign w:val="center"/>
          </w:tcPr>
          <w:p w14:paraId="61A6B21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49.0</w:t>
            </w:r>
          </w:p>
        </w:tc>
      </w:tr>
      <w:tr w:rsidR="008A5243" w14:paraId="3C2C0966"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EB4D03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9A43C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1CC3ED7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736.6</w:t>
            </w:r>
          </w:p>
        </w:tc>
        <w:tc>
          <w:tcPr>
            <w:tcW w:w="2344" w:type="dxa"/>
            <w:tcMar>
              <w:top w:w="80" w:type="nil"/>
              <w:left w:w="80" w:type="nil"/>
              <w:bottom w:w="40" w:type="nil"/>
              <w:right w:w="80" w:type="nil"/>
            </w:tcMar>
            <w:vAlign w:val="center"/>
          </w:tcPr>
          <w:p w14:paraId="2379628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3111" w:type="dxa"/>
            <w:tcMar>
              <w:top w:w="80" w:type="nil"/>
              <w:left w:w="80" w:type="nil"/>
              <w:bottom w:w="40" w:type="nil"/>
              <w:right w:w="80" w:type="nil"/>
            </w:tcMar>
            <w:vAlign w:val="center"/>
          </w:tcPr>
          <w:p w14:paraId="02C63B7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09E373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c>
          <w:tcPr>
            <w:tcW w:w="1244" w:type="dxa"/>
            <w:tcMar>
              <w:top w:w="80" w:type="nil"/>
              <w:left w:w="80" w:type="nil"/>
              <w:bottom w:w="40" w:type="nil"/>
              <w:right w:w="80" w:type="nil"/>
            </w:tcMar>
            <w:vAlign w:val="center"/>
          </w:tcPr>
          <w:p w14:paraId="75C5B1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50.3</w:t>
            </w:r>
          </w:p>
        </w:tc>
      </w:tr>
      <w:tr w:rsidR="008A5243" w14:paraId="6B88395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0715FCE"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8751BD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5FB984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740.0</w:t>
            </w:r>
          </w:p>
        </w:tc>
        <w:tc>
          <w:tcPr>
            <w:tcW w:w="2344" w:type="dxa"/>
            <w:tcMar>
              <w:top w:w="80" w:type="nil"/>
              <w:left w:w="80" w:type="nil"/>
              <w:bottom w:w="40" w:type="nil"/>
              <w:right w:w="80" w:type="nil"/>
            </w:tcMar>
            <w:vAlign w:val="center"/>
          </w:tcPr>
          <w:p w14:paraId="6B1C60A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0.03</w:t>
            </w:r>
          </w:p>
        </w:tc>
        <w:tc>
          <w:tcPr>
            <w:tcW w:w="3111" w:type="dxa"/>
            <w:tcMar>
              <w:top w:w="80" w:type="nil"/>
              <w:left w:w="80" w:type="nil"/>
              <w:bottom w:w="40" w:type="nil"/>
              <w:right w:w="80" w:type="nil"/>
            </w:tcMar>
            <w:vAlign w:val="center"/>
          </w:tcPr>
          <w:p w14:paraId="3AB5A3E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655E248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48.5</w:t>
            </w:r>
          </w:p>
        </w:tc>
        <w:tc>
          <w:tcPr>
            <w:tcW w:w="1244" w:type="dxa"/>
            <w:tcMar>
              <w:top w:w="80" w:type="nil"/>
              <w:left w:w="80" w:type="nil"/>
              <w:bottom w:w="40" w:type="nil"/>
              <w:right w:w="80" w:type="nil"/>
            </w:tcMar>
            <w:vAlign w:val="center"/>
          </w:tcPr>
          <w:p w14:paraId="67ACCED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48.5</w:t>
            </w:r>
          </w:p>
        </w:tc>
      </w:tr>
      <w:tr w:rsidR="008A5243" w14:paraId="05738BF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40BB42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00A89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1F3C0F8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753.8</w:t>
            </w:r>
          </w:p>
        </w:tc>
        <w:tc>
          <w:tcPr>
            <w:tcW w:w="2344" w:type="dxa"/>
            <w:tcMar>
              <w:top w:w="80" w:type="nil"/>
              <w:left w:w="80" w:type="nil"/>
              <w:bottom w:w="40" w:type="nil"/>
              <w:right w:w="80" w:type="nil"/>
            </w:tcMar>
            <w:vAlign w:val="center"/>
          </w:tcPr>
          <w:p w14:paraId="5E2CABF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0.51</w:t>
            </w:r>
          </w:p>
        </w:tc>
        <w:tc>
          <w:tcPr>
            <w:tcW w:w="3111" w:type="dxa"/>
            <w:tcMar>
              <w:top w:w="80" w:type="nil"/>
              <w:left w:w="80" w:type="nil"/>
              <w:bottom w:w="40" w:type="nil"/>
              <w:right w:w="80" w:type="nil"/>
            </w:tcMar>
            <w:vAlign w:val="center"/>
          </w:tcPr>
          <w:p w14:paraId="72CF3C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65</w:t>
            </w:r>
          </w:p>
        </w:tc>
        <w:tc>
          <w:tcPr>
            <w:tcW w:w="1033" w:type="dxa"/>
            <w:tcMar>
              <w:top w:w="80" w:type="nil"/>
              <w:left w:w="80" w:type="nil"/>
              <w:bottom w:w="40" w:type="nil"/>
              <w:right w:w="80" w:type="nil"/>
            </w:tcMar>
            <w:vAlign w:val="center"/>
          </w:tcPr>
          <w:p w14:paraId="134E769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54.1</w:t>
            </w:r>
          </w:p>
        </w:tc>
        <w:tc>
          <w:tcPr>
            <w:tcW w:w="1244" w:type="dxa"/>
            <w:tcMar>
              <w:top w:w="80" w:type="nil"/>
              <w:left w:w="80" w:type="nil"/>
              <w:bottom w:w="40" w:type="nil"/>
              <w:right w:w="80" w:type="nil"/>
            </w:tcMar>
            <w:vAlign w:val="center"/>
          </w:tcPr>
          <w:p w14:paraId="442974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53.4</w:t>
            </w:r>
          </w:p>
        </w:tc>
      </w:tr>
      <w:tr w:rsidR="008A5243" w14:paraId="6C93C97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CCC1C0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D5C07F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4EAA7D4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727.4</w:t>
            </w:r>
          </w:p>
        </w:tc>
        <w:tc>
          <w:tcPr>
            <w:tcW w:w="2344" w:type="dxa"/>
            <w:tcMar>
              <w:top w:w="80" w:type="nil"/>
              <w:left w:w="80" w:type="nil"/>
              <w:bottom w:w="40" w:type="nil"/>
              <w:right w:w="80" w:type="nil"/>
            </w:tcMar>
            <w:vAlign w:val="center"/>
          </w:tcPr>
          <w:p w14:paraId="7D93D7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-0.41</w:t>
            </w:r>
          </w:p>
        </w:tc>
        <w:tc>
          <w:tcPr>
            <w:tcW w:w="3111" w:type="dxa"/>
            <w:tcMar>
              <w:top w:w="80" w:type="nil"/>
              <w:left w:w="80" w:type="nil"/>
              <w:bottom w:w="40" w:type="nil"/>
              <w:right w:w="80" w:type="nil"/>
            </w:tcMar>
            <w:vAlign w:val="center"/>
          </w:tcPr>
          <w:p w14:paraId="2BAF7B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33</w:t>
            </w:r>
          </w:p>
        </w:tc>
        <w:tc>
          <w:tcPr>
            <w:tcW w:w="1033" w:type="dxa"/>
            <w:tcMar>
              <w:top w:w="80" w:type="nil"/>
              <w:left w:w="80" w:type="nil"/>
              <w:bottom w:w="40" w:type="nil"/>
              <w:right w:w="80" w:type="nil"/>
            </w:tcMar>
            <w:vAlign w:val="center"/>
          </w:tcPr>
          <w:p w14:paraId="0616387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44.2</w:t>
            </w:r>
          </w:p>
        </w:tc>
        <w:tc>
          <w:tcPr>
            <w:tcW w:w="1244" w:type="dxa"/>
            <w:tcMar>
              <w:top w:w="80" w:type="nil"/>
              <w:left w:w="80" w:type="nil"/>
              <w:bottom w:w="40" w:type="nil"/>
              <w:right w:w="80" w:type="nil"/>
            </w:tcMar>
            <w:vAlign w:val="center"/>
          </w:tcPr>
          <w:p w14:paraId="1D80ADA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45.0</w:t>
            </w:r>
          </w:p>
        </w:tc>
      </w:tr>
      <w:tr w:rsidR="008A5243" w14:paraId="7CB1D83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CA5EC7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46CAD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5837AB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748.1</w:t>
            </w:r>
          </w:p>
        </w:tc>
        <w:tc>
          <w:tcPr>
            <w:tcW w:w="2344" w:type="dxa"/>
            <w:tcMar>
              <w:top w:w="80" w:type="nil"/>
              <w:left w:w="80" w:type="nil"/>
              <w:bottom w:w="40" w:type="nil"/>
              <w:right w:w="80" w:type="nil"/>
            </w:tcMar>
            <w:vAlign w:val="center"/>
          </w:tcPr>
          <w:p w14:paraId="6AB1CD2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0.31</w:t>
            </w:r>
          </w:p>
        </w:tc>
        <w:tc>
          <w:tcPr>
            <w:tcW w:w="3111" w:type="dxa"/>
            <w:tcMar>
              <w:top w:w="80" w:type="nil"/>
              <w:left w:w="80" w:type="nil"/>
              <w:bottom w:w="40" w:type="nil"/>
              <w:right w:w="80" w:type="nil"/>
            </w:tcMar>
            <w:vAlign w:val="center"/>
          </w:tcPr>
          <w:p w14:paraId="42184A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58</w:t>
            </w:r>
          </w:p>
        </w:tc>
        <w:tc>
          <w:tcPr>
            <w:tcW w:w="1033" w:type="dxa"/>
            <w:tcMar>
              <w:top w:w="80" w:type="nil"/>
              <w:left w:w="80" w:type="nil"/>
              <w:bottom w:w="40" w:type="nil"/>
              <w:right w:w="80" w:type="nil"/>
            </w:tcMar>
            <w:vAlign w:val="center"/>
          </w:tcPr>
          <w:p w14:paraId="38F3C6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57.1</w:t>
            </w:r>
          </w:p>
        </w:tc>
        <w:tc>
          <w:tcPr>
            <w:tcW w:w="1244" w:type="dxa"/>
            <w:tcMar>
              <w:top w:w="80" w:type="nil"/>
              <w:left w:w="80" w:type="nil"/>
              <w:bottom w:w="40" w:type="nil"/>
              <w:right w:w="80" w:type="nil"/>
            </w:tcMar>
            <w:vAlign w:val="center"/>
          </w:tcPr>
          <w:p w14:paraId="7B1F594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56.9</w:t>
            </w:r>
          </w:p>
        </w:tc>
      </w:tr>
      <w:tr w:rsidR="008A5243" w14:paraId="329C06B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DC03F3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w:t>
            </w:r>
          </w:p>
        </w:tc>
        <w:tc>
          <w:tcPr>
            <w:tcW w:w="635" w:type="dxa"/>
            <w:tcMar>
              <w:top w:w="80" w:type="nil"/>
              <w:left w:w="80" w:type="nil"/>
              <w:bottom w:w="40" w:type="nil"/>
              <w:right w:w="80" w:type="nil"/>
            </w:tcMar>
            <w:vAlign w:val="center"/>
          </w:tcPr>
          <w:p w14:paraId="634548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73EF50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739.6</w:t>
            </w:r>
          </w:p>
        </w:tc>
        <w:tc>
          <w:tcPr>
            <w:tcW w:w="2344" w:type="dxa"/>
            <w:tcMar>
              <w:top w:w="80" w:type="nil"/>
              <w:left w:w="80" w:type="nil"/>
              <w:bottom w:w="40" w:type="nil"/>
              <w:right w:w="80" w:type="nil"/>
            </w:tcMar>
            <w:vAlign w:val="center"/>
          </w:tcPr>
          <w:p w14:paraId="3EE76A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4EEA4E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0DCDD25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46.9</w:t>
            </w:r>
          </w:p>
        </w:tc>
        <w:tc>
          <w:tcPr>
            <w:tcW w:w="1244" w:type="dxa"/>
            <w:tcMar>
              <w:top w:w="80" w:type="nil"/>
              <w:left w:w="80" w:type="nil"/>
              <w:bottom w:w="40" w:type="nil"/>
              <w:right w:w="80" w:type="nil"/>
            </w:tcMar>
            <w:vAlign w:val="center"/>
          </w:tcPr>
          <w:p w14:paraId="2C0ABA5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46.9</w:t>
            </w:r>
          </w:p>
        </w:tc>
      </w:tr>
      <w:tr w:rsidR="008A5243" w14:paraId="1DCB327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6BB0D5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0FAF7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66F10FF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737.7</w:t>
            </w:r>
          </w:p>
        </w:tc>
        <w:tc>
          <w:tcPr>
            <w:tcW w:w="2344" w:type="dxa"/>
            <w:tcMar>
              <w:top w:w="80" w:type="nil"/>
              <w:left w:w="80" w:type="nil"/>
              <w:bottom w:w="40" w:type="nil"/>
              <w:right w:w="80" w:type="nil"/>
            </w:tcMar>
            <w:vAlign w:val="center"/>
          </w:tcPr>
          <w:p w14:paraId="48FF4F5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-0.06</w:t>
            </w:r>
          </w:p>
        </w:tc>
        <w:tc>
          <w:tcPr>
            <w:tcW w:w="3111" w:type="dxa"/>
            <w:tcMar>
              <w:top w:w="80" w:type="nil"/>
              <w:left w:w="80" w:type="nil"/>
              <w:bottom w:w="40" w:type="nil"/>
              <w:right w:w="80" w:type="nil"/>
            </w:tcMar>
            <w:vAlign w:val="center"/>
          </w:tcPr>
          <w:p w14:paraId="05930B0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7519F5C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47.3</w:t>
            </w:r>
          </w:p>
        </w:tc>
        <w:tc>
          <w:tcPr>
            <w:tcW w:w="1244" w:type="dxa"/>
            <w:tcMar>
              <w:top w:w="80" w:type="nil"/>
              <w:left w:w="80" w:type="nil"/>
              <w:bottom w:w="40" w:type="nil"/>
              <w:right w:w="80" w:type="nil"/>
            </w:tcMar>
            <w:vAlign w:val="center"/>
          </w:tcPr>
          <w:p w14:paraId="7FF60FD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47.4</w:t>
            </w:r>
          </w:p>
        </w:tc>
      </w:tr>
      <w:tr w:rsidR="008A5243" w14:paraId="443AF10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75C5E25"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D94738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5320E3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725.0</w:t>
            </w:r>
          </w:p>
        </w:tc>
        <w:tc>
          <w:tcPr>
            <w:tcW w:w="2344" w:type="dxa"/>
            <w:tcMar>
              <w:top w:w="80" w:type="nil"/>
              <w:left w:w="80" w:type="nil"/>
              <w:bottom w:w="40" w:type="nil"/>
              <w:right w:w="80" w:type="nil"/>
            </w:tcMar>
            <w:vAlign w:val="center"/>
          </w:tcPr>
          <w:p w14:paraId="2FD0F1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-0.44</w:t>
            </w:r>
          </w:p>
        </w:tc>
        <w:tc>
          <w:tcPr>
            <w:tcW w:w="3111" w:type="dxa"/>
            <w:tcMar>
              <w:top w:w="80" w:type="nil"/>
              <w:left w:w="80" w:type="nil"/>
              <w:bottom w:w="40" w:type="nil"/>
              <w:right w:w="80" w:type="nil"/>
            </w:tcMar>
            <w:vAlign w:val="center"/>
          </w:tcPr>
          <w:p w14:paraId="7DBCE3B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w:t>
            </w:r>
          </w:p>
        </w:tc>
        <w:tc>
          <w:tcPr>
            <w:tcW w:w="1033" w:type="dxa"/>
            <w:tcMar>
              <w:top w:w="80" w:type="nil"/>
              <w:left w:w="80" w:type="nil"/>
              <w:bottom w:w="40" w:type="nil"/>
              <w:right w:w="80" w:type="nil"/>
            </w:tcMar>
            <w:vAlign w:val="center"/>
          </w:tcPr>
          <w:p w14:paraId="52794C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51.2</w:t>
            </w:r>
          </w:p>
        </w:tc>
        <w:tc>
          <w:tcPr>
            <w:tcW w:w="1244" w:type="dxa"/>
            <w:tcMar>
              <w:top w:w="80" w:type="nil"/>
              <w:left w:w="80" w:type="nil"/>
              <w:bottom w:w="40" w:type="nil"/>
              <w:right w:w="80" w:type="nil"/>
            </w:tcMar>
            <w:vAlign w:val="center"/>
          </w:tcPr>
          <w:p w14:paraId="1278ED7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52.2</w:t>
            </w:r>
          </w:p>
        </w:tc>
      </w:tr>
      <w:tr w:rsidR="008A5243" w14:paraId="3A92CB28"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43E857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D932F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628692D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737.7</w:t>
            </w:r>
          </w:p>
        </w:tc>
        <w:tc>
          <w:tcPr>
            <w:tcW w:w="2344" w:type="dxa"/>
            <w:tcMar>
              <w:top w:w="80" w:type="nil"/>
              <w:left w:w="80" w:type="nil"/>
              <w:bottom w:w="40" w:type="nil"/>
              <w:right w:w="80" w:type="nil"/>
            </w:tcMar>
            <w:vAlign w:val="center"/>
          </w:tcPr>
          <w:p w14:paraId="5FBD12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3111" w:type="dxa"/>
            <w:tcMar>
              <w:top w:w="80" w:type="nil"/>
              <w:left w:w="80" w:type="nil"/>
              <w:bottom w:w="40" w:type="nil"/>
              <w:right w:w="80" w:type="nil"/>
            </w:tcMar>
            <w:vAlign w:val="center"/>
          </w:tcPr>
          <w:p w14:paraId="73715B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5ECFC6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50.5</w:t>
            </w:r>
          </w:p>
        </w:tc>
        <w:tc>
          <w:tcPr>
            <w:tcW w:w="1244" w:type="dxa"/>
            <w:tcMar>
              <w:top w:w="80" w:type="nil"/>
              <w:left w:w="80" w:type="nil"/>
              <w:bottom w:w="40" w:type="nil"/>
              <w:right w:w="80" w:type="nil"/>
            </w:tcMar>
            <w:vAlign w:val="center"/>
          </w:tcPr>
          <w:p w14:paraId="63FEA1D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50.6</w:t>
            </w:r>
          </w:p>
        </w:tc>
      </w:tr>
      <w:tr w:rsidR="008A5243" w14:paraId="19604CE5"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C889D8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00F9E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4243748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740.2</w:t>
            </w:r>
          </w:p>
        </w:tc>
        <w:tc>
          <w:tcPr>
            <w:tcW w:w="2344" w:type="dxa"/>
            <w:tcMar>
              <w:top w:w="80" w:type="nil"/>
              <w:left w:w="80" w:type="nil"/>
              <w:bottom w:w="40" w:type="nil"/>
              <w:right w:w="80" w:type="nil"/>
            </w:tcMar>
            <w:vAlign w:val="center"/>
          </w:tcPr>
          <w:p w14:paraId="30D9191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0.01</w:t>
            </w:r>
          </w:p>
        </w:tc>
        <w:tc>
          <w:tcPr>
            <w:tcW w:w="3111" w:type="dxa"/>
            <w:tcMar>
              <w:top w:w="80" w:type="nil"/>
              <w:left w:w="80" w:type="nil"/>
              <w:bottom w:w="40" w:type="nil"/>
              <w:right w:w="80" w:type="nil"/>
            </w:tcMar>
            <w:vAlign w:val="center"/>
          </w:tcPr>
          <w:p w14:paraId="13A418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194D4A4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49.3</w:t>
            </w:r>
          </w:p>
        </w:tc>
        <w:tc>
          <w:tcPr>
            <w:tcW w:w="1244" w:type="dxa"/>
            <w:tcMar>
              <w:top w:w="80" w:type="nil"/>
              <w:left w:w="80" w:type="nil"/>
              <w:bottom w:w="40" w:type="nil"/>
              <w:right w:w="80" w:type="nil"/>
            </w:tcMar>
            <w:vAlign w:val="center"/>
          </w:tcPr>
          <w:p w14:paraId="45278D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49.3</w:t>
            </w:r>
          </w:p>
        </w:tc>
      </w:tr>
      <w:tr w:rsidR="008A5243" w14:paraId="649BEED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E72BA98"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26D250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203310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757.0</w:t>
            </w:r>
          </w:p>
        </w:tc>
        <w:tc>
          <w:tcPr>
            <w:tcW w:w="2344" w:type="dxa"/>
            <w:tcMar>
              <w:top w:w="80" w:type="nil"/>
              <w:left w:w="80" w:type="nil"/>
              <w:bottom w:w="40" w:type="nil"/>
              <w:right w:w="80" w:type="nil"/>
            </w:tcMar>
            <w:vAlign w:val="center"/>
          </w:tcPr>
          <w:p w14:paraId="62055D1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0.51</w:t>
            </w:r>
          </w:p>
        </w:tc>
        <w:tc>
          <w:tcPr>
            <w:tcW w:w="3111" w:type="dxa"/>
            <w:tcMar>
              <w:top w:w="80" w:type="nil"/>
              <w:left w:w="80" w:type="nil"/>
              <w:bottom w:w="40" w:type="nil"/>
              <w:right w:w="80" w:type="nil"/>
            </w:tcMar>
            <w:vAlign w:val="center"/>
          </w:tcPr>
          <w:p w14:paraId="02D15CF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64</w:t>
            </w:r>
          </w:p>
        </w:tc>
        <w:tc>
          <w:tcPr>
            <w:tcW w:w="1033" w:type="dxa"/>
            <w:tcMar>
              <w:top w:w="80" w:type="nil"/>
              <w:left w:w="80" w:type="nil"/>
              <w:bottom w:w="40" w:type="nil"/>
              <w:right w:w="80" w:type="nil"/>
            </w:tcMar>
            <w:vAlign w:val="center"/>
          </w:tcPr>
          <w:p w14:paraId="34E8B4F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51.8</w:t>
            </w:r>
          </w:p>
        </w:tc>
        <w:tc>
          <w:tcPr>
            <w:tcW w:w="1244" w:type="dxa"/>
            <w:tcMar>
              <w:top w:w="80" w:type="nil"/>
              <w:left w:w="80" w:type="nil"/>
              <w:bottom w:w="40" w:type="nil"/>
              <w:right w:w="80" w:type="nil"/>
            </w:tcMar>
            <w:vAlign w:val="center"/>
          </w:tcPr>
          <w:p w14:paraId="5E725E6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50.9</w:t>
            </w:r>
          </w:p>
        </w:tc>
      </w:tr>
      <w:tr w:rsidR="008A5243" w14:paraId="4043DB9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D262650"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B98A9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3A9BFC5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722.5</w:t>
            </w:r>
          </w:p>
        </w:tc>
        <w:tc>
          <w:tcPr>
            <w:tcW w:w="2344" w:type="dxa"/>
            <w:tcMar>
              <w:top w:w="80" w:type="nil"/>
              <w:left w:w="80" w:type="nil"/>
              <w:bottom w:w="40" w:type="nil"/>
              <w:right w:w="80" w:type="nil"/>
            </w:tcMar>
            <w:vAlign w:val="center"/>
          </w:tcPr>
          <w:p w14:paraId="0D2CBB2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-0.51</w:t>
            </w:r>
          </w:p>
        </w:tc>
        <w:tc>
          <w:tcPr>
            <w:tcW w:w="3111" w:type="dxa"/>
            <w:tcMar>
              <w:top w:w="80" w:type="nil"/>
              <w:left w:w="80" w:type="nil"/>
              <w:bottom w:w="40" w:type="nil"/>
              <w:right w:w="80" w:type="nil"/>
            </w:tcMar>
            <w:vAlign w:val="center"/>
          </w:tcPr>
          <w:p w14:paraId="0813777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30</w:t>
            </w:r>
          </w:p>
        </w:tc>
        <w:tc>
          <w:tcPr>
            <w:tcW w:w="1033" w:type="dxa"/>
            <w:tcMar>
              <w:top w:w="80" w:type="nil"/>
              <w:left w:w="80" w:type="nil"/>
              <w:bottom w:w="40" w:type="nil"/>
              <w:right w:w="80" w:type="nil"/>
            </w:tcMar>
            <w:vAlign w:val="center"/>
          </w:tcPr>
          <w:p w14:paraId="6DDAFCF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51.7</w:t>
            </w:r>
          </w:p>
        </w:tc>
        <w:tc>
          <w:tcPr>
            <w:tcW w:w="1244" w:type="dxa"/>
            <w:tcMar>
              <w:top w:w="80" w:type="nil"/>
              <w:left w:w="80" w:type="nil"/>
              <w:bottom w:w="40" w:type="nil"/>
              <w:right w:w="80" w:type="nil"/>
            </w:tcMar>
            <w:vAlign w:val="center"/>
          </w:tcPr>
          <w:p w14:paraId="0526E5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52.8</w:t>
            </w:r>
          </w:p>
        </w:tc>
      </w:tr>
      <w:tr w:rsidR="008A5243" w14:paraId="341E9F25"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64C90C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25B7A2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4A6A5C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750.2</w:t>
            </w:r>
          </w:p>
        </w:tc>
        <w:tc>
          <w:tcPr>
            <w:tcW w:w="2344" w:type="dxa"/>
            <w:tcMar>
              <w:top w:w="80" w:type="nil"/>
              <w:left w:w="80" w:type="nil"/>
              <w:bottom w:w="40" w:type="nil"/>
              <w:right w:w="80" w:type="nil"/>
            </w:tcMar>
            <w:vAlign w:val="center"/>
          </w:tcPr>
          <w:p w14:paraId="6D6B59A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0.31</w:t>
            </w:r>
          </w:p>
        </w:tc>
        <w:tc>
          <w:tcPr>
            <w:tcW w:w="3111" w:type="dxa"/>
            <w:tcMar>
              <w:top w:w="80" w:type="nil"/>
              <w:left w:w="80" w:type="nil"/>
              <w:bottom w:w="40" w:type="nil"/>
              <w:right w:w="80" w:type="nil"/>
            </w:tcMar>
            <w:vAlign w:val="center"/>
          </w:tcPr>
          <w:p w14:paraId="4A5BAD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w:t>
            </w:r>
          </w:p>
        </w:tc>
        <w:tc>
          <w:tcPr>
            <w:tcW w:w="1033" w:type="dxa"/>
            <w:tcMar>
              <w:top w:w="80" w:type="nil"/>
              <w:left w:w="80" w:type="nil"/>
              <w:bottom w:w="40" w:type="nil"/>
              <w:right w:w="80" w:type="nil"/>
            </w:tcMar>
            <w:vAlign w:val="center"/>
          </w:tcPr>
          <w:p w14:paraId="3A14DF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56.0</w:t>
            </w:r>
          </w:p>
        </w:tc>
        <w:tc>
          <w:tcPr>
            <w:tcW w:w="1244" w:type="dxa"/>
            <w:tcMar>
              <w:top w:w="80" w:type="nil"/>
              <w:left w:w="80" w:type="nil"/>
              <w:bottom w:w="40" w:type="nil"/>
              <w:right w:w="80" w:type="nil"/>
            </w:tcMar>
            <w:vAlign w:val="center"/>
          </w:tcPr>
          <w:p w14:paraId="4DC5B0D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55.6</w:t>
            </w:r>
          </w:p>
        </w:tc>
      </w:tr>
      <w:tr w:rsidR="008A5243" w14:paraId="2B037177"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5CC234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w:t>
            </w:r>
          </w:p>
        </w:tc>
        <w:tc>
          <w:tcPr>
            <w:tcW w:w="635" w:type="dxa"/>
            <w:tcMar>
              <w:top w:w="80" w:type="nil"/>
              <w:left w:w="80" w:type="nil"/>
              <w:bottom w:w="40" w:type="nil"/>
              <w:right w:w="80" w:type="nil"/>
            </w:tcMar>
            <w:vAlign w:val="center"/>
          </w:tcPr>
          <w:p w14:paraId="53718C7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46279E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744.1</w:t>
            </w:r>
          </w:p>
        </w:tc>
        <w:tc>
          <w:tcPr>
            <w:tcW w:w="2344" w:type="dxa"/>
            <w:tcMar>
              <w:top w:w="80" w:type="nil"/>
              <w:left w:w="80" w:type="nil"/>
              <w:bottom w:w="40" w:type="nil"/>
              <w:right w:w="80" w:type="nil"/>
            </w:tcMar>
            <w:vAlign w:val="center"/>
          </w:tcPr>
          <w:p w14:paraId="790147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0.14</w:t>
            </w:r>
          </w:p>
        </w:tc>
        <w:tc>
          <w:tcPr>
            <w:tcW w:w="3111" w:type="dxa"/>
            <w:tcMar>
              <w:top w:w="80" w:type="nil"/>
              <w:left w:w="80" w:type="nil"/>
              <w:bottom w:w="40" w:type="nil"/>
              <w:right w:w="80" w:type="nil"/>
            </w:tcMar>
            <w:vAlign w:val="center"/>
          </w:tcPr>
          <w:p w14:paraId="411DCBC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1033" w:type="dxa"/>
            <w:tcMar>
              <w:top w:w="80" w:type="nil"/>
              <w:left w:w="80" w:type="nil"/>
              <w:bottom w:w="40" w:type="nil"/>
              <w:right w:w="80" w:type="nil"/>
            </w:tcMar>
            <w:vAlign w:val="center"/>
          </w:tcPr>
          <w:p w14:paraId="2F1E9CE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43.0</w:t>
            </w:r>
          </w:p>
        </w:tc>
        <w:tc>
          <w:tcPr>
            <w:tcW w:w="1244" w:type="dxa"/>
            <w:tcMar>
              <w:top w:w="80" w:type="nil"/>
              <w:left w:w="80" w:type="nil"/>
              <w:bottom w:w="40" w:type="nil"/>
              <w:right w:w="80" w:type="nil"/>
            </w:tcMar>
            <w:vAlign w:val="center"/>
          </w:tcPr>
          <w:p w14:paraId="44772CE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42.7</w:t>
            </w:r>
          </w:p>
        </w:tc>
      </w:tr>
      <w:tr w:rsidR="008A5243" w14:paraId="056AB0E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E24B540"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14A3BF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37EBDC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725.4</w:t>
            </w:r>
          </w:p>
        </w:tc>
        <w:tc>
          <w:tcPr>
            <w:tcW w:w="2344" w:type="dxa"/>
            <w:tcMar>
              <w:top w:w="80" w:type="nil"/>
              <w:left w:w="80" w:type="nil"/>
              <w:bottom w:w="40" w:type="nil"/>
              <w:right w:w="80" w:type="nil"/>
            </w:tcMar>
            <w:vAlign w:val="center"/>
          </w:tcPr>
          <w:p w14:paraId="6E8875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-0.41</w:t>
            </w:r>
          </w:p>
        </w:tc>
        <w:tc>
          <w:tcPr>
            <w:tcW w:w="3111" w:type="dxa"/>
            <w:tcMar>
              <w:top w:w="80" w:type="nil"/>
              <w:left w:w="80" w:type="nil"/>
              <w:bottom w:w="40" w:type="nil"/>
              <w:right w:w="80" w:type="nil"/>
            </w:tcMar>
            <w:vAlign w:val="center"/>
          </w:tcPr>
          <w:p w14:paraId="041088D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w:t>
            </w:r>
          </w:p>
        </w:tc>
        <w:tc>
          <w:tcPr>
            <w:tcW w:w="1033" w:type="dxa"/>
            <w:tcMar>
              <w:top w:w="80" w:type="nil"/>
              <w:left w:w="80" w:type="nil"/>
              <w:bottom w:w="40" w:type="nil"/>
              <w:right w:w="80" w:type="nil"/>
            </w:tcMar>
            <w:vAlign w:val="center"/>
          </w:tcPr>
          <w:p w14:paraId="095D81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45.9</w:t>
            </w:r>
          </w:p>
        </w:tc>
        <w:tc>
          <w:tcPr>
            <w:tcW w:w="1244" w:type="dxa"/>
            <w:tcMar>
              <w:top w:w="80" w:type="nil"/>
              <w:left w:w="80" w:type="nil"/>
              <w:bottom w:w="40" w:type="nil"/>
              <w:right w:w="80" w:type="nil"/>
            </w:tcMar>
            <w:vAlign w:val="center"/>
          </w:tcPr>
          <w:p w14:paraId="6331B7F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46.5</w:t>
            </w:r>
          </w:p>
        </w:tc>
      </w:tr>
      <w:tr w:rsidR="008A5243" w14:paraId="65E9B8B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9108C2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ADD2A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51A8E0A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734.4</w:t>
            </w:r>
          </w:p>
        </w:tc>
        <w:tc>
          <w:tcPr>
            <w:tcW w:w="2344" w:type="dxa"/>
            <w:tcMar>
              <w:top w:w="80" w:type="nil"/>
              <w:left w:w="80" w:type="nil"/>
              <w:bottom w:w="40" w:type="nil"/>
              <w:right w:w="80" w:type="nil"/>
            </w:tcMar>
            <w:vAlign w:val="center"/>
          </w:tcPr>
          <w:p w14:paraId="56BF901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-0.14</w:t>
            </w:r>
          </w:p>
        </w:tc>
        <w:tc>
          <w:tcPr>
            <w:tcW w:w="3111" w:type="dxa"/>
            <w:tcMar>
              <w:top w:w="80" w:type="nil"/>
              <w:left w:w="80" w:type="nil"/>
              <w:bottom w:w="40" w:type="nil"/>
              <w:right w:w="80" w:type="nil"/>
            </w:tcMar>
            <w:vAlign w:val="center"/>
          </w:tcPr>
          <w:p w14:paraId="0E0743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w:t>
            </w:r>
          </w:p>
        </w:tc>
        <w:tc>
          <w:tcPr>
            <w:tcW w:w="1033" w:type="dxa"/>
            <w:tcMar>
              <w:top w:w="80" w:type="nil"/>
              <w:left w:w="80" w:type="nil"/>
              <w:bottom w:w="40" w:type="nil"/>
              <w:right w:w="80" w:type="nil"/>
            </w:tcMar>
            <w:vAlign w:val="center"/>
          </w:tcPr>
          <w:p w14:paraId="47B774D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50.2</w:t>
            </w:r>
          </w:p>
        </w:tc>
        <w:tc>
          <w:tcPr>
            <w:tcW w:w="1244" w:type="dxa"/>
            <w:tcMar>
              <w:top w:w="80" w:type="nil"/>
              <w:left w:w="80" w:type="nil"/>
              <w:bottom w:w="40" w:type="nil"/>
              <w:right w:w="80" w:type="nil"/>
            </w:tcMar>
            <w:vAlign w:val="center"/>
          </w:tcPr>
          <w:p w14:paraId="6409C57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50.5</w:t>
            </w:r>
          </w:p>
        </w:tc>
      </w:tr>
      <w:tr w:rsidR="008A5243" w14:paraId="0396C675"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25FB3F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C8918F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728FF26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739.4</w:t>
            </w:r>
          </w:p>
        </w:tc>
        <w:tc>
          <w:tcPr>
            <w:tcW w:w="2344" w:type="dxa"/>
            <w:tcMar>
              <w:top w:w="80" w:type="nil"/>
              <w:left w:w="80" w:type="nil"/>
              <w:bottom w:w="40" w:type="nil"/>
              <w:right w:w="80" w:type="nil"/>
            </w:tcMar>
            <w:vAlign w:val="center"/>
          </w:tcPr>
          <w:p w14:paraId="1753537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0.00</w:t>
            </w:r>
          </w:p>
        </w:tc>
        <w:tc>
          <w:tcPr>
            <w:tcW w:w="3111" w:type="dxa"/>
            <w:tcMar>
              <w:top w:w="80" w:type="nil"/>
              <w:left w:w="80" w:type="nil"/>
              <w:bottom w:w="40" w:type="nil"/>
              <w:right w:w="80" w:type="nil"/>
            </w:tcMar>
            <w:vAlign w:val="center"/>
          </w:tcPr>
          <w:p w14:paraId="72B6451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w:t>
            </w:r>
          </w:p>
        </w:tc>
        <w:tc>
          <w:tcPr>
            <w:tcW w:w="1033" w:type="dxa"/>
            <w:tcMar>
              <w:top w:w="80" w:type="nil"/>
              <w:left w:w="80" w:type="nil"/>
              <w:bottom w:w="40" w:type="nil"/>
              <w:right w:w="80" w:type="nil"/>
            </w:tcMar>
            <w:vAlign w:val="center"/>
          </w:tcPr>
          <w:p w14:paraId="5586428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49.8</w:t>
            </w:r>
          </w:p>
        </w:tc>
        <w:tc>
          <w:tcPr>
            <w:tcW w:w="1244" w:type="dxa"/>
            <w:tcMar>
              <w:top w:w="80" w:type="nil"/>
              <w:left w:w="80" w:type="nil"/>
              <w:bottom w:w="40" w:type="nil"/>
              <w:right w:w="80" w:type="nil"/>
            </w:tcMar>
            <w:vAlign w:val="center"/>
          </w:tcPr>
          <w:p w14:paraId="1AB3EC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49.8</w:t>
            </w:r>
          </w:p>
        </w:tc>
      </w:tr>
      <w:tr w:rsidR="008A5243" w14:paraId="54743A25"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A481A3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B23AF0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32FDF4E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723.8</w:t>
            </w:r>
          </w:p>
        </w:tc>
        <w:tc>
          <w:tcPr>
            <w:tcW w:w="2344" w:type="dxa"/>
            <w:tcMar>
              <w:top w:w="80" w:type="nil"/>
              <w:left w:w="80" w:type="nil"/>
              <w:bottom w:w="40" w:type="nil"/>
              <w:right w:w="80" w:type="nil"/>
            </w:tcMar>
            <w:vAlign w:val="center"/>
          </w:tcPr>
          <w:p w14:paraId="53A95A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-0.45</w:t>
            </w:r>
          </w:p>
        </w:tc>
        <w:tc>
          <w:tcPr>
            <w:tcW w:w="3111" w:type="dxa"/>
            <w:tcMar>
              <w:top w:w="80" w:type="nil"/>
              <w:left w:w="80" w:type="nil"/>
              <w:bottom w:w="40" w:type="nil"/>
              <w:right w:w="80" w:type="nil"/>
            </w:tcMar>
            <w:vAlign w:val="center"/>
          </w:tcPr>
          <w:p w14:paraId="2311E62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30</w:t>
            </w:r>
          </w:p>
        </w:tc>
        <w:tc>
          <w:tcPr>
            <w:tcW w:w="1033" w:type="dxa"/>
            <w:tcMar>
              <w:top w:w="80" w:type="nil"/>
              <w:left w:w="80" w:type="nil"/>
              <w:bottom w:w="40" w:type="nil"/>
              <w:right w:w="80" w:type="nil"/>
            </w:tcMar>
            <w:vAlign w:val="center"/>
          </w:tcPr>
          <w:p w14:paraId="00B644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56.5</w:t>
            </w:r>
          </w:p>
        </w:tc>
        <w:tc>
          <w:tcPr>
            <w:tcW w:w="1244" w:type="dxa"/>
            <w:tcMar>
              <w:top w:w="80" w:type="nil"/>
              <w:left w:w="80" w:type="nil"/>
              <w:bottom w:w="40" w:type="nil"/>
              <w:right w:w="80" w:type="nil"/>
            </w:tcMar>
            <w:vAlign w:val="center"/>
          </w:tcPr>
          <w:p w14:paraId="6B5C715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57.6</w:t>
            </w:r>
          </w:p>
        </w:tc>
      </w:tr>
      <w:tr w:rsidR="008A5243" w14:paraId="38A2383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9E77D4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0BDCC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5C5A73A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749.4</w:t>
            </w:r>
          </w:p>
        </w:tc>
        <w:tc>
          <w:tcPr>
            <w:tcW w:w="2344" w:type="dxa"/>
            <w:tcMar>
              <w:top w:w="80" w:type="nil"/>
              <w:left w:w="80" w:type="nil"/>
              <w:bottom w:w="40" w:type="nil"/>
              <w:right w:w="80" w:type="nil"/>
            </w:tcMar>
            <w:vAlign w:val="center"/>
          </w:tcPr>
          <w:p w14:paraId="1513E0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0.29</w:t>
            </w:r>
          </w:p>
        </w:tc>
        <w:tc>
          <w:tcPr>
            <w:tcW w:w="3111" w:type="dxa"/>
            <w:tcMar>
              <w:top w:w="80" w:type="nil"/>
              <w:left w:w="80" w:type="nil"/>
              <w:bottom w:w="40" w:type="nil"/>
              <w:right w:w="80" w:type="nil"/>
            </w:tcMar>
            <w:vAlign w:val="center"/>
          </w:tcPr>
          <w:p w14:paraId="368DF60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w:t>
            </w:r>
          </w:p>
        </w:tc>
        <w:tc>
          <w:tcPr>
            <w:tcW w:w="1033" w:type="dxa"/>
            <w:tcMar>
              <w:top w:w="80" w:type="nil"/>
              <w:left w:w="80" w:type="nil"/>
              <w:bottom w:w="40" w:type="nil"/>
              <w:right w:w="80" w:type="nil"/>
            </w:tcMar>
            <w:vAlign w:val="center"/>
          </w:tcPr>
          <w:p w14:paraId="7F232B2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56.2</w:t>
            </w:r>
          </w:p>
        </w:tc>
        <w:tc>
          <w:tcPr>
            <w:tcW w:w="1244" w:type="dxa"/>
            <w:tcMar>
              <w:top w:w="80" w:type="nil"/>
              <w:left w:w="80" w:type="nil"/>
              <w:bottom w:w="40" w:type="nil"/>
              <w:right w:w="80" w:type="nil"/>
            </w:tcMar>
            <w:vAlign w:val="center"/>
          </w:tcPr>
          <w:p w14:paraId="033C3A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55.8</w:t>
            </w:r>
          </w:p>
        </w:tc>
      </w:tr>
      <w:tr w:rsidR="008A5243" w14:paraId="1A17DA3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25438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w:t>
            </w:r>
          </w:p>
        </w:tc>
        <w:tc>
          <w:tcPr>
            <w:tcW w:w="635" w:type="dxa"/>
            <w:tcMar>
              <w:top w:w="80" w:type="nil"/>
              <w:left w:w="80" w:type="nil"/>
              <w:bottom w:w="40" w:type="nil"/>
              <w:right w:w="80" w:type="nil"/>
            </w:tcMar>
            <w:vAlign w:val="center"/>
          </w:tcPr>
          <w:p w14:paraId="3404B9C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3457285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738.5</w:t>
            </w:r>
          </w:p>
        </w:tc>
        <w:tc>
          <w:tcPr>
            <w:tcW w:w="2344" w:type="dxa"/>
            <w:tcMar>
              <w:top w:w="80" w:type="nil"/>
              <w:left w:w="80" w:type="nil"/>
              <w:bottom w:w="40" w:type="nil"/>
              <w:right w:w="80" w:type="nil"/>
            </w:tcMar>
            <w:vAlign w:val="center"/>
          </w:tcPr>
          <w:p w14:paraId="0EB425F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0.04</w:t>
            </w:r>
          </w:p>
        </w:tc>
        <w:tc>
          <w:tcPr>
            <w:tcW w:w="3111" w:type="dxa"/>
            <w:tcMar>
              <w:top w:w="80" w:type="nil"/>
              <w:left w:w="80" w:type="nil"/>
              <w:bottom w:w="40" w:type="nil"/>
              <w:right w:w="80" w:type="nil"/>
            </w:tcMar>
            <w:vAlign w:val="center"/>
          </w:tcPr>
          <w:p w14:paraId="3020643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w:t>
            </w:r>
          </w:p>
        </w:tc>
        <w:tc>
          <w:tcPr>
            <w:tcW w:w="1033" w:type="dxa"/>
            <w:tcMar>
              <w:top w:w="80" w:type="nil"/>
              <w:left w:w="80" w:type="nil"/>
              <w:bottom w:w="40" w:type="nil"/>
              <w:right w:w="80" w:type="nil"/>
            </w:tcMar>
            <w:vAlign w:val="center"/>
          </w:tcPr>
          <w:p w14:paraId="65B09D3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29.6</w:t>
            </w:r>
          </w:p>
        </w:tc>
        <w:tc>
          <w:tcPr>
            <w:tcW w:w="1244" w:type="dxa"/>
            <w:tcMar>
              <w:top w:w="80" w:type="nil"/>
              <w:left w:w="80" w:type="nil"/>
              <w:bottom w:w="40" w:type="nil"/>
              <w:right w:w="80" w:type="nil"/>
            </w:tcMar>
            <w:vAlign w:val="center"/>
          </w:tcPr>
          <w:p w14:paraId="438D2D8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29.3</w:t>
            </w:r>
          </w:p>
        </w:tc>
      </w:tr>
      <w:tr w:rsidR="008A5243" w14:paraId="72734C0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01AA7AD"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99F66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3338715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726.1</w:t>
            </w:r>
          </w:p>
        </w:tc>
        <w:tc>
          <w:tcPr>
            <w:tcW w:w="2344" w:type="dxa"/>
            <w:tcMar>
              <w:top w:w="80" w:type="nil"/>
              <w:left w:w="80" w:type="nil"/>
              <w:bottom w:w="40" w:type="nil"/>
              <w:right w:w="80" w:type="nil"/>
            </w:tcMar>
            <w:vAlign w:val="center"/>
          </w:tcPr>
          <w:p w14:paraId="1761C5E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-0.32</w:t>
            </w:r>
          </w:p>
        </w:tc>
        <w:tc>
          <w:tcPr>
            <w:tcW w:w="3111" w:type="dxa"/>
            <w:tcMar>
              <w:top w:w="80" w:type="nil"/>
              <w:left w:w="80" w:type="nil"/>
              <w:bottom w:w="40" w:type="nil"/>
              <w:right w:w="80" w:type="nil"/>
            </w:tcMar>
            <w:vAlign w:val="center"/>
          </w:tcPr>
          <w:p w14:paraId="1CF286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w:t>
            </w:r>
          </w:p>
        </w:tc>
        <w:tc>
          <w:tcPr>
            <w:tcW w:w="1033" w:type="dxa"/>
            <w:tcMar>
              <w:top w:w="80" w:type="nil"/>
              <w:left w:w="80" w:type="nil"/>
              <w:bottom w:w="40" w:type="nil"/>
              <w:right w:w="80" w:type="nil"/>
            </w:tcMar>
            <w:vAlign w:val="center"/>
          </w:tcPr>
          <w:p w14:paraId="1F23F2E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41.4</w:t>
            </w:r>
          </w:p>
        </w:tc>
        <w:tc>
          <w:tcPr>
            <w:tcW w:w="1244" w:type="dxa"/>
            <w:tcMar>
              <w:top w:w="80" w:type="nil"/>
              <w:left w:w="80" w:type="nil"/>
              <w:bottom w:w="40" w:type="nil"/>
              <w:right w:w="80" w:type="nil"/>
            </w:tcMar>
            <w:vAlign w:val="center"/>
          </w:tcPr>
          <w:p w14:paraId="41298F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41.8</w:t>
            </w:r>
          </w:p>
        </w:tc>
      </w:tr>
      <w:tr w:rsidR="008A5243" w14:paraId="5092C28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C38DEFE"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CCF9B8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038D668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734.0</w:t>
            </w:r>
          </w:p>
        </w:tc>
        <w:tc>
          <w:tcPr>
            <w:tcW w:w="2344" w:type="dxa"/>
            <w:tcMar>
              <w:top w:w="80" w:type="nil"/>
              <w:left w:w="80" w:type="nil"/>
              <w:bottom w:w="40" w:type="nil"/>
              <w:right w:w="80" w:type="nil"/>
            </w:tcMar>
            <w:vAlign w:val="center"/>
          </w:tcPr>
          <w:p w14:paraId="62A3FC0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3111" w:type="dxa"/>
            <w:tcMar>
              <w:top w:w="80" w:type="nil"/>
              <w:left w:w="80" w:type="nil"/>
              <w:bottom w:w="40" w:type="nil"/>
              <w:right w:w="80" w:type="nil"/>
            </w:tcMar>
            <w:vAlign w:val="center"/>
          </w:tcPr>
          <w:p w14:paraId="480852F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0264817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42.9</w:t>
            </w:r>
          </w:p>
        </w:tc>
        <w:tc>
          <w:tcPr>
            <w:tcW w:w="1244" w:type="dxa"/>
            <w:tcMar>
              <w:top w:w="80" w:type="nil"/>
              <w:left w:w="80" w:type="nil"/>
              <w:bottom w:w="40" w:type="nil"/>
              <w:right w:w="80" w:type="nil"/>
            </w:tcMar>
            <w:vAlign w:val="center"/>
          </w:tcPr>
          <w:p w14:paraId="64C765A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42.9</w:t>
            </w:r>
          </w:p>
        </w:tc>
      </w:tr>
      <w:tr w:rsidR="008A5243" w14:paraId="1B5608F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93EB61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5DCC83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61FA4F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730.2</w:t>
            </w:r>
          </w:p>
        </w:tc>
        <w:tc>
          <w:tcPr>
            <w:tcW w:w="2344" w:type="dxa"/>
            <w:tcMar>
              <w:top w:w="80" w:type="nil"/>
              <w:left w:w="80" w:type="nil"/>
              <w:bottom w:w="40" w:type="nil"/>
              <w:right w:w="80" w:type="nil"/>
            </w:tcMar>
            <w:vAlign w:val="center"/>
          </w:tcPr>
          <w:p w14:paraId="5AC9F4E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-0.20</w:t>
            </w:r>
          </w:p>
        </w:tc>
        <w:tc>
          <w:tcPr>
            <w:tcW w:w="3111" w:type="dxa"/>
            <w:tcMar>
              <w:top w:w="80" w:type="nil"/>
              <w:left w:w="80" w:type="nil"/>
              <w:bottom w:w="40" w:type="nil"/>
              <w:right w:w="80" w:type="nil"/>
            </w:tcMar>
            <w:vAlign w:val="center"/>
          </w:tcPr>
          <w:p w14:paraId="10C58D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w:t>
            </w:r>
          </w:p>
        </w:tc>
        <w:tc>
          <w:tcPr>
            <w:tcW w:w="1033" w:type="dxa"/>
            <w:tcMar>
              <w:top w:w="80" w:type="nil"/>
              <w:left w:w="80" w:type="nil"/>
              <w:bottom w:w="40" w:type="nil"/>
              <w:right w:w="80" w:type="nil"/>
            </w:tcMar>
            <w:vAlign w:val="center"/>
          </w:tcPr>
          <w:p w14:paraId="05C0EF9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49.5</w:t>
            </w:r>
          </w:p>
        </w:tc>
        <w:tc>
          <w:tcPr>
            <w:tcW w:w="1244" w:type="dxa"/>
            <w:tcMar>
              <w:top w:w="80" w:type="nil"/>
              <w:left w:w="80" w:type="nil"/>
              <w:bottom w:w="40" w:type="nil"/>
              <w:right w:w="80" w:type="nil"/>
            </w:tcMar>
            <w:vAlign w:val="center"/>
          </w:tcPr>
          <w:p w14:paraId="55B4FC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49.8</w:t>
            </w:r>
          </w:p>
        </w:tc>
      </w:tr>
      <w:tr w:rsidR="008A5243" w14:paraId="50D1641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EA30C00"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0104A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6BF947B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740.0</w:t>
            </w:r>
          </w:p>
        </w:tc>
        <w:tc>
          <w:tcPr>
            <w:tcW w:w="2344" w:type="dxa"/>
            <w:tcMar>
              <w:top w:w="80" w:type="nil"/>
              <w:left w:w="80" w:type="nil"/>
              <w:bottom w:w="40" w:type="nil"/>
              <w:right w:w="80" w:type="nil"/>
            </w:tcMar>
            <w:vAlign w:val="center"/>
          </w:tcPr>
          <w:p w14:paraId="5541A6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3111" w:type="dxa"/>
            <w:tcMar>
              <w:top w:w="80" w:type="nil"/>
              <w:left w:w="80" w:type="nil"/>
              <w:bottom w:w="40" w:type="nil"/>
              <w:right w:w="80" w:type="nil"/>
            </w:tcMar>
            <w:vAlign w:val="center"/>
          </w:tcPr>
          <w:p w14:paraId="528C27C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w:t>
            </w:r>
          </w:p>
        </w:tc>
        <w:tc>
          <w:tcPr>
            <w:tcW w:w="1033" w:type="dxa"/>
            <w:tcMar>
              <w:top w:w="80" w:type="nil"/>
              <w:left w:w="80" w:type="nil"/>
              <w:bottom w:w="40" w:type="nil"/>
              <w:right w:w="80" w:type="nil"/>
            </w:tcMar>
            <w:vAlign w:val="center"/>
          </w:tcPr>
          <w:p w14:paraId="65DDC13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52.5</w:t>
            </w:r>
          </w:p>
        </w:tc>
        <w:tc>
          <w:tcPr>
            <w:tcW w:w="1244" w:type="dxa"/>
            <w:tcMar>
              <w:top w:w="80" w:type="nil"/>
              <w:left w:w="80" w:type="nil"/>
              <w:bottom w:w="40" w:type="nil"/>
              <w:right w:w="80" w:type="nil"/>
            </w:tcMar>
            <w:vAlign w:val="center"/>
          </w:tcPr>
          <w:p w14:paraId="074A84B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52.4</w:t>
            </w:r>
          </w:p>
        </w:tc>
      </w:tr>
      <w:tr w:rsidR="008A5243" w14:paraId="428401D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BF9FF3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w:t>
            </w:r>
          </w:p>
        </w:tc>
        <w:tc>
          <w:tcPr>
            <w:tcW w:w="635" w:type="dxa"/>
            <w:tcMar>
              <w:top w:w="80" w:type="nil"/>
              <w:left w:w="80" w:type="nil"/>
              <w:bottom w:w="40" w:type="nil"/>
              <w:right w:w="80" w:type="nil"/>
            </w:tcMar>
            <w:vAlign w:val="center"/>
          </w:tcPr>
          <w:p w14:paraId="10C04BD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3C2ABB7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728.6</w:t>
            </w:r>
          </w:p>
        </w:tc>
        <w:tc>
          <w:tcPr>
            <w:tcW w:w="2344" w:type="dxa"/>
            <w:tcMar>
              <w:top w:w="80" w:type="nil"/>
              <w:left w:w="80" w:type="nil"/>
              <w:bottom w:w="40" w:type="nil"/>
              <w:right w:w="80" w:type="nil"/>
            </w:tcMar>
            <w:vAlign w:val="center"/>
          </w:tcPr>
          <w:p w14:paraId="4E67ADA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-0.17</w:t>
            </w:r>
          </w:p>
        </w:tc>
        <w:tc>
          <w:tcPr>
            <w:tcW w:w="3111" w:type="dxa"/>
            <w:tcMar>
              <w:top w:w="80" w:type="nil"/>
              <w:left w:w="80" w:type="nil"/>
              <w:bottom w:w="40" w:type="nil"/>
              <w:right w:w="80" w:type="nil"/>
            </w:tcMar>
            <w:vAlign w:val="center"/>
          </w:tcPr>
          <w:p w14:paraId="7A7EF56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739960A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46.6</w:t>
            </w:r>
          </w:p>
        </w:tc>
        <w:tc>
          <w:tcPr>
            <w:tcW w:w="1244" w:type="dxa"/>
            <w:tcMar>
              <w:top w:w="80" w:type="nil"/>
              <w:left w:w="80" w:type="nil"/>
              <w:bottom w:w="40" w:type="nil"/>
              <w:right w:w="80" w:type="nil"/>
            </w:tcMar>
            <w:vAlign w:val="center"/>
          </w:tcPr>
          <w:p w14:paraId="5E1E112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46.6</w:t>
            </w:r>
          </w:p>
        </w:tc>
      </w:tr>
      <w:tr w:rsidR="008A5243" w14:paraId="363CD97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D469F2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95512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4FA8501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732.2</w:t>
            </w:r>
          </w:p>
        </w:tc>
        <w:tc>
          <w:tcPr>
            <w:tcW w:w="2344" w:type="dxa"/>
            <w:tcMar>
              <w:top w:w="80" w:type="nil"/>
              <w:left w:w="80" w:type="nil"/>
              <w:bottom w:w="40" w:type="nil"/>
              <w:right w:w="80" w:type="nil"/>
            </w:tcMar>
            <w:vAlign w:val="center"/>
          </w:tcPr>
          <w:p w14:paraId="0714B40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3111" w:type="dxa"/>
            <w:tcMar>
              <w:top w:w="80" w:type="nil"/>
              <w:left w:w="80" w:type="nil"/>
              <w:bottom w:w="40" w:type="nil"/>
              <w:right w:w="80" w:type="nil"/>
            </w:tcMar>
            <w:vAlign w:val="center"/>
          </w:tcPr>
          <w:p w14:paraId="404C5E0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w:t>
            </w:r>
          </w:p>
        </w:tc>
        <w:tc>
          <w:tcPr>
            <w:tcW w:w="1033" w:type="dxa"/>
            <w:tcMar>
              <w:top w:w="80" w:type="nil"/>
              <w:left w:w="80" w:type="nil"/>
              <w:bottom w:w="40" w:type="nil"/>
              <w:right w:w="80" w:type="nil"/>
            </w:tcMar>
            <w:vAlign w:val="center"/>
          </w:tcPr>
          <w:p w14:paraId="4CC0A7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52.4</w:t>
            </w:r>
          </w:p>
        </w:tc>
        <w:tc>
          <w:tcPr>
            <w:tcW w:w="1244" w:type="dxa"/>
            <w:tcMar>
              <w:top w:w="80" w:type="nil"/>
              <w:left w:w="80" w:type="nil"/>
              <w:bottom w:w="40" w:type="nil"/>
              <w:right w:w="80" w:type="nil"/>
            </w:tcMar>
            <w:vAlign w:val="center"/>
          </w:tcPr>
          <w:p w14:paraId="15E6119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52.3</w:t>
            </w:r>
          </w:p>
        </w:tc>
      </w:tr>
      <w:tr w:rsidR="008A5243" w14:paraId="6117EB86"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57708D3D"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13E74E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Borders>
              <w:bottom w:val="single" w:sz="16" w:space="0" w:color="6D6D6D"/>
            </w:tcBorders>
            <w:tcMar>
              <w:top w:w="80" w:type="nil"/>
              <w:left w:w="80" w:type="nil"/>
              <w:bottom w:w="40" w:type="nil"/>
              <w:right w:w="80" w:type="nil"/>
            </w:tcMar>
            <w:vAlign w:val="center"/>
          </w:tcPr>
          <w:p w14:paraId="2BBC64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729.3</w:t>
            </w:r>
          </w:p>
        </w:tc>
        <w:tc>
          <w:tcPr>
            <w:tcW w:w="2344" w:type="dxa"/>
            <w:tcBorders>
              <w:bottom w:val="single" w:sz="16" w:space="0" w:color="6D6D6D"/>
            </w:tcBorders>
            <w:tcMar>
              <w:top w:w="80" w:type="nil"/>
              <w:left w:w="80" w:type="nil"/>
              <w:bottom w:w="40" w:type="nil"/>
              <w:right w:w="80" w:type="nil"/>
            </w:tcMar>
            <w:vAlign w:val="center"/>
          </w:tcPr>
          <w:p w14:paraId="75579D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-0.15</w:t>
            </w:r>
          </w:p>
        </w:tc>
        <w:tc>
          <w:tcPr>
            <w:tcW w:w="3111" w:type="dxa"/>
            <w:tcBorders>
              <w:bottom w:val="single" w:sz="16" w:space="0" w:color="6D6D6D"/>
            </w:tcBorders>
            <w:tcMar>
              <w:top w:w="80" w:type="nil"/>
              <w:left w:w="80" w:type="nil"/>
              <w:bottom w:w="40" w:type="nil"/>
              <w:right w:w="80" w:type="nil"/>
            </w:tcMar>
            <w:vAlign w:val="center"/>
          </w:tcPr>
          <w:p w14:paraId="3D43AE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w:t>
            </w:r>
          </w:p>
        </w:tc>
        <w:tc>
          <w:tcPr>
            <w:tcW w:w="1033" w:type="dxa"/>
            <w:tcBorders>
              <w:bottom w:val="single" w:sz="16" w:space="0" w:color="6D6D6D"/>
            </w:tcBorders>
            <w:tcMar>
              <w:top w:w="80" w:type="nil"/>
              <w:left w:w="80" w:type="nil"/>
              <w:bottom w:w="40" w:type="nil"/>
              <w:right w:w="80" w:type="nil"/>
            </w:tcMar>
            <w:vAlign w:val="center"/>
          </w:tcPr>
          <w:p w14:paraId="68815FB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50.1</w:t>
            </w:r>
          </w:p>
        </w:tc>
        <w:tc>
          <w:tcPr>
            <w:tcW w:w="1244" w:type="dxa"/>
            <w:tcBorders>
              <w:bottom w:val="single" w:sz="16" w:space="0" w:color="6D6D6D"/>
            </w:tcBorders>
            <w:tcMar>
              <w:top w:w="80" w:type="nil"/>
              <w:left w:w="80" w:type="nil"/>
              <w:bottom w:w="40" w:type="nil"/>
              <w:right w:w="80" w:type="nil"/>
            </w:tcMar>
            <w:vAlign w:val="center"/>
          </w:tcPr>
          <w:p w14:paraId="4641B05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50.1</w:t>
            </w:r>
          </w:p>
        </w:tc>
      </w:tr>
    </w:tbl>
    <w:p w14:paraId="6DB36AAA"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581182D7"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170FE6A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11:</w:t>
            </w:r>
            <w:r>
              <w:rPr>
                <w:rFonts w:ascii="Arial" w:hAnsi="Arial" w:cs="Arial"/>
                <w:sz w:val="26"/>
                <w:szCs w:val="26"/>
                <w:u w:color="0000E9"/>
              </w:rPr>
              <w:t xml:space="preserve"> Spring 2016 Typical Prior Achievement and Growth by State: Mathematics</w:t>
            </w:r>
          </w:p>
        </w:tc>
      </w:tr>
      <w:tr w:rsidR="008A5243" w14:paraId="511E7A93"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32D565F2"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3FB4C7B6"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155E5FF2"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60937DAF"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15499A5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43B1AC9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1236887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47255E0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951337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w:t>
            </w:r>
          </w:p>
        </w:tc>
        <w:tc>
          <w:tcPr>
            <w:tcW w:w="635" w:type="dxa"/>
            <w:tcMar>
              <w:top w:w="80" w:type="nil"/>
              <w:left w:w="80" w:type="nil"/>
              <w:bottom w:w="40" w:type="nil"/>
              <w:right w:w="80" w:type="nil"/>
            </w:tcMar>
            <w:vAlign w:val="center"/>
          </w:tcPr>
          <w:p w14:paraId="5B3042C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657FCC3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736.7</w:t>
            </w:r>
          </w:p>
        </w:tc>
        <w:tc>
          <w:tcPr>
            <w:tcW w:w="2344" w:type="dxa"/>
            <w:tcMar>
              <w:top w:w="80" w:type="nil"/>
              <w:left w:w="80" w:type="nil"/>
              <w:bottom w:w="40" w:type="nil"/>
              <w:right w:w="80" w:type="nil"/>
            </w:tcMar>
            <w:vAlign w:val="center"/>
          </w:tcPr>
          <w:p w14:paraId="72CA9C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-0.09</w:t>
            </w:r>
          </w:p>
        </w:tc>
        <w:tc>
          <w:tcPr>
            <w:tcW w:w="3111" w:type="dxa"/>
            <w:tcMar>
              <w:top w:w="80" w:type="nil"/>
              <w:left w:w="80" w:type="nil"/>
              <w:bottom w:w="40" w:type="nil"/>
              <w:right w:w="80" w:type="nil"/>
            </w:tcMar>
            <w:vAlign w:val="center"/>
          </w:tcPr>
          <w:p w14:paraId="61DF9C6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5A80B64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45.4</w:t>
            </w:r>
          </w:p>
        </w:tc>
        <w:tc>
          <w:tcPr>
            <w:tcW w:w="1244" w:type="dxa"/>
            <w:tcMar>
              <w:top w:w="80" w:type="nil"/>
              <w:left w:w="80" w:type="nil"/>
              <w:bottom w:w="40" w:type="nil"/>
              <w:right w:w="80" w:type="nil"/>
            </w:tcMar>
            <w:vAlign w:val="center"/>
          </w:tcPr>
          <w:p w14:paraId="16DD69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45.4</w:t>
            </w:r>
          </w:p>
        </w:tc>
      </w:tr>
      <w:tr w:rsidR="008A5243" w14:paraId="6978D586"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F95A03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A303E1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17CBBA2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737.0</w:t>
            </w:r>
          </w:p>
        </w:tc>
        <w:tc>
          <w:tcPr>
            <w:tcW w:w="2344" w:type="dxa"/>
            <w:tcMar>
              <w:top w:w="80" w:type="nil"/>
              <w:left w:w="80" w:type="nil"/>
              <w:bottom w:w="40" w:type="nil"/>
              <w:right w:w="80" w:type="nil"/>
            </w:tcMar>
            <w:vAlign w:val="center"/>
          </w:tcPr>
          <w:p w14:paraId="7DB209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3111" w:type="dxa"/>
            <w:tcMar>
              <w:top w:w="80" w:type="nil"/>
              <w:left w:w="80" w:type="nil"/>
              <w:bottom w:w="40" w:type="nil"/>
              <w:right w:w="80" w:type="nil"/>
            </w:tcMar>
            <w:vAlign w:val="center"/>
          </w:tcPr>
          <w:p w14:paraId="32211D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3B7A5A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52.3</w:t>
            </w:r>
          </w:p>
        </w:tc>
        <w:tc>
          <w:tcPr>
            <w:tcW w:w="1244" w:type="dxa"/>
            <w:tcMar>
              <w:top w:w="80" w:type="nil"/>
              <w:left w:w="80" w:type="nil"/>
              <w:bottom w:w="40" w:type="nil"/>
              <w:right w:w="80" w:type="nil"/>
            </w:tcMar>
            <w:vAlign w:val="center"/>
          </w:tcPr>
          <w:p w14:paraId="5FEB85C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52.5</w:t>
            </w:r>
          </w:p>
        </w:tc>
      </w:tr>
      <w:tr w:rsidR="008A5243" w14:paraId="76E80EE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BA45D8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BA4FAC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133686D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731.2</w:t>
            </w:r>
          </w:p>
        </w:tc>
        <w:tc>
          <w:tcPr>
            <w:tcW w:w="2344" w:type="dxa"/>
            <w:tcMar>
              <w:top w:w="80" w:type="nil"/>
              <w:left w:w="80" w:type="nil"/>
              <w:bottom w:w="40" w:type="nil"/>
              <w:right w:w="80" w:type="nil"/>
            </w:tcMar>
            <w:vAlign w:val="center"/>
          </w:tcPr>
          <w:p w14:paraId="2DE0471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-0.26</w:t>
            </w:r>
          </w:p>
        </w:tc>
        <w:tc>
          <w:tcPr>
            <w:tcW w:w="3111" w:type="dxa"/>
            <w:tcMar>
              <w:top w:w="80" w:type="nil"/>
              <w:left w:w="80" w:type="nil"/>
              <w:bottom w:w="40" w:type="nil"/>
              <w:right w:w="80" w:type="nil"/>
            </w:tcMar>
            <w:vAlign w:val="center"/>
          </w:tcPr>
          <w:p w14:paraId="10150F4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w:t>
            </w:r>
          </w:p>
        </w:tc>
        <w:tc>
          <w:tcPr>
            <w:tcW w:w="1033" w:type="dxa"/>
            <w:tcMar>
              <w:top w:w="80" w:type="nil"/>
              <w:left w:w="80" w:type="nil"/>
              <w:bottom w:w="40" w:type="nil"/>
              <w:right w:w="80" w:type="nil"/>
            </w:tcMar>
            <w:vAlign w:val="center"/>
          </w:tcPr>
          <w:p w14:paraId="12F81E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50.6</w:t>
            </w:r>
          </w:p>
        </w:tc>
        <w:tc>
          <w:tcPr>
            <w:tcW w:w="1244" w:type="dxa"/>
            <w:tcMar>
              <w:top w:w="80" w:type="nil"/>
              <w:left w:w="80" w:type="nil"/>
              <w:bottom w:w="40" w:type="nil"/>
              <w:right w:w="80" w:type="nil"/>
            </w:tcMar>
            <w:vAlign w:val="center"/>
          </w:tcPr>
          <w:p w14:paraId="53BC391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51.0</w:t>
            </w:r>
          </w:p>
        </w:tc>
      </w:tr>
      <w:tr w:rsidR="008A5243" w14:paraId="273FBD5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F91DB4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9957DA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5702EB4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736.9</w:t>
            </w:r>
          </w:p>
        </w:tc>
        <w:tc>
          <w:tcPr>
            <w:tcW w:w="2344" w:type="dxa"/>
            <w:tcMar>
              <w:top w:w="80" w:type="nil"/>
              <w:left w:w="80" w:type="nil"/>
              <w:bottom w:w="40" w:type="nil"/>
              <w:right w:w="80" w:type="nil"/>
            </w:tcMar>
            <w:vAlign w:val="center"/>
          </w:tcPr>
          <w:p w14:paraId="2608DAB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-0.08</w:t>
            </w:r>
          </w:p>
        </w:tc>
        <w:tc>
          <w:tcPr>
            <w:tcW w:w="3111" w:type="dxa"/>
            <w:tcMar>
              <w:top w:w="80" w:type="nil"/>
              <w:left w:w="80" w:type="nil"/>
              <w:bottom w:w="40" w:type="nil"/>
              <w:right w:w="80" w:type="nil"/>
            </w:tcMar>
            <w:vAlign w:val="center"/>
          </w:tcPr>
          <w:p w14:paraId="3CBA47E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5164A0E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50.4</w:t>
            </w:r>
          </w:p>
        </w:tc>
        <w:tc>
          <w:tcPr>
            <w:tcW w:w="1244" w:type="dxa"/>
            <w:tcMar>
              <w:top w:w="80" w:type="nil"/>
              <w:left w:w="80" w:type="nil"/>
              <w:bottom w:w="40" w:type="nil"/>
              <w:right w:w="80" w:type="nil"/>
            </w:tcMar>
            <w:vAlign w:val="center"/>
          </w:tcPr>
          <w:p w14:paraId="1C7DF5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50.5</w:t>
            </w:r>
          </w:p>
        </w:tc>
      </w:tr>
      <w:tr w:rsidR="008A5243" w14:paraId="6D7AD52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350636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E02B0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5828B4B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737.4</w:t>
            </w:r>
          </w:p>
        </w:tc>
        <w:tc>
          <w:tcPr>
            <w:tcW w:w="2344" w:type="dxa"/>
            <w:tcMar>
              <w:top w:w="80" w:type="nil"/>
              <w:left w:w="80" w:type="nil"/>
              <w:bottom w:w="40" w:type="nil"/>
              <w:right w:w="80" w:type="nil"/>
            </w:tcMar>
            <w:vAlign w:val="center"/>
          </w:tcPr>
          <w:p w14:paraId="2CA8DF9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3111" w:type="dxa"/>
            <w:tcMar>
              <w:top w:w="80" w:type="nil"/>
              <w:left w:w="80" w:type="nil"/>
              <w:bottom w:w="40" w:type="nil"/>
              <w:right w:w="80" w:type="nil"/>
            </w:tcMar>
            <w:vAlign w:val="center"/>
          </w:tcPr>
          <w:p w14:paraId="65957B6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32AC852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46.9</w:t>
            </w:r>
          </w:p>
        </w:tc>
        <w:tc>
          <w:tcPr>
            <w:tcW w:w="1244" w:type="dxa"/>
            <w:tcMar>
              <w:top w:w="80" w:type="nil"/>
              <w:left w:w="80" w:type="nil"/>
              <w:bottom w:w="40" w:type="nil"/>
              <w:right w:w="80" w:type="nil"/>
            </w:tcMar>
            <w:vAlign w:val="center"/>
          </w:tcPr>
          <w:p w14:paraId="1F7BDA8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46.9</w:t>
            </w:r>
          </w:p>
        </w:tc>
      </w:tr>
      <w:tr w:rsidR="008A5243" w14:paraId="58187E7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C4FA218"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60A284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3EB89A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751.0</w:t>
            </w:r>
          </w:p>
        </w:tc>
        <w:tc>
          <w:tcPr>
            <w:tcW w:w="2344" w:type="dxa"/>
            <w:tcMar>
              <w:top w:w="80" w:type="nil"/>
              <w:left w:w="80" w:type="nil"/>
              <w:bottom w:w="40" w:type="nil"/>
              <w:right w:w="80" w:type="nil"/>
            </w:tcMar>
            <w:vAlign w:val="center"/>
          </w:tcPr>
          <w:p w14:paraId="4B01091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0.36</w:t>
            </w:r>
          </w:p>
        </w:tc>
        <w:tc>
          <w:tcPr>
            <w:tcW w:w="3111" w:type="dxa"/>
            <w:tcMar>
              <w:top w:w="80" w:type="nil"/>
              <w:left w:w="80" w:type="nil"/>
              <w:bottom w:w="40" w:type="nil"/>
              <w:right w:w="80" w:type="nil"/>
            </w:tcMar>
            <w:vAlign w:val="center"/>
          </w:tcPr>
          <w:p w14:paraId="01C5D0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63</w:t>
            </w:r>
          </w:p>
        </w:tc>
        <w:tc>
          <w:tcPr>
            <w:tcW w:w="1033" w:type="dxa"/>
            <w:tcMar>
              <w:top w:w="80" w:type="nil"/>
              <w:left w:w="80" w:type="nil"/>
              <w:bottom w:w="40" w:type="nil"/>
              <w:right w:w="80" w:type="nil"/>
            </w:tcMar>
            <w:vAlign w:val="center"/>
          </w:tcPr>
          <w:p w14:paraId="1CD329D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56.5</w:t>
            </w:r>
          </w:p>
        </w:tc>
        <w:tc>
          <w:tcPr>
            <w:tcW w:w="1244" w:type="dxa"/>
            <w:tcMar>
              <w:top w:w="80" w:type="nil"/>
              <w:left w:w="80" w:type="nil"/>
              <w:bottom w:w="40" w:type="nil"/>
              <w:right w:w="80" w:type="nil"/>
            </w:tcMar>
            <w:vAlign w:val="center"/>
          </w:tcPr>
          <w:p w14:paraId="6BF95AA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55.8</w:t>
            </w:r>
          </w:p>
        </w:tc>
      </w:tr>
      <w:tr w:rsidR="008A5243" w14:paraId="1464498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EB81FA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8A318A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63F536A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729.0</w:t>
            </w:r>
          </w:p>
        </w:tc>
        <w:tc>
          <w:tcPr>
            <w:tcW w:w="2344" w:type="dxa"/>
            <w:tcMar>
              <w:top w:w="80" w:type="nil"/>
              <w:left w:w="80" w:type="nil"/>
              <w:bottom w:w="40" w:type="nil"/>
              <w:right w:w="80" w:type="nil"/>
            </w:tcMar>
            <w:vAlign w:val="center"/>
          </w:tcPr>
          <w:p w14:paraId="513E6DC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-0.33</w:t>
            </w:r>
          </w:p>
        </w:tc>
        <w:tc>
          <w:tcPr>
            <w:tcW w:w="3111" w:type="dxa"/>
            <w:tcMar>
              <w:top w:w="80" w:type="nil"/>
              <w:left w:w="80" w:type="nil"/>
              <w:bottom w:w="40" w:type="nil"/>
              <w:right w:w="80" w:type="nil"/>
            </w:tcMar>
            <w:vAlign w:val="center"/>
          </w:tcPr>
          <w:p w14:paraId="63070F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w:t>
            </w:r>
          </w:p>
        </w:tc>
        <w:tc>
          <w:tcPr>
            <w:tcW w:w="1033" w:type="dxa"/>
            <w:tcMar>
              <w:top w:w="80" w:type="nil"/>
              <w:left w:w="80" w:type="nil"/>
              <w:bottom w:w="40" w:type="nil"/>
              <w:right w:w="80" w:type="nil"/>
            </w:tcMar>
            <w:vAlign w:val="center"/>
          </w:tcPr>
          <w:p w14:paraId="20F39D5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c>
          <w:tcPr>
            <w:tcW w:w="1244" w:type="dxa"/>
            <w:tcMar>
              <w:top w:w="80" w:type="nil"/>
              <w:left w:w="80" w:type="nil"/>
              <w:bottom w:w="40" w:type="nil"/>
              <w:right w:w="80" w:type="nil"/>
            </w:tcMar>
            <w:vAlign w:val="center"/>
          </w:tcPr>
          <w:p w14:paraId="3CE766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47.3</w:t>
            </w:r>
          </w:p>
        </w:tc>
      </w:tr>
      <w:tr w:rsidR="008A5243" w14:paraId="6E1248B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6664338"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C2DA07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7D730A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745.6</w:t>
            </w:r>
          </w:p>
        </w:tc>
        <w:tc>
          <w:tcPr>
            <w:tcW w:w="2344" w:type="dxa"/>
            <w:tcMar>
              <w:top w:w="80" w:type="nil"/>
              <w:left w:w="80" w:type="nil"/>
              <w:bottom w:w="40" w:type="nil"/>
              <w:right w:w="80" w:type="nil"/>
            </w:tcMar>
            <w:vAlign w:val="center"/>
          </w:tcPr>
          <w:p w14:paraId="415BD75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0.19</w:t>
            </w:r>
          </w:p>
        </w:tc>
        <w:tc>
          <w:tcPr>
            <w:tcW w:w="3111" w:type="dxa"/>
            <w:tcMar>
              <w:top w:w="80" w:type="nil"/>
              <w:left w:w="80" w:type="nil"/>
              <w:bottom w:w="40" w:type="nil"/>
              <w:right w:w="80" w:type="nil"/>
            </w:tcMar>
            <w:vAlign w:val="center"/>
          </w:tcPr>
          <w:p w14:paraId="7B610C1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w:t>
            </w:r>
          </w:p>
        </w:tc>
        <w:tc>
          <w:tcPr>
            <w:tcW w:w="1033" w:type="dxa"/>
            <w:tcMar>
              <w:top w:w="80" w:type="nil"/>
              <w:left w:w="80" w:type="nil"/>
              <w:bottom w:w="40" w:type="nil"/>
              <w:right w:w="80" w:type="nil"/>
            </w:tcMar>
            <w:vAlign w:val="center"/>
          </w:tcPr>
          <w:p w14:paraId="5519558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55.7</w:t>
            </w:r>
          </w:p>
        </w:tc>
        <w:tc>
          <w:tcPr>
            <w:tcW w:w="1244" w:type="dxa"/>
            <w:tcMar>
              <w:top w:w="80" w:type="nil"/>
              <w:left w:w="80" w:type="nil"/>
              <w:bottom w:w="40" w:type="nil"/>
              <w:right w:w="80" w:type="nil"/>
            </w:tcMar>
            <w:vAlign w:val="center"/>
          </w:tcPr>
          <w:p w14:paraId="47F3C67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55.4</w:t>
            </w:r>
          </w:p>
        </w:tc>
      </w:tr>
      <w:tr w:rsidR="008A5243" w14:paraId="4F5BDF98"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E7D04E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w:t>
            </w:r>
          </w:p>
        </w:tc>
        <w:tc>
          <w:tcPr>
            <w:tcW w:w="635" w:type="dxa"/>
            <w:tcMar>
              <w:top w:w="80" w:type="nil"/>
              <w:left w:w="80" w:type="nil"/>
              <w:bottom w:w="40" w:type="nil"/>
              <w:right w:w="80" w:type="nil"/>
            </w:tcMar>
            <w:vAlign w:val="center"/>
          </w:tcPr>
          <w:p w14:paraId="2D32CD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1105FD5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732.6</w:t>
            </w:r>
          </w:p>
        </w:tc>
        <w:tc>
          <w:tcPr>
            <w:tcW w:w="2344" w:type="dxa"/>
            <w:tcMar>
              <w:top w:w="80" w:type="nil"/>
              <w:left w:w="80" w:type="nil"/>
              <w:bottom w:w="40" w:type="nil"/>
              <w:right w:w="80" w:type="nil"/>
            </w:tcMar>
            <w:vAlign w:val="center"/>
          </w:tcPr>
          <w:p w14:paraId="2DD594A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-0.17</w:t>
            </w:r>
          </w:p>
        </w:tc>
        <w:tc>
          <w:tcPr>
            <w:tcW w:w="3111" w:type="dxa"/>
            <w:tcMar>
              <w:top w:w="80" w:type="nil"/>
              <w:left w:w="80" w:type="nil"/>
              <w:bottom w:w="40" w:type="nil"/>
              <w:right w:w="80" w:type="nil"/>
            </w:tcMar>
            <w:vAlign w:val="center"/>
          </w:tcPr>
          <w:p w14:paraId="75B4A98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2ED8783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48.1</w:t>
            </w:r>
          </w:p>
        </w:tc>
        <w:tc>
          <w:tcPr>
            <w:tcW w:w="1244" w:type="dxa"/>
            <w:tcMar>
              <w:top w:w="80" w:type="nil"/>
              <w:left w:w="80" w:type="nil"/>
              <w:bottom w:w="40" w:type="nil"/>
              <w:right w:w="80" w:type="nil"/>
            </w:tcMar>
            <w:vAlign w:val="center"/>
          </w:tcPr>
          <w:p w14:paraId="418967B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48.2</w:t>
            </w:r>
          </w:p>
        </w:tc>
      </w:tr>
      <w:tr w:rsidR="008A5243" w14:paraId="40C0F4F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29DB272"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6D38C4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3CB9DAA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733.8</w:t>
            </w:r>
          </w:p>
        </w:tc>
        <w:tc>
          <w:tcPr>
            <w:tcW w:w="2344" w:type="dxa"/>
            <w:tcMar>
              <w:top w:w="80" w:type="nil"/>
              <w:left w:w="80" w:type="nil"/>
              <w:bottom w:w="40" w:type="nil"/>
              <w:right w:w="80" w:type="nil"/>
            </w:tcMar>
            <w:vAlign w:val="center"/>
          </w:tcPr>
          <w:p w14:paraId="41064E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-0.13</w:t>
            </w:r>
          </w:p>
        </w:tc>
        <w:tc>
          <w:tcPr>
            <w:tcW w:w="3111" w:type="dxa"/>
            <w:tcMar>
              <w:top w:w="80" w:type="nil"/>
              <w:left w:w="80" w:type="nil"/>
              <w:bottom w:w="40" w:type="nil"/>
              <w:right w:w="80" w:type="nil"/>
            </w:tcMar>
            <w:vAlign w:val="center"/>
          </w:tcPr>
          <w:p w14:paraId="2A0ACEC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7BAC08E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51.3</w:t>
            </w:r>
          </w:p>
        </w:tc>
        <w:tc>
          <w:tcPr>
            <w:tcW w:w="1244" w:type="dxa"/>
            <w:tcMar>
              <w:top w:w="80" w:type="nil"/>
              <w:left w:w="80" w:type="nil"/>
              <w:bottom w:w="40" w:type="nil"/>
              <w:right w:w="80" w:type="nil"/>
            </w:tcMar>
            <w:vAlign w:val="center"/>
          </w:tcPr>
          <w:p w14:paraId="11DF5B5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51.5</w:t>
            </w:r>
          </w:p>
        </w:tc>
      </w:tr>
      <w:tr w:rsidR="008A5243" w14:paraId="06E550C8"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581D2E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0851D2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2DBCE35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729.7</w:t>
            </w:r>
          </w:p>
        </w:tc>
        <w:tc>
          <w:tcPr>
            <w:tcW w:w="2344" w:type="dxa"/>
            <w:tcMar>
              <w:top w:w="80" w:type="nil"/>
              <w:left w:w="80" w:type="nil"/>
              <w:bottom w:w="40" w:type="nil"/>
              <w:right w:w="80" w:type="nil"/>
            </w:tcMar>
            <w:vAlign w:val="center"/>
          </w:tcPr>
          <w:p w14:paraId="426B8AC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-0.27</w:t>
            </w:r>
          </w:p>
        </w:tc>
        <w:tc>
          <w:tcPr>
            <w:tcW w:w="3111" w:type="dxa"/>
            <w:tcMar>
              <w:top w:w="80" w:type="nil"/>
              <w:left w:w="80" w:type="nil"/>
              <w:bottom w:w="40" w:type="nil"/>
              <w:right w:w="80" w:type="nil"/>
            </w:tcMar>
            <w:vAlign w:val="center"/>
          </w:tcPr>
          <w:p w14:paraId="32B8CBC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w:t>
            </w:r>
          </w:p>
        </w:tc>
        <w:tc>
          <w:tcPr>
            <w:tcW w:w="1033" w:type="dxa"/>
            <w:tcMar>
              <w:top w:w="80" w:type="nil"/>
              <w:left w:w="80" w:type="nil"/>
              <w:bottom w:w="40" w:type="nil"/>
              <w:right w:w="80" w:type="nil"/>
            </w:tcMar>
            <w:vAlign w:val="center"/>
          </w:tcPr>
          <w:p w14:paraId="766DEA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47.4</w:t>
            </w:r>
          </w:p>
        </w:tc>
        <w:tc>
          <w:tcPr>
            <w:tcW w:w="1244" w:type="dxa"/>
            <w:tcMar>
              <w:top w:w="80" w:type="nil"/>
              <w:left w:w="80" w:type="nil"/>
              <w:bottom w:w="40" w:type="nil"/>
              <w:right w:w="80" w:type="nil"/>
            </w:tcMar>
            <w:vAlign w:val="center"/>
          </w:tcPr>
          <w:p w14:paraId="71C0A77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47.8</w:t>
            </w:r>
          </w:p>
        </w:tc>
      </w:tr>
      <w:tr w:rsidR="008A5243" w14:paraId="449FB78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658C65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6BD24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112B9E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731.7</w:t>
            </w:r>
          </w:p>
        </w:tc>
        <w:tc>
          <w:tcPr>
            <w:tcW w:w="2344" w:type="dxa"/>
            <w:tcMar>
              <w:top w:w="80" w:type="nil"/>
              <w:left w:w="80" w:type="nil"/>
              <w:bottom w:w="40" w:type="nil"/>
              <w:right w:w="80" w:type="nil"/>
            </w:tcMar>
            <w:vAlign w:val="center"/>
          </w:tcPr>
          <w:p w14:paraId="517413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-0.21</w:t>
            </w:r>
          </w:p>
        </w:tc>
        <w:tc>
          <w:tcPr>
            <w:tcW w:w="3111" w:type="dxa"/>
            <w:tcMar>
              <w:top w:w="80" w:type="nil"/>
              <w:left w:w="80" w:type="nil"/>
              <w:bottom w:w="40" w:type="nil"/>
              <w:right w:w="80" w:type="nil"/>
            </w:tcMar>
            <w:vAlign w:val="center"/>
          </w:tcPr>
          <w:p w14:paraId="6D29FE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w:t>
            </w:r>
          </w:p>
        </w:tc>
        <w:tc>
          <w:tcPr>
            <w:tcW w:w="1033" w:type="dxa"/>
            <w:tcMar>
              <w:top w:w="80" w:type="nil"/>
              <w:left w:w="80" w:type="nil"/>
              <w:bottom w:w="40" w:type="nil"/>
              <w:right w:w="80" w:type="nil"/>
            </w:tcMar>
            <w:vAlign w:val="center"/>
          </w:tcPr>
          <w:p w14:paraId="7F1AA3C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51.0</w:t>
            </w:r>
          </w:p>
        </w:tc>
        <w:tc>
          <w:tcPr>
            <w:tcW w:w="1244" w:type="dxa"/>
            <w:tcMar>
              <w:top w:w="80" w:type="nil"/>
              <w:left w:w="80" w:type="nil"/>
              <w:bottom w:w="40" w:type="nil"/>
              <w:right w:w="80" w:type="nil"/>
            </w:tcMar>
            <w:vAlign w:val="center"/>
          </w:tcPr>
          <w:p w14:paraId="3C091CB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51.3</w:t>
            </w:r>
          </w:p>
        </w:tc>
      </w:tr>
      <w:tr w:rsidR="008A5243" w14:paraId="3A96473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E518DF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9C00C3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37A202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734.1</w:t>
            </w:r>
          </w:p>
        </w:tc>
        <w:tc>
          <w:tcPr>
            <w:tcW w:w="2344" w:type="dxa"/>
            <w:tcMar>
              <w:top w:w="80" w:type="nil"/>
              <w:left w:w="80" w:type="nil"/>
              <w:bottom w:w="40" w:type="nil"/>
              <w:right w:w="80" w:type="nil"/>
            </w:tcMar>
            <w:vAlign w:val="center"/>
          </w:tcPr>
          <w:p w14:paraId="5D48FA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-0.12</w:t>
            </w:r>
          </w:p>
        </w:tc>
        <w:tc>
          <w:tcPr>
            <w:tcW w:w="3111" w:type="dxa"/>
            <w:tcMar>
              <w:top w:w="80" w:type="nil"/>
              <w:left w:w="80" w:type="nil"/>
              <w:bottom w:w="40" w:type="nil"/>
              <w:right w:w="80" w:type="nil"/>
            </w:tcMar>
            <w:vAlign w:val="center"/>
          </w:tcPr>
          <w:p w14:paraId="53C2807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67C760F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47.2</w:t>
            </w:r>
          </w:p>
        </w:tc>
        <w:tc>
          <w:tcPr>
            <w:tcW w:w="1244" w:type="dxa"/>
            <w:tcMar>
              <w:top w:w="80" w:type="nil"/>
              <w:left w:w="80" w:type="nil"/>
              <w:bottom w:w="40" w:type="nil"/>
              <w:right w:w="80" w:type="nil"/>
            </w:tcMar>
            <w:vAlign w:val="center"/>
          </w:tcPr>
          <w:p w14:paraId="66E0011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47.2</w:t>
            </w:r>
          </w:p>
        </w:tc>
      </w:tr>
      <w:tr w:rsidR="008A5243" w14:paraId="4B493D4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235DDF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79246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2199D05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749.9</w:t>
            </w:r>
          </w:p>
        </w:tc>
        <w:tc>
          <w:tcPr>
            <w:tcW w:w="2344" w:type="dxa"/>
            <w:tcMar>
              <w:top w:w="80" w:type="nil"/>
              <w:left w:w="80" w:type="nil"/>
              <w:bottom w:w="40" w:type="nil"/>
              <w:right w:w="80" w:type="nil"/>
            </w:tcMar>
            <w:vAlign w:val="center"/>
          </w:tcPr>
          <w:p w14:paraId="24DB27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0.41</w:t>
            </w:r>
          </w:p>
        </w:tc>
        <w:tc>
          <w:tcPr>
            <w:tcW w:w="3111" w:type="dxa"/>
            <w:tcMar>
              <w:top w:w="80" w:type="nil"/>
              <w:left w:w="80" w:type="nil"/>
              <w:bottom w:w="40" w:type="nil"/>
              <w:right w:w="80" w:type="nil"/>
            </w:tcMar>
            <w:vAlign w:val="center"/>
          </w:tcPr>
          <w:p w14:paraId="069576A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68</w:t>
            </w:r>
          </w:p>
        </w:tc>
        <w:tc>
          <w:tcPr>
            <w:tcW w:w="1033" w:type="dxa"/>
            <w:tcMar>
              <w:top w:w="80" w:type="nil"/>
              <w:left w:w="80" w:type="nil"/>
              <w:bottom w:w="40" w:type="nil"/>
              <w:right w:w="80" w:type="nil"/>
            </w:tcMar>
            <w:vAlign w:val="center"/>
          </w:tcPr>
          <w:p w14:paraId="2EF6641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48.7</w:t>
            </w:r>
          </w:p>
        </w:tc>
        <w:tc>
          <w:tcPr>
            <w:tcW w:w="1244" w:type="dxa"/>
            <w:tcMar>
              <w:top w:w="80" w:type="nil"/>
              <w:left w:w="80" w:type="nil"/>
              <w:bottom w:w="40" w:type="nil"/>
              <w:right w:w="80" w:type="nil"/>
            </w:tcMar>
            <w:vAlign w:val="center"/>
          </w:tcPr>
          <w:p w14:paraId="3D6AF5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47.7</w:t>
            </w:r>
          </w:p>
        </w:tc>
      </w:tr>
      <w:tr w:rsidR="008A5243" w14:paraId="57BA33B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3C1E44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05E62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4FEE629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724.7</w:t>
            </w:r>
          </w:p>
        </w:tc>
        <w:tc>
          <w:tcPr>
            <w:tcW w:w="2344" w:type="dxa"/>
            <w:tcMar>
              <w:top w:w="80" w:type="nil"/>
              <w:left w:w="80" w:type="nil"/>
              <w:bottom w:w="40" w:type="nil"/>
              <w:right w:w="80" w:type="nil"/>
            </w:tcMar>
            <w:vAlign w:val="center"/>
          </w:tcPr>
          <w:p w14:paraId="0749184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-0.44</w:t>
            </w:r>
          </w:p>
        </w:tc>
        <w:tc>
          <w:tcPr>
            <w:tcW w:w="3111" w:type="dxa"/>
            <w:tcMar>
              <w:top w:w="80" w:type="nil"/>
              <w:left w:w="80" w:type="nil"/>
              <w:bottom w:w="40" w:type="nil"/>
              <w:right w:w="80" w:type="nil"/>
            </w:tcMar>
            <w:vAlign w:val="center"/>
          </w:tcPr>
          <w:p w14:paraId="1A35BC2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w:t>
            </w:r>
          </w:p>
        </w:tc>
        <w:tc>
          <w:tcPr>
            <w:tcW w:w="1033" w:type="dxa"/>
            <w:tcMar>
              <w:top w:w="80" w:type="nil"/>
              <w:left w:w="80" w:type="nil"/>
              <w:bottom w:w="40" w:type="nil"/>
              <w:right w:w="80" w:type="nil"/>
            </w:tcMar>
            <w:vAlign w:val="center"/>
          </w:tcPr>
          <w:p w14:paraId="1A7F116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50.8</w:t>
            </w:r>
          </w:p>
        </w:tc>
        <w:tc>
          <w:tcPr>
            <w:tcW w:w="1244" w:type="dxa"/>
            <w:tcMar>
              <w:top w:w="80" w:type="nil"/>
              <w:left w:w="80" w:type="nil"/>
              <w:bottom w:w="40" w:type="nil"/>
              <w:right w:w="80" w:type="nil"/>
            </w:tcMar>
            <w:vAlign w:val="center"/>
          </w:tcPr>
          <w:p w14:paraId="17CABCD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51.6</w:t>
            </w:r>
          </w:p>
        </w:tc>
      </w:tr>
      <w:tr w:rsidR="008A5243" w14:paraId="5695205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D5F614E"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F24B50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6E423A5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743.3</w:t>
            </w:r>
          </w:p>
        </w:tc>
        <w:tc>
          <w:tcPr>
            <w:tcW w:w="2344" w:type="dxa"/>
            <w:tcMar>
              <w:top w:w="80" w:type="nil"/>
              <w:left w:w="80" w:type="nil"/>
              <w:bottom w:w="40" w:type="nil"/>
              <w:right w:w="80" w:type="nil"/>
            </w:tcMar>
            <w:vAlign w:val="center"/>
          </w:tcPr>
          <w:p w14:paraId="7DC40EA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0.19</w:t>
            </w:r>
          </w:p>
        </w:tc>
        <w:tc>
          <w:tcPr>
            <w:tcW w:w="3111" w:type="dxa"/>
            <w:tcMar>
              <w:top w:w="80" w:type="nil"/>
              <w:left w:w="80" w:type="nil"/>
              <w:bottom w:w="40" w:type="nil"/>
              <w:right w:w="80" w:type="nil"/>
            </w:tcMar>
            <w:vAlign w:val="center"/>
          </w:tcPr>
          <w:p w14:paraId="6573767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60</w:t>
            </w:r>
          </w:p>
        </w:tc>
        <w:tc>
          <w:tcPr>
            <w:tcW w:w="1033" w:type="dxa"/>
            <w:tcMar>
              <w:top w:w="80" w:type="nil"/>
              <w:left w:w="80" w:type="nil"/>
              <w:bottom w:w="40" w:type="nil"/>
              <w:right w:w="80" w:type="nil"/>
            </w:tcMar>
            <w:vAlign w:val="center"/>
          </w:tcPr>
          <w:p w14:paraId="19954E1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54.2</w:t>
            </w:r>
          </w:p>
        </w:tc>
        <w:tc>
          <w:tcPr>
            <w:tcW w:w="1244" w:type="dxa"/>
            <w:tcMar>
              <w:top w:w="80" w:type="nil"/>
              <w:left w:w="80" w:type="nil"/>
              <w:bottom w:w="40" w:type="nil"/>
              <w:right w:w="80" w:type="nil"/>
            </w:tcMar>
            <w:vAlign w:val="center"/>
          </w:tcPr>
          <w:p w14:paraId="0FE1701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53.8</w:t>
            </w:r>
          </w:p>
        </w:tc>
      </w:tr>
      <w:tr w:rsidR="008A5243" w14:paraId="7391EB38"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207174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w:t>
            </w:r>
          </w:p>
        </w:tc>
        <w:tc>
          <w:tcPr>
            <w:tcW w:w="635" w:type="dxa"/>
            <w:tcMar>
              <w:top w:w="80" w:type="nil"/>
              <w:left w:w="80" w:type="nil"/>
              <w:bottom w:w="40" w:type="nil"/>
              <w:right w:w="80" w:type="nil"/>
            </w:tcMar>
            <w:vAlign w:val="center"/>
          </w:tcPr>
          <w:p w14:paraId="5514DEE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1CB905A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732.0</w:t>
            </w:r>
          </w:p>
        </w:tc>
        <w:tc>
          <w:tcPr>
            <w:tcW w:w="2344" w:type="dxa"/>
            <w:tcMar>
              <w:top w:w="80" w:type="nil"/>
              <w:left w:w="80" w:type="nil"/>
              <w:bottom w:w="40" w:type="nil"/>
              <w:right w:w="80" w:type="nil"/>
            </w:tcMar>
            <w:vAlign w:val="center"/>
          </w:tcPr>
          <w:p w14:paraId="011AFCE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-0.17</w:t>
            </w:r>
          </w:p>
        </w:tc>
        <w:tc>
          <w:tcPr>
            <w:tcW w:w="3111" w:type="dxa"/>
            <w:tcMar>
              <w:top w:w="80" w:type="nil"/>
              <w:left w:w="80" w:type="nil"/>
              <w:bottom w:w="40" w:type="nil"/>
              <w:right w:w="80" w:type="nil"/>
            </w:tcMar>
            <w:vAlign w:val="center"/>
          </w:tcPr>
          <w:p w14:paraId="036457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3B8903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49.6</w:t>
            </w:r>
          </w:p>
        </w:tc>
        <w:tc>
          <w:tcPr>
            <w:tcW w:w="1244" w:type="dxa"/>
            <w:tcMar>
              <w:top w:w="80" w:type="nil"/>
              <w:left w:w="80" w:type="nil"/>
              <w:bottom w:w="40" w:type="nil"/>
              <w:right w:w="80" w:type="nil"/>
            </w:tcMar>
            <w:vAlign w:val="center"/>
          </w:tcPr>
          <w:p w14:paraId="12697A9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49.8</w:t>
            </w:r>
          </w:p>
        </w:tc>
      </w:tr>
      <w:tr w:rsidR="008A5243" w14:paraId="6285E29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FF9ABC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8406CA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0A96123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733.2</w:t>
            </w:r>
          </w:p>
        </w:tc>
        <w:tc>
          <w:tcPr>
            <w:tcW w:w="2344" w:type="dxa"/>
            <w:tcMar>
              <w:top w:w="80" w:type="nil"/>
              <w:left w:w="80" w:type="nil"/>
              <w:bottom w:w="40" w:type="nil"/>
              <w:right w:w="80" w:type="nil"/>
            </w:tcMar>
            <w:vAlign w:val="center"/>
          </w:tcPr>
          <w:p w14:paraId="3A44F0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-0.13</w:t>
            </w:r>
          </w:p>
        </w:tc>
        <w:tc>
          <w:tcPr>
            <w:tcW w:w="3111" w:type="dxa"/>
            <w:tcMar>
              <w:top w:w="80" w:type="nil"/>
              <w:left w:w="80" w:type="nil"/>
              <w:bottom w:w="40" w:type="nil"/>
              <w:right w:w="80" w:type="nil"/>
            </w:tcMar>
            <w:vAlign w:val="center"/>
          </w:tcPr>
          <w:p w14:paraId="01D8386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5EF9A30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50.7</w:t>
            </w:r>
          </w:p>
        </w:tc>
        <w:tc>
          <w:tcPr>
            <w:tcW w:w="1244" w:type="dxa"/>
            <w:tcMar>
              <w:top w:w="80" w:type="nil"/>
              <w:left w:w="80" w:type="nil"/>
              <w:bottom w:w="40" w:type="nil"/>
              <w:right w:w="80" w:type="nil"/>
            </w:tcMar>
            <w:vAlign w:val="center"/>
          </w:tcPr>
          <w:p w14:paraId="29EF75C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50.9</w:t>
            </w:r>
          </w:p>
        </w:tc>
      </w:tr>
      <w:tr w:rsidR="008A5243" w14:paraId="3EE38556"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55223B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B30855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0F78F3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729.0</w:t>
            </w:r>
          </w:p>
        </w:tc>
        <w:tc>
          <w:tcPr>
            <w:tcW w:w="2344" w:type="dxa"/>
            <w:tcMar>
              <w:top w:w="80" w:type="nil"/>
              <w:left w:w="80" w:type="nil"/>
              <w:bottom w:w="40" w:type="nil"/>
              <w:right w:w="80" w:type="nil"/>
            </w:tcMar>
            <w:vAlign w:val="center"/>
          </w:tcPr>
          <w:p w14:paraId="2E22C1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-0.27</w:t>
            </w:r>
          </w:p>
        </w:tc>
        <w:tc>
          <w:tcPr>
            <w:tcW w:w="3111" w:type="dxa"/>
            <w:tcMar>
              <w:top w:w="80" w:type="nil"/>
              <w:left w:w="80" w:type="nil"/>
              <w:bottom w:w="40" w:type="nil"/>
              <w:right w:w="80" w:type="nil"/>
            </w:tcMar>
            <w:vAlign w:val="center"/>
          </w:tcPr>
          <w:p w14:paraId="0661897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w:t>
            </w:r>
          </w:p>
        </w:tc>
        <w:tc>
          <w:tcPr>
            <w:tcW w:w="1033" w:type="dxa"/>
            <w:tcMar>
              <w:top w:w="80" w:type="nil"/>
              <w:left w:w="80" w:type="nil"/>
              <w:bottom w:w="40" w:type="nil"/>
              <w:right w:w="80" w:type="nil"/>
            </w:tcMar>
            <w:vAlign w:val="center"/>
          </w:tcPr>
          <w:p w14:paraId="66E2A0C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39.4</w:t>
            </w:r>
          </w:p>
        </w:tc>
        <w:tc>
          <w:tcPr>
            <w:tcW w:w="1244" w:type="dxa"/>
            <w:tcMar>
              <w:top w:w="80" w:type="nil"/>
              <w:left w:w="80" w:type="nil"/>
              <w:bottom w:w="40" w:type="nil"/>
              <w:right w:w="80" w:type="nil"/>
            </w:tcMar>
            <w:vAlign w:val="center"/>
          </w:tcPr>
          <w:p w14:paraId="1F3E94E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39.6</w:t>
            </w:r>
          </w:p>
        </w:tc>
      </w:tr>
      <w:tr w:rsidR="008A5243" w14:paraId="6E2A86E6"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97F142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B34E2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16EE9D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730.5</w:t>
            </w:r>
          </w:p>
        </w:tc>
        <w:tc>
          <w:tcPr>
            <w:tcW w:w="2344" w:type="dxa"/>
            <w:tcMar>
              <w:top w:w="80" w:type="nil"/>
              <w:left w:w="80" w:type="nil"/>
              <w:bottom w:w="40" w:type="nil"/>
              <w:right w:w="80" w:type="nil"/>
            </w:tcMar>
            <w:vAlign w:val="center"/>
          </w:tcPr>
          <w:p w14:paraId="5B1D4A6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-0.22</w:t>
            </w:r>
          </w:p>
        </w:tc>
        <w:tc>
          <w:tcPr>
            <w:tcW w:w="3111" w:type="dxa"/>
            <w:tcMar>
              <w:top w:w="80" w:type="nil"/>
              <w:left w:w="80" w:type="nil"/>
              <w:bottom w:w="40" w:type="nil"/>
              <w:right w:w="80" w:type="nil"/>
            </w:tcMar>
            <w:vAlign w:val="center"/>
          </w:tcPr>
          <w:p w14:paraId="0DBD65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w:t>
            </w:r>
          </w:p>
        </w:tc>
        <w:tc>
          <w:tcPr>
            <w:tcW w:w="1033" w:type="dxa"/>
            <w:tcMar>
              <w:top w:w="80" w:type="nil"/>
              <w:left w:w="80" w:type="nil"/>
              <w:bottom w:w="40" w:type="nil"/>
              <w:right w:w="80" w:type="nil"/>
            </w:tcMar>
            <w:vAlign w:val="center"/>
          </w:tcPr>
          <w:p w14:paraId="35F495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49.9</w:t>
            </w:r>
          </w:p>
        </w:tc>
        <w:tc>
          <w:tcPr>
            <w:tcW w:w="1244" w:type="dxa"/>
            <w:tcMar>
              <w:top w:w="80" w:type="nil"/>
              <w:left w:w="80" w:type="nil"/>
              <w:bottom w:w="40" w:type="nil"/>
              <w:right w:w="80" w:type="nil"/>
            </w:tcMar>
            <w:vAlign w:val="center"/>
          </w:tcPr>
          <w:p w14:paraId="032644D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50.2</w:t>
            </w:r>
          </w:p>
        </w:tc>
      </w:tr>
      <w:tr w:rsidR="008A5243" w14:paraId="69EFB50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0860D4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1B776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564A823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733.5</w:t>
            </w:r>
          </w:p>
        </w:tc>
        <w:tc>
          <w:tcPr>
            <w:tcW w:w="2344" w:type="dxa"/>
            <w:tcMar>
              <w:top w:w="80" w:type="nil"/>
              <w:left w:w="80" w:type="nil"/>
              <w:bottom w:w="40" w:type="nil"/>
              <w:right w:w="80" w:type="nil"/>
            </w:tcMar>
            <w:vAlign w:val="center"/>
          </w:tcPr>
          <w:p w14:paraId="03715C4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-0.12</w:t>
            </w:r>
          </w:p>
        </w:tc>
        <w:tc>
          <w:tcPr>
            <w:tcW w:w="3111" w:type="dxa"/>
            <w:tcMar>
              <w:top w:w="80" w:type="nil"/>
              <w:left w:w="80" w:type="nil"/>
              <w:bottom w:w="40" w:type="nil"/>
              <w:right w:w="80" w:type="nil"/>
            </w:tcMar>
            <w:vAlign w:val="center"/>
          </w:tcPr>
          <w:p w14:paraId="2EEDFEC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7B53590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48.6</w:t>
            </w:r>
          </w:p>
        </w:tc>
        <w:tc>
          <w:tcPr>
            <w:tcW w:w="1244" w:type="dxa"/>
            <w:tcMar>
              <w:top w:w="80" w:type="nil"/>
              <w:left w:w="80" w:type="nil"/>
              <w:bottom w:w="40" w:type="nil"/>
              <w:right w:w="80" w:type="nil"/>
            </w:tcMar>
            <w:vAlign w:val="center"/>
          </w:tcPr>
          <w:p w14:paraId="478C3C3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48.7</w:t>
            </w:r>
          </w:p>
        </w:tc>
      </w:tr>
      <w:tr w:rsidR="008A5243" w14:paraId="74AD7708"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C0057E2"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43855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203474D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748.1</w:t>
            </w:r>
          </w:p>
        </w:tc>
        <w:tc>
          <w:tcPr>
            <w:tcW w:w="2344" w:type="dxa"/>
            <w:tcMar>
              <w:top w:w="80" w:type="nil"/>
              <w:left w:w="80" w:type="nil"/>
              <w:bottom w:w="40" w:type="nil"/>
              <w:right w:w="80" w:type="nil"/>
            </w:tcMar>
            <w:vAlign w:val="center"/>
          </w:tcPr>
          <w:p w14:paraId="1772A9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0.39</w:t>
            </w:r>
          </w:p>
        </w:tc>
        <w:tc>
          <w:tcPr>
            <w:tcW w:w="3111" w:type="dxa"/>
            <w:tcMar>
              <w:top w:w="80" w:type="nil"/>
              <w:left w:w="80" w:type="nil"/>
              <w:bottom w:w="40" w:type="nil"/>
              <w:right w:w="80" w:type="nil"/>
            </w:tcMar>
            <w:vAlign w:val="center"/>
          </w:tcPr>
          <w:p w14:paraId="24D8C9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2BAB970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52.8</w:t>
            </w:r>
          </w:p>
        </w:tc>
        <w:tc>
          <w:tcPr>
            <w:tcW w:w="1244" w:type="dxa"/>
            <w:tcMar>
              <w:top w:w="80" w:type="nil"/>
              <w:left w:w="80" w:type="nil"/>
              <w:bottom w:w="40" w:type="nil"/>
              <w:right w:w="80" w:type="nil"/>
            </w:tcMar>
            <w:vAlign w:val="center"/>
          </w:tcPr>
          <w:p w14:paraId="70CC9CE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51.9</w:t>
            </w:r>
          </w:p>
        </w:tc>
      </w:tr>
      <w:tr w:rsidR="008A5243" w14:paraId="3AC3A9C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DBC51A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C94AB0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6E735E4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726.2</w:t>
            </w:r>
          </w:p>
        </w:tc>
        <w:tc>
          <w:tcPr>
            <w:tcW w:w="2344" w:type="dxa"/>
            <w:tcMar>
              <w:top w:w="80" w:type="nil"/>
              <w:left w:w="80" w:type="nil"/>
              <w:bottom w:w="40" w:type="nil"/>
              <w:right w:w="80" w:type="nil"/>
            </w:tcMar>
            <w:vAlign w:val="center"/>
          </w:tcPr>
          <w:p w14:paraId="5AF49F2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-0.37</w:t>
            </w:r>
          </w:p>
        </w:tc>
        <w:tc>
          <w:tcPr>
            <w:tcW w:w="3111" w:type="dxa"/>
            <w:tcMar>
              <w:top w:w="80" w:type="nil"/>
              <w:left w:w="80" w:type="nil"/>
              <w:bottom w:w="40" w:type="nil"/>
              <w:right w:w="80" w:type="nil"/>
            </w:tcMar>
            <w:vAlign w:val="center"/>
          </w:tcPr>
          <w:p w14:paraId="7589D75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w:t>
            </w:r>
          </w:p>
        </w:tc>
        <w:tc>
          <w:tcPr>
            <w:tcW w:w="1033" w:type="dxa"/>
            <w:tcMar>
              <w:top w:w="80" w:type="nil"/>
              <w:left w:w="80" w:type="nil"/>
              <w:bottom w:w="40" w:type="nil"/>
              <w:right w:w="80" w:type="nil"/>
            </w:tcMar>
            <w:vAlign w:val="center"/>
          </w:tcPr>
          <w:p w14:paraId="4417AF8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44.3</w:t>
            </w:r>
          </w:p>
        </w:tc>
        <w:tc>
          <w:tcPr>
            <w:tcW w:w="1244" w:type="dxa"/>
            <w:tcMar>
              <w:top w:w="80" w:type="nil"/>
              <w:left w:w="80" w:type="nil"/>
              <w:bottom w:w="40" w:type="nil"/>
              <w:right w:w="80" w:type="nil"/>
            </w:tcMar>
            <w:vAlign w:val="center"/>
          </w:tcPr>
          <w:p w14:paraId="5BB49B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44.8</w:t>
            </w:r>
          </w:p>
        </w:tc>
      </w:tr>
      <w:tr w:rsidR="008A5243" w14:paraId="0C67047F"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7F5466BE"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63F67D1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Borders>
              <w:bottom w:val="single" w:sz="16" w:space="0" w:color="6D6D6D"/>
            </w:tcBorders>
            <w:tcMar>
              <w:top w:w="80" w:type="nil"/>
              <w:left w:w="80" w:type="nil"/>
              <w:bottom w:w="40" w:type="nil"/>
              <w:right w:w="80" w:type="nil"/>
            </w:tcMar>
            <w:vAlign w:val="center"/>
          </w:tcPr>
          <w:p w14:paraId="022A7F3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743.8</w:t>
            </w:r>
          </w:p>
        </w:tc>
        <w:tc>
          <w:tcPr>
            <w:tcW w:w="2344" w:type="dxa"/>
            <w:tcBorders>
              <w:bottom w:val="single" w:sz="16" w:space="0" w:color="6D6D6D"/>
            </w:tcBorders>
            <w:tcMar>
              <w:top w:w="80" w:type="nil"/>
              <w:left w:w="80" w:type="nil"/>
              <w:bottom w:w="40" w:type="nil"/>
              <w:right w:w="80" w:type="nil"/>
            </w:tcMar>
            <w:vAlign w:val="center"/>
          </w:tcPr>
          <w:p w14:paraId="335EB42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0.24</w:t>
            </w:r>
          </w:p>
        </w:tc>
        <w:tc>
          <w:tcPr>
            <w:tcW w:w="3111" w:type="dxa"/>
            <w:tcBorders>
              <w:bottom w:val="single" w:sz="16" w:space="0" w:color="6D6D6D"/>
            </w:tcBorders>
            <w:tcMar>
              <w:top w:w="80" w:type="nil"/>
              <w:left w:w="80" w:type="nil"/>
              <w:bottom w:w="40" w:type="nil"/>
              <w:right w:w="80" w:type="nil"/>
            </w:tcMar>
            <w:vAlign w:val="center"/>
          </w:tcPr>
          <w:p w14:paraId="5332E45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61</w:t>
            </w:r>
          </w:p>
        </w:tc>
        <w:tc>
          <w:tcPr>
            <w:tcW w:w="1033" w:type="dxa"/>
            <w:tcBorders>
              <w:bottom w:val="single" w:sz="16" w:space="0" w:color="6D6D6D"/>
            </w:tcBorders>
            <w:tcMar>
              <w:top w:w="80" w:type="nil"/>
              <w:left w:w="80" w:type="nil"/>
              <w:bottom w:w="40" w:type="nil"/>
              <w:right w:w="80" w:type="nil"/>
            </w:tcMar>
            <w:vAlign w:val="center"/>
          </w:tcPr>
          <w:p w14:paraId="626F8F3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51.7</w:t>
            </w:r>
          </w:p>
        </w:tc>
        <w:tc>
          <w:tcPr>
            <w:tcW w:w="1244" w:type="dxa"/>
            <w:tcBorders>
              <w:bottom w:val="single" w:sz="16" w:space="0" w:color="6D6D6D"/>
            </w:tcBorders>
            <w:tcMar>
              <w:top w:w="80" w:type="nil"/>
              <w:left w:w="80" w:type="nil"/>
              <w:bottom w:w="40" w:type="nil"/>
              <w:right w:w="80" w:type="nil"/>
            </w:tcMar>
            <w:vAlign w:val="center"/>
          </w:tcPr>
          <w:p w14:paraId="6CD6EDA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51.0</w:t>
            </w:r>
          </w:p>
        </w:tc>
      </w:tr>
    </w:tbl>
    <w:p w14:paraId="672428DE"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5AC69DFB"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7140B75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12:</w:t>
            </w:r>
            <w:r>
              <w:rPr>
                <w:rFonts w:ascii="Arial" w:hAnsi="Arial" w:cs="Arial"/>
                <w:sz w:val="26"/>
                <w:szCs w:val="26"/>
                <w:u w:color="0000E9"/>
              </w:rPr>
              <w:t xml:space="preserve"> Spring 2016 Typical Prior Achievement and Growth by State: Mathematics (</w:t>
            </w:r>
            <w:r>
              <w:rPr>
                <w:rFonts w:ascii="Arial" w:hAnsi="Arial" w:cs="Arial"/>
                <w:i/>
                <w:iCs/>
                <w:sz w:val="26"/>
                <w:szCs w:val="26"/>
                <w:u w:color="0000E9"/>
              </w:rPr>
              <w:t>Continued</w:t>
            </w:r>
            <w:r>
              <w:rPr>
                <w:rFonts w:ascii="Arial" w:hAnsi="Arial" w:cs="Arial"/>
                <w:sz w:val="26"/>
                <w:szCs w:val="26"/>
                <w:u w:color="0000E9"/>
              </w:rPr>
              <w:t>)</w:t>
            </w:r>
          </w:p>
        </w:tc>
      </w:tr>
      <w:tr w:rsidR="008A5243" w14:paraId="06E73B9B"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10A79F7F"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Grade</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099E818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20DC39A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3B9D00E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1137949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1C4BA744"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1D5CA9B5"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6E2BAB9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FE65B4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w:t>
            </w:r>
          </w:p>
        </w:tc>
        <w:tc>
          <w:tcPr>
            <w:tcW w:w="635" w:type="dxa"/>
            <w:tcMar>
              <w:top w:w="80" w:type="nil"/>
              <w:left w:w="80" w:type="nil"/>
              <w:bottom w:w="40" w:type="nil"/>
              <w:right w:w="80" w:type="nil"/>
            </w:tcMar>
            <w:vAlign w:val="center"/>
          </w:tcPr>
          <w:p w14:paraId="7348DF4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4DAA860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732.2</w:t>
            </w:r>
          </w:p>
        </w:tc>
        <w:tc>
          <w:tcPr>
            <w:tcW w:w="2344" w:type="dxa"/>
            <w:tcMar>
              <w:top w:w="80" w:type="nil"/>
              <w:left w:w="80" w:type="nil"/>
              <w:bottom w:w="40" w:type="nil"/>
              <w:right w:w="80" w:type="nil"/>
            </w:tcMar>
            <w:vAlign w:val="center"/>
          </w:tcPr>
          <w:p w14:paraId="21E48F4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-0.15</w:t>
            </w:r>
          </w:p>
        </w:tc>
        <w:tc>
          <w:tcPr>
            <w:tcW w:w="3111" w:type="dxa"/>
            <w:tcMar>
              <w:top w:w="80" w:type="nil"/>
              <w:left w:w="80" w:type="nil"/>
              <w:bottom w:w="40" w:type="nil"/>
              <w:right w:w="80" w:type="nil"/>
            </w:tcMar>
            <w:vAlign w:val="center"/>
          </w:tcPr>
          <w:p w14:paraId="5859CE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084347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c>
          <w:tcPr>
            <w:tcW w:w="1244" w:type="dxa"/>
            <w:tcMar>
              <w:top w:w="80" w:type="nil"/>
              <w:left w:w="80" w:type="nil"/>
              <w:bottom w:w="40" w:type="nil"/>
              <w:right w:w="80" w:type="nil"/>
            </w:tcMar>
            <w:vAlign w:val="center"/>
          </w:tcPr>
          <w:p w14:paraId="181163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7ED13B9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C63861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11C1B7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1E5668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727.6</w:t>
            </w:r>
          </w:p>
        </w:tc>
        <w:tc>
          <w:tcPr>
            <w:tcW w:w="2344" w:type="dxa"/>
            <w:tcMar>
              <w:top w:w="80" w:type="nil"/>
              <w:left w:w="80" w:type="nil"/>
              <w:bottom w:w="40" w:type="nil"/>
              <w:right w:w="80" w:type="nil"/>
            </w:tcMar>
            <w:vAlign w:val="center"/>
          </w:tcPr>
          <w:p w14:paraId="73F08F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-0.31</w:t>
            </w:r>
          </w:p>
        </w:tc>
        <w:tc>
          <w:tcPr>
            <w:tcW w:w="3111" w:type="dxa"/>
            <w:tcMar>
              <w:top w:w="80" w:type="nil"/>
              <w:left w:w="80" w:type="nil"/>
              <w:bottom w:w="40" w:type="nil"/>
              <w:right w:w="80" w:type="nil"/>
            </w:tcMar>
            <w:vAlign w:val="center"/>
          </w:tcPr>
          <w:p w14:paraId="6EC1489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w:t>
            </w:r>
          </w:p>
        </w:tc>
        <w:tc>
          <w:tcPr>
            <w:tcW w:w="1033" w:type="dxa"/>
            <w:tcMar>
              <w:top w:w="80" w:type="nil"/>
              <w:left w:w="80" w:type="nil"/>
              <w:bottom w:w="40" w:type="nil"/>
              <w:right w:w="80" w:type="nil"/>
            </w:tcMar>
            <w:vAlign w:val="center"/>
          </w:tcPr>
          <w:p w14:paraId="080B375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50.9</w:t>
            </w:r>
          </w:p>
        </w:tc>
        <w:tc>
          <w:tcPr>
            <w:tcW w:w="1244" w:type="dxa"/>
            <w:tcMar>
              <w:top w:w="80" w:type="nil"/>
              <w:left w:w="80" w:type="nil"/>
              <w:bottom w:w="40" w:type="nil"/>
              <w:right w:w="80" w:type="nil"/>
            </w:tcMar>
            <w:vAlign w:val="center"/>
          </w:tcPr>
          <w:p w14:paraId="315757D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51.4</w:t>
            </w:r>
          </w:p>
        </w:tc>
      </w:tr>
      <w:tr w:rsidR="008A5243" w14:paraId="060154A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BE77542"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98A2C6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04D5896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721.9</w:t>
            </w:r>
          </w:p>
        </w:tc>
        <w:tc>
          <w:tcPr>
            <w:tcW w:w="2344" w:type="dxa"/>
            <w:tcMar>
              <w:top w:w="80" w:type="nil"/>
              <w:left w:w="80" w:type="nil"/>
              <w:bottom w:w="40" w:type="nil"/>
              <w:right w:w="80" w:type="nil"/>
            </w:tcMar>
            <w:vAlign w:val="center"/>
          </w:tcPr>
          <w:p w14:paraId="0F056A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-0.51</w:t>
            </w:r>
          </w:p>
        </w:tc>
        <w:tc>
          <w:tcPr>
            <w:tcW w:w="3111" w:type="dxa"/>
            <w:tcMar>
              <w:top w:w="80" w:type="nil"/>
              <w:left w:w="80" w:type="nil"/>
              <w:bottom w:w="40" w:type="nil"/>
              <w:right w:w="80" w:type="nil"/>
            </w:tcMar>
            <w:vAlign w:val="center"/>
          </w:tcPr>
          <w:p w14:paraId="5DE1AB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34</w:t>
            </w:r>
          </w:p>
        </w:tc>
        <w:tc>
          <w:tcPr>
            <w:tcW w:w="1033" w:type="dxa"/>
            <w:tcMar>
              <w:top w:w="80" w:type="nil"/>
              <w:left w:w="80" w:type="nil"/>
              <w:bottom w:w="40" w:type="nil"/>
              <w:right w:w="80" w:type="nil"/>
            </w:tcMar>
            <w:vAlign w:val="center"/>
          </w:tcPr>
          <w:p w14:paraId="3588B98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44.2</w:t>
            </w:r>
          </w:p>
        </w:tc>
        <w:tc>
          <w:tcPr>
            <w:tcW w:w="1244" w:type="dxa"/>
            <w:tcMar>
              <w:top w:w="80" w:type="nil"/>
              <w:left w:w="80" w:type="nil"/>
              <w:bottom w:w="40" w:type="nil"/>
              <w:right w:w="80" w:type="nil"/>
            </w:tcMar>
            <w:vAlign w:val="center"/>
          </w:tcPr>
          <w:p w14:paraId="59434D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44.9</w:t>
            </w:r>
          </w:p>
        </w:tc>
      </w:tr>
      <w:tr w:rsidR="008A5243" w14:paraId="309A4D9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C19A87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F60CB9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3F6F9BD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729.7</w:t>
            </w:r>
          </w:p>
        </w:tc>
        <w:tc>
          <w:tcPr>
            <w:tcW w:w="2344" w:type="dxa"/>
            <w:tcMar>
              <w:top w:w="80" w:type="nil"/>
              <w:left w:w="80" w:type="nil"/>
              <w:bottom w:w="40" w:type="nil"/>
              <w:right w:w="80" w:type="nil"/>
            </w:tcMar>
            <w:vAlign w:val="center"/>
          </w:tcPr>
          <w:p w14:paraId="37BAC9F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-0.24</w:t>
            </w:r>
          </w:p>
        </w:tc>
        <w:tc>
          <w:tcPr>
            <w:tcW w:w="3111" w:type="dxa"/>
            <w:tcMar>
              <w:top w:w="80" w:type="nil"/>
              <w:left w:w="80" w:type="nil"/>
              <w:bottom w:w="40" w:type="nil"/>
              <w:right w:w="80" w:type="nil"/>
            </w:tcMar>
            <w:vAlign w:val="center"/>
          </w:tcPr>
          <w:p w14:paraId="13E4004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w:t>
            </w:r>
          </w:p>
        </w:tc>
        <w:tc>
          <w:tcPr>
            <w:tcW w:w="1033" w:type="dxa"/>
            <w:tcMar>
              <w:top w:w="80" w:type="nil"/>
              <w:left w:w="80" w:type="nil"/>
              <w:bottom w:w="40" w:type="nil"/>
              <w:right w:w="80" w:type="nil"/>
            </w:tcMar>
            <w:vAlign w:val="center"/>
          </w:tcPr>
          <w:p w14:paraId="2CEB3F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52.2</w:t>
            </w:r>
          </w:p>
        </w:tc>
        <w:tc>
          <w:tcPr>
            <w:tcW w:w="1244" w:type="dxa"/>
            <w:tcMar>
              <w:top w:w="80" w:type="nil"/>
              <w:left w:w="80" w:type="nil"/>
              <w:bottom w:w="40" w:type="nil"/>
              <w:right w:w="80" w:type="nil"/>
            </w:tcMar>
            <w:vAlign w:val="center"/>
          </w:tcPr>
          <w:p w14:paraId="57F36C9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52.5</w:t>
            </w:r>
          </w:p>
        </w:tc>
      </w:tr>
      <w:tr w:rsidR="008A5243" w14:paraId="6D96B73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A9FD7E0"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129786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3EFDD57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732.2</w:t>
            </w:r>
          </w:p>
        </w:tc>
        <w:tc>
          <w:tcPr>
            <w:tcW w:w="2344" w:type="dxa"/>
            <w:tcMar>
              <w:top w:w="80" w:type="nil"/>
              <w:left w:w="80" w:type="nil"/>
              <w:bottom w:w="40" w:type="nil"/>
              <w:right w:w="80" w:type="nil"/>
            </w:tcMar>
            <w:vAlign w:val="center"/>
          </w:tcPr>
          <w:p w14:paraId="2AF26D2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-0.15</w:t>
            </w:r>
          </w:p>
        </w:tc>
        <w:tc>
          <w:tcPr>
            <w:tcW w:w="3111" w:type="dxa"/>
            <w:tcMar>
              <w:top w:w="80" w:type="nil"/>
              <w:left w:w="80" w:type="nil"/>
              <w:bottom w:w="40" w:type="nil"/>
              <w:right w:w="80" w:type="nil"/>
            </w:tcMar>
            <w:vAlign w:val="center"/>
          </w:tcPr>
          <w:p w14:paraId="31532D5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w:t>
            </w:r>
          </w:p>
        </w:tc>
        <w:tc>
          <w:tcPr>
            <w:tcW w:w="1033" w:type="dxa"/>
            <w:tcMar>
              <w:top w:w="80" w:type="nil"/>
              <w:left w:w="80" w:type="nil"/>
              <w:bottom w:w="40" w:type="nil"/>
              <w:right w:w="80" w:type="nil"/>
            </w:tcMar>
            <w:vAlign w:val="center"/>
          </w:tcPr>
          <w:p w14:paraId="5F0036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c>
          <w:tcPr>
            <w:tcW w:w="1244" w:type="dxa"/>
            <w:tcMar>
              <w:top w:w="80" w:type="nil"/>
              <w:left w:w="80" w:type="nil"/>
              <w:bottom w:w="40" w:type="nil"/>
              <w:right w:w="80" w:type="nil"/>
            </w:tcMar>
            <w:vAlign w:val="center"/>
          </w:tcPr>
          <w:p w14:paraId="263F832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r>
      <w:tr w:rsidR="008A5243" w14:paraId="6D508C1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9FEDF1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1C06A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5DB78E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748.5</w:t>
            </w:r>
          </w:p>
        </w:tc>
        <w:tc>
          <w:tcPr>
            <w:tcW w:w="2344" w:type="dxa"/>
            <w:tcMar>
              <w:top w:w="80" w:type="nil"/>
              <w:left w:w="80" w:type="nil"/>
              <w:bottom w:w="40" w:type="nil"/>
              <w:right w:w="80" w:type="nil"/>
            </w:tcMar>
            <w:vAlign w:val="center"/>
          </w:tcPr>
          <w:p w14:paraId="65D1934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0.42</w:t>
            </w:r>
          </w:p>
        </w:tc>
        <w:tc>
          <w:tcPr>
            <w:tcW w:w="3111" w:type="dxa"/>
            <w:tcMar>
              <w:top w:w="80" w:type="nil"/>
              <w:left w:w="80" w:type="nil"/>
              <w:bottom w:w="40" w:type="nil"/>
              <w:right w:w="80" w:type="nil"/>
            </w:tcMar>
            <w:vAlign w:val="center"/>
          </w:tcPr>
          <w:p w14:paraId="340B6B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35381C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50.8</w:t>
            </w:r>
          </w:p>
        </w:tc>
        <w:tc>
          <w:tcPr>
            <w:tcW w:w="1244" w:type="dxa"/>
            <w:tcMar>
              <w:top w:w="80" w:type="nil"/>
              <w:left w:w="80" w:type="nil"/>
              <w:bottom w:w="40" w:type="nil"/>
              <w:right w:w="80" w:type="nil"/>
            </w:tcMar>
            <w:vAlign w:val="center"/>
          </w:tcPr>
          <w:p w14:paraId="44B84C3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49.6</w:t>
            </w:r>
          </w:p>
        </w:tc>
      </w:tr>
      <w:tr w:rsidR="008A5243" w14:paraId="47362A8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61BD58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4DA8C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3F54C33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724.1</w:t>
            </w:r>
          </w:p>
        </w:tc>
        <w:tc>
          <w:tcPr>
            <w:tcW w:w="2344" w:type="dxa"/>
            <w:tcMar>
              <w:top w:w="80" w:type="nil"/>
              <w:left w:w="80" w:type="nil"/>
              <w:bottom w:w="40" w:type="nil"/>
              <w:right w:w="80" w:type="nil"/>
            </w:tcMar>
            <w:vAlign w:val="center"/>
          </w:tcPr>
          <w:p w14:paraId="31D2B99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-0.43</w:t>
            </w:r>
          </w:p>
        </w:tc>
        <w:tc>
          <w:tcPr>
            <w:tcW w:w="3111" w:type="dxa"/>
            <w:tcMar>
              <w:top w:w="80" w:type="nil"/>
              <w:left w:w="80" w:type="nil"/>
              <w:bottom w:w="40" w:type="nil"/>
              <w:right w:w="80" w:type="nil"/>
            </w:tcMar>
            <w:vAlign w:val="center"/>
          </w:tcPr>
          <w:p w14:paraId="7C26220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36</w:t>
            </w:r>
          </w:p>
        </w:tc>
        <w:tc>
          <w:tcPr>
            <w:tcW w:w="1033" w:type="dxa"/>
            <w:tcMar>
              <w:top w:w="80" w:type="nil"/>
              <w:left w:w="80" w:type="nil"/>
              <w:bottom w:w="40" w:type="nil"/>
              <w:right w:w="80" w:type="nil"/>
            </w:tcMar>
            <w:vAlign w:val="center"/>
          </w:tcPr>
          <w:p w14:paraId="5DF365E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46.1</w:t>
            </w:r>
          </w:p>
        </w:tc>
        <w:tc>
          <w:tcPr>
            <w:tcW w:w="1244" w:type="dxa"/>
            <w:tcMar>
              <w:top w:w="80" w:type="nil"/>
              <w:left w:w="80" w:type="nil"/>
              <w:bottom w:w="40" w:type="nil"/>
              <w:right w:w="80" w:type="nil"/>
            </w:tcMar>
            <w:vAlign w:val="center"/>
          </w:tcPr>
          <w:p w14:paraId="5D98BA7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46.7</w:t>
            </w:r>
          </w:p>
        </w:tc>
      </w:tr>
      <w:tr w:rsidR="008A5243" w14:paraId="2618AF9A"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409E82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B1B6C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362E43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740.4</w:t>
            </w:r>
          </w:p>
        </w:tc>
        <w:tc>
          <w:tcPr>
            <w:tcW w:w="2344" w:type="dxa"/>
            <w:tcMar>
              <w:top w:w="80" w:type="nil"/>
              <w:left w:w="80" w:type="nil"/>
              <w:bottom w:w="40" w:type="nil"/>
              <w:right w:w="80" w:type="nil"/>
            </w:tcMar>
            <w:vAlign w:val="center"/>
          </w:tcPr>
          <w:p w14:paraId="27F0725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0.14</w:t>
            </w:r>
          </w:p>
        </w:tc>
        <w:tc>
          <w:tcPr>
            <w:tcW w:w="3111" w:type="dxa"/>
            <w:tcMar>
              <w:top w:w="80" w:type="nil"/>
              <w:left w:w="80" w:type="nil"/>
              <w:bottom w:w="40" w:type="nil"/>
              <w:right w:w="80" w:type="nil"/>
            </w:tcMar>
            <w:vAlign w:val="center"/>
          </w:tcPr>
          <w:p w14:paraId="4E5EBFD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w:t>
            </w:r>
          </w:p>
        </w:tc>
        <w:tc>
          <w:tcPr>
            <w:tcW w:w="1033" w:type="dxa"/>
            <w:tcMar>
              <w:top w:w="80" w:type="nil"/>
              <w:left w:w="80" w:type="nil"/>
              <w:bottom w:w="40" w:type="nil"/>
              <w:right w:w="80" w:type="nil"/>
            </w:tcMar>
            <w:vAlign w:val="center"/>
          </w:tcPr>
          <w:p w14:paraId="23F214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52.2</w:t>
            </w:r>
          </w:p>
        </w:tc>
        <w:tc>
          <w:tcPr>
            <w:tcW w:w="1244" w:type="dxa"/>
            <w:tcMar>
              <w:top w:w="80" w:type="nil"/>
              <w:left w:w="80" w:type="nil"/>
              <w:bottom w:w="40" w:type="nil"/>
              <w:right w:w="80" w:type="nil"/>
            </w:tcMar>
            <w:vAlign w:val="center"/>
          </w:tcPr>
          <w:p w14:paraId="1909C00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51.6</w:t>
            </w:r>
          </w:p>
        </w:tc>
      </w:tr>
      <w:tr w:rsidR="008A5243" w14:paraId="24B5D0D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C155F5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w:t>
            </w:r>
          </w:p>
        </w:tc>
        <w:tc>
          <w:tcPr>
            <w:tcW w:w="635" w:type="dxa"/>
            <w:tcMar>
              <w:top w:w="80" w:type="nil"/>
              <w:left w:w="80" w:type="nil"/>
              <w:bottom w:w="40" w:type="nil"/>
              <w:right w:w="80" w:type="nil"/>
            </w:tcMar>
            <w:vAlign w:val="center"/>
          </w:tcPr>
          <w:p w14:paraId="7AF86A5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2715947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733.2</w:t>
            </w:r>
          </w:p>
        </w:tc>
        <w:tc>
          <w:tcPr>
            <w:tcW w:w="2344" w:type="dxa"/>
            <w:tcMar>
              <w:top w:w="80" w:type="nil"/>
              <w:left w:w="80" w:type="nil"/>
              <w:bottom w:w="40" w:type="nil"/>
              <w:right w:w="80" w:type="nil"/>
            </w:tcMar>
            <w:vAlign w:val="center"/>
          </w:tcPr>
          <w:p w14:paraId="01ED0D2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-0.06</w:t>
            </w:r>
          </w:p>
        </w:tc>
        <w:tc>
          <w:tcPr>
            <w:tcW w:w="3111" w:type="dxa"/>
            <w:tcMar>
              <w:top w:w="80" w:type="nil"/>
              <w:left w:w="80" w:type="nil"/>
              <w:bottom w:w="40" w:type="nil"/>
              <w:right w:w="80" w:type="nil"/>
            </w:tcMar>
            <w:vAlign w:val="center"/>
          </w:tcPr>
          <w:p w14:paraId="7E1EFB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w:t>
            </w:r>
          </w:p>
        </w:tc>
        <w:tc>
          <w:tcPr>
            <w:tcW w:w="1033" w:type="dxa"/>
            <w:tcMar>
              <w:top w:w="80" w:type="nil"/>
              <w:left w:w="80" w:type="nil"/>
              <w:bottom w:w="40" w:type="nil"/>
              <w:right w:w="80" w:type="nil"/>
            </w:tcMar>
            <w:vAlign w:val="center"/>
          </w:tcPr>
          <w:p w14:paraId="0593A4B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c>
          <w:tcPr>
            <w:tcW w:w="1244" w:type="dxa"/>
            <w:tcMar>
              <w:top w:w="80" w:type="nil"/>
              <w:left w:w="80" w:type="nil"/>
              <w:bottom w:w="40" w:type="nil"/>
              <w:right w:w="80" w:type="nil"/>
            </w:tcMar>
            <w:vAlign w:val="center"/>
          </w:tcPr>
          <w:p w14:paraId="0C228E3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48.8</w:t>
            </w:r>
          </w:p>
        </w:tc>
      </w:tr>
      <w:tr w:rsidR="008A5243" w14:paraId="56B242A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E1A405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023413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6388CAB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719.6</w:t>
            </w:r>
          </w:p>
        </w:tc>
        <w:tc>
          <w:tcPr>
            <w:tcW w:w="2344" w:type="dxa"/>
            <w:tcMar>
              <w:top w:w="80" w:type="nil"/>
              <w:left w:w="80" w:type="nil"/>
              <w:bottom w:w="40" w:type="nil"/>
              <w:right w:w="80" w:type="nil"/>
            </w:tcMar>
            <w:vAlign w:val="center"/>
          </w:tcPr>
          <w:p w14:paraId="11D6C1F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-0.59</w:t>
            </w:r>
          </w:p>
        </w:tc>
        <w:tc>
          <w:tcPr>
            <w:tcW w:w="3111" w:type="dxa"/>
            <w:tcMar>
              <w:top w:w="80" w:type="nil"/>
              <w:left w:w="80" w:type="nil"/>
              <w:bottom w:w="40" w:type="nil"/>
              <w:right w:w="80" w:type="nil"/>
            </w:tcMar>
            <w:vAlign w:val="center"/>
          </w:tcPr>
          <w:p w14:paraId="76DC6B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30</w:t>
            </w:r>
          </w:p>
        </w:tc>
        <w:tc>
          <w:tcPr>
            <w:tcW w:w="1033" w:type="dxa"/>
            <w:tcMar>
              <w:top w:w="80" w:type="nil"/>
              <w:left w:w="80" w:type="nil"/>
              <w:bottom w:w="40" w:type="nil"/>
              <w:right w:w="80" w:type="nil"/>
            </w:tcMar>
            <w:vAlign w:val="center"/>
          </w:tcPr>
          <w:p w14:paraId="011D016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48.0</w:t>
            </w:r>
          </w:p>
        </w:tc>
        <w:tc>
          <w:tcPr>
            <w:tcW w:w="1244" w:type="dxa"/>
            <w:tcMar>
              <w:top w:w="80" w:type="nil"/>
              <w:left w:w="80" w:type="nil"/>
              <w:bottom w:w="40" w:type="nil"/>
              <w:right w:w="80" w:type="nil"/>
            </w:tcMar>
            <w:vAlign w:val="center"/>
          </w:tcPr>
          <w:p w14:paraId="50CCAA6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48.9</w:t>
            </w:r>
          </w:p>
        </w:tc>
      </w:tr>
      <w:tr w:rsidR="008A5243" w14:paraId="494B8EF7"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FB3008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12897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6D39D30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718.3</w:t>
            </w:r>
          </w:p>
        </w:tc>
        <w:tc>
          <w:tcPr>
            <w:tcW w:w="2344" w:type="dxa"/>
            <w:tcMar>
              <w:top w:w="80" w:type="nil"/>
              <w:left w:w="80" w:type="nil"/>
              <w:bottom w:w="40" w:type="nil"/>
              <w:right w:w="80" w:type="nil"/>
            </w:tcMar>
            <w:vAlign w:val="center"/>
          </w:tcPr>
          <w:p w14:paraId="5E60B24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-0.65</w:t>
            </w:r>
          </w:p>
        </w:tc>
        <w:tc>
          <w:tcPr>
            <w:tcW w:w="3111" w:type="dxa"/>
            <w:tcMar>
              <w:top w:w="80" w:type="nil"/>
              <w:left w:w="80" w:type="nil"/>
              <w:bottom w:w="40" w:type="nil"/>
              <w:right w:w="80" w:type="nil"/>
            </w:tcMar>
            <w:vAlign w:val="center"/>
          </w:tcPr>
          <w:p w14:paraId="3EA4B4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28</w:t>
            </w:r>
          </w:p>
        </w:tc>
        <w:tc>
          <w:tcPr>
            <w:tcW w:w="1033" w:type="dxa"/>
            <w:tcMar>
              <w:top w:w="80" w:type="nil"/>
              <w:left w:w="80" w:type="nil"/>
              <w:bottom w:w="40" w:type="nil"/>
              <w:right w:w="80" w:type="nil"/>
            </w:tcMar>
            <w:vAlign w:val="center"/>
          </w:tcPr>
          <w:p w14:paraId="4FAD506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45.3</w:t>
            </w:r>
          </w:p>
        </w:tc>
        <w:tc>
          <w:tcPr>
            <w:tcW w:w="1244" w:type="dxa"/>
            <w:tcMar>
              <w:top w:w="80" w:type="nil"/>
              <w:left w:w="80" w:type="nil"/>
              <w:bottom w:w="40" w:type="nil"/>
              <w:right w:w="80" w:type="nil"/>
            </w:tcMar>
            <w:vAlign w:val="center"/>
          </w:tcPr>
          <w:p w14:paraId="46F1E7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46.3</w:t>
            </w:r>
          </w:p>
        </w:tc>
      </w:tr>
      <w:tr w:rsidR="008A5243" w14:paraId="203F318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2B875A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986F6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399BA99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722.3</w:t>
            </w:r>
          </w:p>
        </w:tc>
        <w:tc>
          <w:tcPr>
            <w:tcW w:w="2344" w:type="dxa"/>
            <w:tcMar>
              <w:top w:w="80" w:type="nil"/>
              <w:left w:w="80" w:type="nil"/>
              <w:bottom w:w="40" w:type="nil"/>
              <w:right w:w="80" w:type="nil"/>
            </w:tcMar>
            <w:vAlign w:val="center"/>
          </w:tcPr>
          <w:p w14:paraId="23C612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-0.49</w:t>
            </w:r>
          </w:p>
        </w:tc>
        <w:tc>
          <w:tcPr>
            <w:tcW w:w="3111" w:type="dxa"/>
            <w:tcMar>
              <w:top w:w="80" w:type="nil"/>
              <w:left w:w="80" w:type="nil"/>
              <w:bottom w:w="40" w:type="nil"/>
              <w:right w:w="80" w:type="nil"/>
            </w:tcMar>
            <w:vAlign w:val="center"/>
          </w:tcPr>
          <w:p w14:paraId="00CEC90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33</w:t>
            </w:r>
          </w:p>
        </w:tc>
        <w:tc>
          <w:tcPr>
            <w:tcW w:w="1033" w:type="dxa"/>
            <w:tcMar>
              <w:top w:w="80" w:type="nil"/>
              <w:left w:w="80" w:type="nil"/>
              <w:bottom w:w="40" w:type="nil"/>
              <w:right w:w="80" w:type="nil"/>
            </w:tcMar>
            <w:vAlign w:val="center"/>
          </w:tcPr>
          <w:p w14:paraId="18021C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46.6</w:t>
            </w:r>
          </w:p>
        </w:tc>
        <w:tc>
          <w:tcPr>
            <w:tcW w:w="1244" w:type="dxa"/>
            <w:tcMar>
              <w:top w:w="80" w:type="nil"/>
              <w:left w:w="80" w:type="nil"/>
              <w:bottom w:w="40" w:type="nil"/>
              <w:right w:w="80" w:type="nil"/>
            </w:tcMar>
            <w:vAlign w:val="center"/>
          </w:tcPr>
          <w:p w14:paraId="241DA49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47.2</w:t>
            </w:r>
          </w:p>
        </w:tc>
      </w:tr>
      <w:tr w:rsidR="008A5243" w14:paraId="13820D4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35C820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EF5A8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3147E69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726.0</w:t>
            </w:r>
          </w:p>
        </w:tc>
        <w:tc>
          <w:tcPr>
            <w:tcW w:w="2344" w:type="dxa"/>
            <w:tcMar>
              <w:top w:w="80" w:type="nil"/>
              <w:left w:w="80" w:type="nil"/>
              <w:bottom w:w="40" w:type="nil"/>
              <w:right w:w="80" w:type="nil"/>
            </w:tcMar>
            <w:vAlign w:val="center"/>
          </w:tcPr>
          <w:p w14:paraId="2E66DE8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-0.34</w:t>
            </w:r>
          </w:p>
        </w:tc>
        <w:tc>
          <w:tcPr>
            <w:tcW w:w="3111" w:type="dxa"/>
            <w:tcMar>
              <w:top w:w="80" w:type="nil"/>
              <w:left w:w="80" w:type="nil"/>
              <w:bottom w:w="40" w:type="nil"/>
              <w:right w:w="80" w:type="nil"/>
            </w:tcMar>
            <w:vAlign w:val="center"/>
          </w:tcPr>
          <w:p w14:paraId="3B74353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w:t>
            </w:r>
          </w:p>
        </w:tc>
        <w:tc>
          <w:tcPr>
            <w:tcW w:w="1033" w:type="dxa"/>
            <w:tcMar>
              <w:top w:w="80" w:type="nil"/>
              <w:left w:w="80" w:type="nil"/>
              <w:bottom w:w="40" w:type="nil"/>
              <w:right w:w="80" w:type="nil"/>
            </w:tcMar>
            <w:vAlign w:val="center"/>
          </w:tcPr>
          <w:p w14:paraId="742B4E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47.4</w:t>
            </w:r>
          </w:p>
        </w:tc>
        <w:tc>
          <w:tcPr>
            <w:tcW w:w="1244" w:type="dxa"/>
            <w:tcMar>
              <w:top w:w="80" w:type="nil"/>
              <w:left w:w="80" w:type="nil"/>
              <w:bottom w:w="40" w:type="nil"/>
              <w:right w:w="80" w:type="nil"/>
            </w:tcMar>
            <w:vAlign w:val="center"/>
          </w:tcPr>
          <w:p w14:paraId="3C7299C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47.6</w:t>
            </w:r>
          </w:p>
        </w:tc>
      </w:tr>
      <w:tr w:rsidR="008A5243" w14:paraId="50A658F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F44608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D378E3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5758450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743.7</w:t>
            </w:r>
          </w:p>
        </w:tc>
        <w:tc>
          <w:tcPr>
            <w:tcW w:w="2344" w:type="dxa"/>
            <w:tcMar>
              <w:top w:w="80" w:type="nil"/>
              <w:left w:w="80" w:type="nil"/>
              <w:bottom w:w="40" w:type="nil"/>
              <w:right w:w="80" w:type="nil"/>
            </w:tcMar>
            <w:vAlign w:val="center"/>
          </w:tcPr>
          <w:p w14:paraId="705CDE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0.35</w:t>
            </w:r>
          </w:p>
        </w:tc>
        <w:tc>
          <w:tcPr>
            <w:tcW w:w="3111" w:type="dxa"/>
            <w:tcMar>
              <w:top w:w="80" w:type="nil"/>
              <w:left w:w="80" w:type="nil"/>
              <w:bottom w:w="40" w:type="nil"/>
              <w:right w:w="80" w:type="nil"/>
            </w:tcMar>
            <w:vAlign w:val="center"/>
          </w:tcPr>
          <w:p w14:paraId="35BFA7F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63</w:t>
            </w:r>
          </w:p>
        </w:tc>
        <w:tc>
          <w:tcPr>
            <w:tcW w:w="1033" w:type="dxa"/>
            <w:tcMar>
              <w:top w:w="80" w:type="nil"/>
              <w:left w:w="80" w:type="nil"/>
              <w:bottom w:w="40" w:type="nil"/>
              <w:right w:w="80" w:type="nil"/>
            </w:tcMar>
            <w:vAlign w:val="center"/>
          </w:tcPr>
          <w:p w14:paraId="149C53C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56.3</w:t>
            </w:r>
          </w:p>
        </w:tc>
        <w:tc>
          <w:tcPr>
            <w:tcW w:w="1244" w:type="dxa"/>
            <w:tcMar>
              <w:top w:w="80" w:type="nil"/>
              <w:left w:w="80" w:type="nil"/>
              <w:bottom w:w="40" w:type="nil"/>
              <w:right w:w="80" w:type="nil"/>
            </w:tcMar>
            <w:vAlign w:val="center"/>
          </w:tcPr>
          <w:p w14:paraId="4C46BBF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55.0</w:t>
            </w:r>
          </w:p>
        </w:tc>
      </w:tr>
      <w:tr w:rsidR="008A5243" w14:paraId="2FB7CD6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8B09C5B"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A6B1C9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0A35667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717.2</w:t>
            </w:r>
          </w:p>
        </w:tc>
        <w:tc>
          <w:tcPr>
            <w:tcW w:w="2344" w:type="dxa"/>
            <w:tcMar>
              <w:top w:w="80" w:type="nil"/>
              <w:left w:w="80" w:type="nil"/>
              <w:bottom w:w="40" w:type="nil"/>
              <w:right w:w="80" w:type="nil"/>
            </w:tcMar>
            <w:vAlign w:val="center"/>
          </w:tcPr>
          <w:p w14:paraId="3DA7A16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-0.68</w:t>
            </w:r>
          </w:p>
        </w:tc>
        <w:tc>
          <w:tcPr>
            <w:tcW w:w="3111" w:type="dxa"/>
            <w:tcMar>
              <w:top w:w="80" w:type="nil"/>
              <w:left w:w="80" w:type="nil"/>
              <w:bottom w:w="40" w:type="nil"/>
              <w:right w:w="80" w:type="nil"/>
            </w:tcMar>
            <w:vAlign w:val="center"/>
          </w:tcPr>
          <w:p w14:paraId="62E756D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27</w:t>
            </w:r>
          </w:p>
        </w:tc>
        <w:tc>
          <w:tcPr>
            <w:tcW w:w="1033" w:type="dxa"/>
            <w:tcMar>
              <w:top w:w="80" w:type="nil"/>
              <w:left w:w="80" w:type="nil"/>
              <w:bottom w:w="40" w:type="nil"/>
              <w:right w:w="80" w:type="nil"/>
            </w:tcMar>
            <w:vAlign w:val="center"/>
          </w:tcPr>
          <w:p w14:paraId="5FFB43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48.8</w:t>
            </w:r>
          </w:p>
        </w:tc>
        <w:tc>
          <w:tcPr>
            <w:tcW w:w="1244" w:type="dxa"/>
            <w:tcMar>
              <w:top w:w="80" w:type="nil"/>
              <w:left w:w="80" w:type="nil"/>
              <w:bottom w:w="40" w:type="nil"/>
              <w:right w:w="80" w:type="nil"/>
            </w:tcMar>
            <w:vAlign w:val="center"/>
          </w:tcPr>
          <w:p w14:paraId="456ADD4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50.1</w:t>
            </w:r>
          </w:p>
        </w:tc>
      </w:tr>
      <w:tr w:rsidR="008A5243" w14:paraId="3D322A1D"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394EBAE3"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1C6456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Borders>
              <w:bottom w:val="single" w:sz="16" w:space="0" w:color="6D6D6D"/>
            </w:tcBorders>
            <w:tcMar>
              <w:top w:w="80" w:type="nil"/>
              <w:left w:w="80" w:type="nil"/>
              <w:bottom w:w="40" w:type="nil"/>
              <w:right w:w="80" w:type="nil"/>
            </w:tcMar>
            <w:vAlign w:val="center"/>
          </w:tcPr>
          <w:p w14:paraId="504CDF0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728.1</w:t>
            </w:r>
          </w:p>
        </w:tc>
        <w:tc>
          <w:tcPr>
            <w:tcW w:w="2344" w:type="dxa"/>
            <w:tcBorders>
              <w:bottom w:val="single" w:sz="16" w:space="0" w:color="6D6D6D"/>
            </w:tcBorders>
            <w:tcMar>
              <w:top w:w="80" w:type="nil"/>
              <w:left w:w="80" w:type="nil"/>
              <w:bottom w:w="40" w:type="nil"/>
              <w:right w:w="80" w:type="nil"/>
            </w:tcMar>
            <w:vAlign w:val="center"/>
          </w:tcPr>
          <w:p w14:paraId="30145E2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-0.26</w:t>
            </w:r>
          </w:p>
        </w:tc>
        <w:tc>
          <w:tcPr>
            <w:tcW w:w="3111" w:type="dxa"/>
            <w:tcBorders>
              <w:bottom w:val="single" w:sz="16" w:space="0" w:color="6D6D6D"/>
            </w:tcBorders>
            <w:tcMar>
              <w:top w:w="80" w:type="nil"/>
              <w:left w:w="80" w:type="nil"/>
              <w:bottom w:w="40" w:type="nil"/>
              <w:right w:w="80" w:type="nil"/>
            </w:tcMar>
            <w:vAlign w:val="center"/>
          </w:tcPr>
          <w:p w14:paraId="186D569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w:t>
            </w:r>
          </w:p>
        </w:tc>
        <w:tc>
          <w:tcPr>
            <w:tcW w:w="1033" w:type="dxa"/>
            <w:tcBorders>
              <w:bottom w:val="single" w:sz="16" w:space="0" w:color="6D6D6D"/>
            </w:tcBorders>
            <w:tcMar>
              <w:top w:w="80" w:type="nil"/>
              <w:left w:w="80" w:type="nil"/>
              <w:bottom w:w="40" w:type="nil"/>
              <w:right w:w="80" w:type="nil"/>
            </w:tcMar>
            <w:vAlign w:val="center"/>
          </w:tcPr>
          <w:p w14:paraId="359E9BF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52.0</w:t>
            </w:r>
          </w:p>
        </w:tc>
        <w:tc>
          <w:tcPr>
            <w:tcW w:w="1244" w:type="dxa"/>
            <w:tcBorders>
              <w:bottom w:val="single" w:sz="16" w:space="0" w:color="6D6D6D"/>
            </w:tcBorders>
            <w:tcMar>
              <w:top w:w="80" w:type="nil"/>
              <w:left w:w="80" w:type="nil"/>
              <w:bottom w:w="40" w:type="nil"/>
              <w:right w:w="80" w:type="nil"/>
            </w:tcMar>
            <w:vAlign w:val="center"/>
          </w:tcPr>
          <w:p w14:paraId="20D241C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51.9</w:t>
            </w:r>
          </w:p>
        </w:tc>
      </w:tr>
    </w:tbl>
    <w:p w14:paraId="48866490"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5AE78551"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66CCD3D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13:</w:t>
            </w:r>
            <w:r>
              <w:rPr>
                <w:rFonts w:ascii="Arial" w:hAnsi="Arial" w:cs="Arial"/>
                <w:sz w:val="26"/>
                <w:szCs w:val="26"/>
                <w:u w:color="0000E9"/>
              </w:rPr>
              <w:t xml:space="preserve"> Spring 2016 Typical Prior Achievement and Growth by State: Algebra I</w:t>
            </w:r>
          </w:p>
        </w:tc>
      </w:tr>
      <w:tr w:rsidR="008A5243" w14:paraId="29632229"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7EF266B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Most Recent Prior</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345A6E37"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0C430CA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0348050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7CF5D281"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7D998D75"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06D4B652"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0FB32FC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B22457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 Grade 6</w:t>
            </w:r>
          </w:p>
        </w:tc>
        <w:tc>
          <w:tcPr>
            <w:tcW w:w="635" w:type="dxa"/>
            <w:tcMar>
              <w:top w:w="80" w:type="nil"/>
              <w:left w:w="80" w:type="nil"/>
              <w:bottom w:w="40" w:type="nil"/>
              <w:right w:w="80" w:type="nil"/>
            </w:tcMar>
            <w:vAlign w:val="center"/>
          </w:tcPr>
          <w:p w14:paraId="4CD037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6AE2B6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769.2</w:t>
            </w:r>
          </w:p>
        </w:tc>
        <w:tc>
          <w:tcPr>
            <w:tcW w:w="2344" w:type="dxa"/>
            <w:tcMar>
              <w:top w:w="80" w:type="nil"/>
              <w:left w:w="80" w:type="nil"/>
              <w:bottom w:w="40" w:type="nil"/>
              <w:right w:w="80" w:type="nil"/>
            </w:tcMar>
            <w:vAlign w:val="center"/>
          </w:tcPr>
          <w:p w14:paraId="1683532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1.14</w:t>
            </w:r>
          </w:p>
        </w:tc>
        <w:tc>
          <w:tcPr>
            <w:tcW w:w="3111" w:type="dxa"/>
            <w:tcMar>
              <w:top w:w="80" w:type="nil"/>
              <w:left w:w="80" w:type="nil"/>
              <w:bottom w:w="40" w:type="nil"/>
              <w:right w:w="80" w:type="nil"/>
            </w:tcMar>
            <w:vAlign w:val="center"/>
          </w:tcPr>
          <w:p w14:paraId="471A2E6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86</w:t>
            </w:r>
          </w:p>
        </w:tc>
        <w:tc>
          <w:tcPr>
            <w:tcW w:w="1033" w:type="dxa"/>
            <w:tcMar>
              <w:top w:w="80" w:type="nil"/>
              <w:left w:w="80" w:type="nil"/>
              <w:bottom w:w="40" w:type="nil"/>
              <w:right w:w="80" w:type="nil"/>
            </w:tcMar>
            <w:vAlign w:val="center"/>
          </w:tcPr>
          <w:p w14:paraId="5273DFF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55.1</w:t>
            </w:r>
          </w:p>
        </w:tc>
        <w:tc>
          <w:tcPr>
            <w:tcW w:w="1244" w:type="dxa"/>
            <w:tcMar>
              <w:top w:w="80" w:type="nil"/>
              <w:left w:w="80" w:type="nil"/>
              <w:bottom w:w="40" w:type="nil"/>
              <w:right w:w="80" w:type="nil"/>
            </w:tcMar>
            <w:vAlign w:val="center"/>
          </w:tcPr>
          <w:p w14:paraId="4263F4C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56.2</w:t>
            </w:r>
          </w:p>
        </w:tc>
      </w:tr>
      <w:tr w:rsidR="008A5243" w14:paraId="4DD15466"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83D57FC"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46545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0C1C898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780.8</w:t>
            </w:r>
          </w:p>
        </w:tc>
        <w:tc>
          <w:tcPr>
            <w:tcW w:w="2344" w:type="dxa"/>
            <w:tcMar>
              <w:top w:w="80" w:type="nil"/>
              <w:left w:w="80" w:type="nil"/>
              <w:bottom w:w="40" w:type="nil"/>
              <w:right w:w="80" w:type="nil"/>
            </w:tcMar>
            <w:vAlign w:val="center"/>
          </w:tcPr>
          <w:p w14:paraId="3DD4A4E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1.55</w:t>
            </w:r>
          </w:p>
        </w:tc>
        <w:tc>
          <w:tcPr>
            <w:tcW w:w="3111" w:type="dxa"/>
            <w:tcMar>
              <w:top w:w="80" w:type="nil"/>
              <w:left w:w="80" w:type="nil"/>
              <w:bottom w:w="40" w:type="nil"/>
              <w:right w:w="80" w:type="nil"/>
            </w:tcMar>
            <w:vAlign w:val="center"/>
          </w:tcPr>
          <w:p w14:paraId="21C7403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93</w:t>
            </w:r>
          </w:p>
        </w:tc>
        <w:tc>
          <w:tcPr>
            <w:tcW w:w="1033" w:type="dxa"/>
            <w:tcMar>
              <w:top w:w="80" w:type="nil"/>
              <w:left w:w="80" w:type="nil"/>
              <w:bottom w:w="40" w:type="nil"/>
              <w:right w:w="80" w:type="nil"/>
            </w:tcMar>
            <w:vAlign w:val="center"/>
          </w:tcPr>
          <w:p w14:paraId="73F708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36.1</w:t>
            </w:r>
          </w:p>
        </w:tc>
        <w:tc>
          <w:tcPr>
            <w:tcW w:w="1244" w:type="dxa"/>
            <w:tcMar>
              <w:top w:w="80" w:type="nil"/>
              <w:left w:w="80" w:type="nil"/>
              <w:bottom w:w="40" w:type="nil"/>
              <w:right w:w="80" w:type="nil"/>
            </w:tcMar>
            <w:vAlign w:val="center"/>
          </w:tcPr>
          <w:p w14:paraId="67128DA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35.6</w:t>
            </w:r>
          </w:p>
        </w:tc>
      </w:tr>
      <w:tr w:rsidR="008A5243" w14:paraId="07D076C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29FBC3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505AC0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75A48A9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791.0</w:t>
            </w:r>
          </w:p>
        </w:tc>
        <w:tc>
          <w:tcPr>
            <w:tcW w:w="2344" w:type="dxa"/>
            <w:tcMar>
              <w:top w:w="80" w:type="nil"/>
              <w:left w:w="80" w:type="nil"/>
              <w:bottom w:w="40" w:type="nil"/>
              <w:right w:w="80" w:type="nil"/>
            </w:tcMar>
            <w:vAlign w:val="center"/>
          </w:tcPr>
          <w:p w14:paraId="44658FC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1.91</w:t>
            </w:r>
          </w:p>
        </w:tc>
        <w:tc>
          <w:tcPr>
            <w:tcW w:w="3111" w:type="dxa"/>
            <w:tcMar>
              <w:top w:w="80" w:type="nil"/>
              <w:left w:w="80" w:type="nil"/>
              <w:bottom w:w="40" w:type="nil"/>
              <w:right w:w="80" w:type="nil"/>
            </w:tcMar>
            <w:vAlign w:val="center"/>
          </w:tcPr>
          <w:p w14:paraId="074AC0A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97</w:t>
            </w:r>
          </w:p>
        </w:tc>
        <w:tc>
          <w:tcPr>
            <w:tcW w:w="1033" w:type="dxa"/>
            <w:tcMar>
              <w:top w:w="80" w:type="nil"/>
              <w:left w:w="80" w:type="nil"/>
              <w:bottom w:w="40" w:type="nil"/>
              <w:right w:w="80" w:type="nil"/>
            </w:tcMar>
            <w:vAlign w:val="center"/>
          </w:tcPr>
          <w:p w14:paraId="59CDB9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52.7</w:t>
            </w:r>
          </w:p>
        </w:tc>
        <w:tc>
          <w:tcPr>
            <w:tcW w:w="1244" w:type="dxa"/>
            <w:tcMar>
              <w:top w:w="80" w:type="nil"/>
              <w:left w:w="80" w:type="nil"/>
              <w:bottom w:w="40" w:type="nil"/>
              <w:right w:w="80" w:type="nil"/>
            </w:tcMar>
            <w:vAlign w:val="center"/>
          </w:tcPr>
          <w:p w14:paraId="444AE21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51.3</w:t>
            </w:r>
          </w:p>
        </w:tc>
      </w:tr>
      <w:tr w:rsidR="008A5243" w14:paraId="4BE99B4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368A1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 Grade 7</w:t>
            </w:r>
          </w:p>
        </w:tc>
        <w:tc>
          <w:tcPr>
            <w:tcW w:w="635" w:type="dxa"/>
            <w:tcMar>
              <w:top w:w="80" w:type="nil"/>
              <w:left w:w="80" w:type="nil"/>
              <w:bottom w:w="40" w:type="nil"/>
              <w:right w:w="80" w:type="nil"/>
            </w:tcMar>
            <w:vAlign w:val="center"/>
          </w:tcPr>
          <w:p w14:paraId="3FFF1DF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392D876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753.2</w:t>
            </w:r>
          </w:p>
        </w:tc>
        <w:tc>
          <w:tcPr>
            <w:tcW w:w="2344" w:type="dxa"/>
            <w:tcMar>
              <w:top w:w="80" w:type="nil"/>
              <w:left w:w="80" w:type="nil"/>
              <w:bottom w:w="40" w:type="nil"/>
              <w:right w:w="80" w:type="nil"/>
            </w:tcMar>
            <w:vAlign w:val="center"/>
          </w:tcPr>
          <w:p w14:paraId="22AFC8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0.72</w:t>
            </w:r>
          </w:p>
        </w:tc>
        <w:tc>
          <w:tcPr>
            <w:tcW w:w="3111" w:type="dxa"/>
            <w:tcMar>
              <w:top w:w="80" w:type="nil"/>
              <w:left w:w="80" w:type="nil"/>
              <w:bottom w:w="40" w:type="nil"/>
              <w:right w:w="80" w:type="nil"/>
            </w:tcMar>
            <w:vAlign w:val="center"/>
          </w:tcPr>
          <w:p w14:paraId="4C9B0B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w:t>
            </w:r>
          </w:p>
        </w:tc>
        <w:tc>
          <w:tcPr>
            <w:tcW w:w="1033" w:type="dxa"/>
            <w:tcMar>
              <w:top w:w="80" w:type="nil"/>
              <w:left w:w="80" w:type="nil"/>
              <w:bottom w:w="40" w:type="nil"/>
              <w:right w:w="80" w:type="nil"/>
            </w:tcMar>
            <w:vAlign w:val="center"/>
          </w:tcPr>
          <w:p w14:paraId="7319854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48.6</w:t>
            </w:r>
          </w:p>
        </w:tc>
        <w:tc>
          <w:tcPr>
            <w:tcW w:w="1244" w:type="dxa"/>
            <w:tcMar>
              <w:top w:w="80" w:type="nil"/>
              <w:left w:w="80" w:type="nil"/>
              <w:bottom w:w="40" w:type="nil"/>
              <w:right w:w="80" w:type="nil"/>
            </w:tcMar>
            <w:vAlign w:val="center"/>
          </w:tcPr>
          <w:p w14:paraId="351A45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48.7</w:t>
            </w:r>
          </w:p>
        </w:tc>
      </w:tr>
      <w:tr w:rsidR="008A5243" w14:paraId="3680A19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5BF6500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368EB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3B22F1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745.9</w:t>
            </w:r>
          </w:p>
        </w:tc>
        <w:tc>
          <w:tcPr>
            <w:tcW w:w="2344" w:type="dxa"/>
            <w:tcMar>
              <w:top w:w="80" w:type="nil"/>
              <w:left w:w="80" w:type="nil"/>
              <w:bottom w:w="40" w:type="nil"/>
              <w:right w:w="80" w:type="nil"/>
            </w:tcMar>
            <w:vAlign w:val="center"/>
          </w:tcPr>
          <w:p w14:paraId="46A6C99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0.44</w:t>
            </w:r>
          </w:p>
        </w:tc>
        <w:tc>
          <w:tcPr>
            <w:tcW w:w="3111" w:type="dxa"/>
            <w:tcMar>
              <w:top w:w="80" w:type="nil"/>
              <w:left w:w="80" w:type="nil"/>
              <w:bottom w:w="40" w:type="nil"/>
              <w:right w:w="80" w:type="nil"/>
            </w:tcMar>
            <w:vAlign w:val="center"/>
          </w:tcPr>
          <w:p w14:paraId="078F7E5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26EDBD9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56.1</w:t>
            </w:r>
          </w:p>
        </w:tc>
        <w:tc>
          <w:tcPr>
            <w:tcW w:w="1244" w:type="dxa"/>
            <w:tcMar>
              <w:top w:w="80" w:type="nil"/>
              <w:left w:w="80" w:type="nil"/>
              <w:bottom w:w="40" w:type="nil"/>
              <w:right w:w="80" w:type="nil"/>
            </w:tcMar>
            <w:vAlign w:val="center"/>
          </w:tcPr>
          <w:p w14:paraId="098E633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57.2</w:t>
            </w:r>
          </w:p>
        </w:tc>
      </w:tr>
      <w:tr w:rsidR="008A5243" w14:paraId="1E1F0D7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FC35C8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04C1252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00BBCE2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757.0</w:t>
            </w:r>
          </w:p>
        </w:tc>
        <w:tc>
          <w:tcPr>
            <w:tcW w:w="2344" w:type="dxa"/>
            <w:tcMar>
              <w:top w:w="80" w:type="nil"/>
              <w:left w:w="80" w:type="nil"/>
              <w:bottom w:w="40" w:type="nil"/>
              <w:right w:w="80" w:type="nil"/>
            </w:tcMar>
            <w:vAlign w:val="center"/>
          </w:tcPr>
          <w:p w14:paraId="3FE02E0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0.87</w:t>
            </w:r>
          </w:p>
        </w:tc>
        <w:tc>
          <w:tcPr>
            <w:tcW w:w="3111" w:type="dxa"/>
            <w:tcMar>
              <w:top w:w="80" w:type="nil"/>
              <w:left w:w="80" w:type="nil"/>
              <w:bottom w:w="40" w:type="nil"/>
              <w:right w:w="80" w:type="nil"/>
            </w:tcMar>
            <w:vAlign w:val="center"/>
          </w:tcPr>
          <w:p w14:paraId="165241B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79</w:t>
            </w:r>
          </w:p>
        </w:tc>
        <w:tc>
          <w:tcPr>
            <w:tcW w:w="1033" w:type="dxa"/>
            <w:tcMar>
              <w:top w:w="80" w:type="nil"/>
              <w:left w:w="80" w:type="nil"/>
              <w:bottom w:w="40" w:type="nil"/>
              <w:right w:w="80" w:type="nil"/>
            </w:tcMar>
            <w:vAlign w:val="center"/>
          </w:tcPr>
          <w:p w14:paraId="6CB0153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47.3</w:t>
            </w:r>
          </w:p>
        </w:tc>
        <w:tc>
          <w:tcPr>
            <w:tcW w:w="1244" w:type="dxa"/>
            <w:tcMar>
              <w:top w:w="80" w:type="nil"/>
              <w:left w:w="80" w:type="nil"/>
              <w:bottom w:w="40" w:type="nil"/>
              <w:right w:w="80" w:type="nil"/>
            </w:tcMar>
            <w:vAlign w:val="center"/>
          </w:tcPr>
          <w:p w14:paraId="3A2AFC5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47.0</w:t>
            </w:r>
          </w:p>
        </w:tc>
      </w:tr>
      <w:tr w:rsidR="008A5243" w14:paraId="77D3EB8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853633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2132E6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54E7AF9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756.7</w:t>
            </w:r>
          </w:p>
        </w:tc>
        <w:tc>
          <w:tcPr>
            <w:tcW w:w="2344" w:type="dxa"/>
            <w:tcMar>
              <w:top w:w="80" w:type="nil"/>
              <w:left w:w="80" w:type="nil"/>
              <w:bottom w:w="40" w:type="nil"/>
              <w:right w:w="80" w:type="nil"/>
            </w:tcMar>
            <w:vAlign w:val="center"/>
          </w:tcPr>
          <w:p w14:paraId="5748C21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0.86</w:t>
            </w:r>
          </w:p>
        </w:tc>
        <w:tc>
          <w:tcPr>
            <w:tcW w:w="3111" w:type="dxa"/>
            <w:tcMar>
              <w:top w:w="80" w:type="nil"/>
              <w:left w:w="80" w:type="nil"/>
              <w:bottom w:w="40" w:type="nil"/>
              <w:right w:w="80" w:type="nil"/>
            </w:tcMar>
            <w:vAlign w:val="center"/>
          </w:tcPr>
          <w:p w14:paraId="1D4BFF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78</w:t>
            </w:r>
          </w:p>
        </w:tc>
        <w:tc>
          <w:tcPr>
            <w:tcW w:w="1033" w:type="dxa"/>
            <w:tcMar>
              <w:top w:w="80" w:type="nil"/>
              <w:left w:w="80" w:type="nil"/>
              <w:bottom w:w="40" w:type="nil"/>
              <w:right w:w="80" w:type="nil"/>
            </w:tcMar>
            <w:vAlign w:val="center"/>
          </w:tcPr>
          <w:p w14:paraId="07A5C05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43.2</w:t>
            </w:r>
          </w:p>
        </w:tc>
        <w:tc>
          <w:tcPr>
            <w:tcW w:w="1244" w:type="dxa"/>
            <w:tcMar>
              <w:top w:w="80" w:type="nil"/>
              <w:left w:w="80" w:type="nil"/>
              <w:bottom w:w="40" w:type="nil"/>
              <w:right w:w="80" w:type="nil"/>
            </w:tcMar>
            <w:vAlign w:val="center"/>
          </w:tcPr>
          <w:p w14:paraId="7CD0F85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42.8</w:t>
            </w:r>
          </w:p>
        </w:tc>
      </w:tr>
      <w:tr w:rsidR="008A5243" w14:paraId="059DE5C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800B195"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6DA9528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F</w:t>
            </w:r>
          </w:p>
        </w:tc>
        <w:tc>
          <w:tcPr>
            <w:tcW w:w="2332" w:type="dxa"/>
            <w:tcMar>
              <w:top w:w="80" w:type="nil"/>
              <w:left w:w="80" w:type="nil"/>
              <w:bottom w:w="40" w:type="nil"/>
              <w:right w:w="80" w:type="nil"/>
            </w:tcMar>
            <w:vAlign w:val="center"/>
          </w:tcPr>
          <w:p w14:paraId="13CF139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768.0</w:t>
            </w:r>
          </w:p>
        </w:tc>
        <w:tc>
          <w:tcPr>
            <w:tcW w:w="2344" w:type="dxa"/>
            <w:tcMar>
              <w:top w:w="80" w:type="nil"/>
              <w:left w:w="80" w:type="nil"/>
              <w:bottom w:w="40" w:type="nil"/>
              <w:right w:w="80" w:type="nil"/>
            </w:tcMar>
            <w:vAlign w:val="center"/>
          </w:tcPr>
          <w:p w14:paraId="0A2FD4C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1.30</w:t>
            </w:r>
          </w:p>
        </w:tc>
        <w:tc>
          <w:tcPr>
            <w:tcW w:w="3111" w:type="dxa"/>
            <w:tcMar>
              <w:top w:w="80" w:type="nil"/>
              <w:left w:w="80" w:type="nil"/>
              <w:bottom w:w="40" w:type="nil"/>
              <w:right w:w="80" w:type="nil"/>
            </w:tcMar>
            <w:vAlign w:val="center"/>
          </w:tcPr>
          <w:p w14:paraId="6802F4B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88</w:t>
            </w:r>
          </w:p>
        </w:tc>
        <w:tc>
          <w:tcPr>
            <w:tcW w:w="1033" w:type="dxa"/>
            <w:tcMar>
              <w:top w:w="80" w:type="nil"/>
              <w:left w:w="80" w:type="nil"/>
              <w:bottom w:w="40" w:type="nil"/>
              <w:right w:w="80" w:type="nil"/>
            </w:tcMar>
            <w:vAlign w:val="center"/>
          </w:tcPr>
          <w:p w14:paraId="547203B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53.4</w:t>
            </w:r>
          </w:p>
        </w:tc>
        <w:tc>
          <w:tcPr>
            <w:tcW w:w="1244" w:type="dxa"/>
            <w:tcMar>
              <w:top w:w="80" w:type="nil"/>
              <w:left w:w="80" w:type="nil"/>
              <w:bottom w:w="40" w:type="nil"/>
              <w:right w:w="80" w:type="nil"/>
            </w:tcMar>
            <w:vAlign w:val="center"/>
          </w:tcPr>
          <w:p w14:paraId="35046B8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52.1</w:t>
            </w:r>
          </w:p>
        </w:tc>
      </w:tr>
      <w:tr w:rsidR="008A5243" w14:paraId="02F32FEE"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5858F17"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FCF1FE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0806A8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745.7</w:t>
            </w:r>
          </w:p>
        </w:tc>
        <w:tc>
          <w:tcPr>
            <w:tcW w:w="2344" w:type="dxa"/>
            <w:tcMar>
              <w:top w:w="80" w:type="nil"/>
              <w:left w:w="80" w:type="nil"/>
              <w:bottom w:w="40" w:type="nil"/>
              <w:right w:w="80" w:type="nil"/>
            </w:tcMar>
            <w:vAlign w:val="center"/>
          </w:tcPr>
          <w:p w14:paraId="028A2E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0.43</w:t>
            </w:r>
          </w:p>
        </w:tc>
        <w:tc>
          <w:tcPr>
            <w:tcW w:w="3111" w:type="dxa"/>
            <w:tcMar>
              <w:top w:w="80" w:type="nil"/>
              <w:left w:w="80" w:type="nil"/>
              <w:bottom w:w="40" w:type="nil"/>
              <w:right w:w="80" w:type="nil"/>
            </w:tcMar>
            <w:vAlign w:val="center"/>
          </w:tcPr>
          <w:p w14:paraId="0A3392D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77945C4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43.7</w:t>
            </w:r>
          </w:p>
        </w:tc>
        <w:tc>
          <w:tcPr>
            <w:tcW w:w="1244" w:type="dxa"/>
            <w:tcMar>
              <w:top w:w="80" w:type="nil"/>
              <w:left w:w="80" w:type="nil"/>
              <w:bottom w:w="40" w:type="nil"/>
              <w:right w:w="80" w:type="nil"/>
            </w:tcMar>
            <w:vAlign w:val="center"/>
          </w:tcPr>
          <w:p w14:paraId="11A5066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44.5</w:t>
            </w:r>
          </w:p>
        </w:tc>
      </w:tr>
      <w:tr w:rsidR="008A5243" w14:paraId="62E621A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6826BC4"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46D21C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39B5F5D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760.8</w:t>
            </w:r>
          </w:p>
        </w:tc>
        <w:tc>
          <w:tcPr>
            <w:tcW w:w="2344" w:type="dxa"/>
            <w:tcMar>
              <w:top w:w="80" w:type="nil"/>
              <w:left w:w="80" w:type="nil"/>
              <w:bottom w:w="40" w:type="nil"/>
              <w:right w:w="80" w:type="nil"/>
            </w:tcMar>
            <w:vAlign w:val="center"/>
          </w:tcPr>
          <w:p w14:paraId="14A5CA9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1.02</w:t>
            </w:r>
          </w:p>
        </w:tc>
        <w:tc>
          <w:tcPr>
            <w:tcW w:w="3111" w:type="dxa"/>
            <w:tcMar>
              <w:top w:w="80" w:type="nil"/>
              <w:left w:w="80" w:type="nil"/>
              <w:bottom w:w="40" w:type="nil"/>
              <w:right w:w="80" w:type="nil"/>
            </w:tcMar>
            <w:vAlign w:val="center"/>
          </w:tcPr>
          <w:p w14:paraId="375A029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82</w:t>
            </w:r>
          </w:p>
        </w:tc>
        <w:tc>
          <w:tcPr>
            <w:tcW w:w="1033" w:type="dxa"/>
            <w:tcMar>
              <w:top w:w="80" w:type="nil"/>
              <w:left w:w="80" w:type="nil"/>
              <w:bottom w:w="40" w:type="nil"/>
              <w:right w:w="80" w:type="nil"/>
            </w:tcMar>
            <w:vAlign w:val="center"/>
          </w:tcPr>
          <w:p w14:paraId="1322E8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c>
          <w:tcPr>
            <w:tcW w:w="1244" w:type="dxa"/>
            <w:tcMar>
              <w:top w:w="80" w:type="nil"/>
              <w:left w:w="80" w:type="nil"/>
              <w:bottom w:w="40" w:type="nil"/>
              <w:right w:w="80" w:type="nil"/>
            </w:tcMar>
            <w:vAlign w:val="center"/>
          </w:tcPr>
          <w:p w14:paraId="3D4D8B4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48.7</w:t>
            </w:r>
          </w:p>
        </w:tc>
      </w:tr>
      <w:tr w:rsidR="008A5243" w14:paraId="7AC3099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1A6CA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 Grade 8</w:t>
            </w:r>
          </w:p>
        </w:tc>
        <w:tc>
          <w:tcPr>
            <w:tcW w:w="635" w:type="dxa"/>
            <w:tcMar>
              <w:top w:w="80" w:type="nil"/>
              <w:left w:w="80" w:type="nil"/>
              <w:bottom w:w="40" w:type="nil"/>
              <w:right w:w="80" w:type="nil"/>
            </w:tcMar>
            <w:vAlign w:val="center"/>
          </w:tcPr>
          <w:p w14:paraId="66BC3C7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5E6803C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724.8</w:t>
            </w:r>
          </w:p>
        </w:tc>
        <w:tc>
          <w:tcPr>
            <w:tcW w:w="2344" w:type="dxa"/>
            <w:tcMar>
              <w:top w:w="80" w:type="nil"/>
              <w:left w:w="80" w:type="nil"/>
              <w:bottom w:w="40" w:type="nil"/>
              <w:right w:w="80" w:type="nil"/>
            </w:tcMar>
            <w:vAlign w:val="center"/>
          </w:tcPr>
          <w:p w14:paraId="576601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-0.11</w:t>
            </w:r>
          </w:p>
        </w:tc>
        <w:tc>
          <w:tcPr>
            <w:tcW w:w="3111" w:type="dxa"/>
            <w:tcMar>
              <w:top w:w="80" w:type="nil"/>
              <w:left w:w="80" w:type="nil"/>
              <w:bottom w:w="40" w:type="nil"/>
              <w:right w:w="80" w:type="nil"/>
            </w:tcMar>
            <w:vAlign w:val="center"/>
          </w:tcPr>
          <w:p w14:paraId="7F44F61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w:t>
            </w:r>
          </w:p>
        </w:tc>
        <w:tc>
          <w:tcPr>
            <w:tcW w:w="1033" w:type="dxa"/>
            <w:tcMar>
              <w:top w:w="80" w:type="nil"/>
              <w:left w:w="80" w:type="nil"/>
              <w:bottom w:w="40" w:type="nil"/>
              <w:right w:w="80" w:type="nil"/>
            </w:tcMar>
            <w:vAlign w:val="center"/>
          </w:tcPr>
          <w:p w14:paraId="13A0F02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48.8</w:t>
            </w:r>
          </w:p>
        </w:tc>
        <w:tc>
          <w:tcPr>
            <w:tcW w:w="1244" w:type="dxa"/>
            <w:tcMar>
              <w:top w:w="80" w:type="nil"/>
              <w:left w:w="80" w:type="nil"/>
              <w:bottom w:w="40" w:type="nil"/>
              <w:right w:w="80" w:type="nil"/>
            </w:tcMar>
            <w:vAlign w:val="center"/>
          </w:tcPr>
          <w:p w14:paraId="2029B2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48.4</w:t>
            </w:r>
          </w:p>
        </w:tc>
      </w:tr>
      <w:tr w:rsidR="008A5243" w14:paraId="718E153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754B71C"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801766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6B272C7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713.8</w:t>
            </w:r>
          </w:p>
        </w:tc>
        <w:tc>
          <w:tcPr>
            <w:tcW w:w="2344" w:type="dxa"/>
            <w:tcMar>
              <w:top w:w="80" w:type="nil"/>
              <w:left w:w="80" w:type="nil"/>
              <w:bottom w:w="40" w:type="nil"/>
              <w:right w:w="80" w:type="nil"/>
            </w:tcMar>
            <w:vAlign w:val="center"/>
          </w:tcPr>
          <w:p w14:paraId="58E1F18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-0.44</w:t>
            </w:r>
          </w:p>
        </w:tc>
        <w:tc>
          <w:tcPr>
            <w:tcW w:w="3111" w:type="dxa"/>
            <w:tcMar>
              <w:top w:w="80" w:type="nil"/>
              <w:left w:w="80" w:type="nil"/>
              <w:bottom w:w="40" w:type="nil"/>
              <w:right w:w="80" w:type="nil"/>
            </w:tcMar>
            <w:vAlign w:val="center"/>
          </w:tcPr>
          <w:p w14:paraId="6EFAA9B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w:t>
            </w:r>
          </w:p>
        </w:tc>
        <w:tc>
          <w:tcPr>
            <w:tcW w:w="1033" w:type="dxa"/>
            <w:tcMar>
              <w:top w:w="80" w:type="nil"/>
              <w:left w:w="80" w:type="nil"/>
              <w:bottom w:w="40" w:type="nil"/>
              <w:right w:w="80" w:type="nil"/>
            </w:tcMar>
            <w:vAlign w:val="center"/>
          </w:tcPr>
          <w:p w14:paraId="214DD91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53.6</w:t>
            </w:r>
          </w:p>
        </w:tc>
        <w:tc>
          <w:tcPr>
            <w:tcW w:w="1244" w:type="dxa"/>
            <w:tcMar>
              <w:top w:w="80" w:type="nil"/>
              <w:left w:w="80" w:type="nil"/>
              <w:bottom w:w="40" w:type="nil"/>
              <w:right w:w="80" w:type="nil"/>
            </w:tcMar>
            <w:vAlign w:val="center"/>
          </w:tcPr>
          <w:p w14:paraId="428E8B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54.4</w:t>
            </w:r>
          </w:p>
        </w:tc>
      </w:tr>
      <w:tr w:rsidR="008A5243" w14:paraId="308D703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2CFE3D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C65D1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592606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709.2</w:t>
            </w:r>
          </w:p>
        </w:tc>
        <w:tc>
          <w:tcPr>
            <w:tcW w:w="2344" w:type="dxa"/>
            <w:tcMar>
              <w:top w:w="80" w:type="nil"/>
              <w:left w:w="80" w:type="nil"/>
              <w:bottom w:w="40" w:type="nil"/>
              <w:right w:w="80" w:type="nil"/>
            </w:tcMar>
            <w:vAlign w:val="center"/>
          </w:tcPr>
          <w:p w14:paraId="22D1D13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-0.59</w:t>
            </w:r>
          </w:p>
        </w:tc>
        <w:tc>
          <w:tcPr>
            <w:tcW w:w="3111" w:type="dxa"/>
            <w:tcMar>
              <w:top w:w="80" w:type="nil"/>
              <w:left w:w="80" w:type="nil"/>
              <w:bottom w:w="40" w:type="nil"/>
              <w:right w:w="80" w:type="nil"/>
            </w:tcMar>
            <w:vAlign w:val="center"/>
          </w:tcPr>
          <w:p w14:paraId="66537B8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33</w:t>
            </w:r>
          </w:p>
        </w:tc>
        <w:tc>
          <w:tcPr>
            <w:tcW w:w="1033" w:type="dxa"/>
            <w:tcMar>
              <w:top w:w="80" w:type="nil"/>
              <w:left w:w="80" w:type="nil"/>
              <w:bottom w:w="40" w:type="nil"/>
              <w:right w:w="80" w:type="nil"/>
            </w:tcMar>
            <w:vAlign w:val="center"/>
          </w:tcPr>
          <w:p w14:paraId="2BB7AAE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40.7</w:t>
            </w:r>
          </w:p>
        </w:tc>
        <w:tc>
          <w:tcPr>
            <w:tcW w:w="1244" w:type="dxa"/>
            <w:tcMar>
              <w:top w:w="80" w:type="nil"/>
              <w:left w:w="80" w:type="nil"/>
              <w:bottom w:w="40" w:type="nil"/>
              <w:right w:w="80" w:type="nil"/>
            </w:tcMar>
            <w:vAlign w:val="center"/>
          </w:tcPr>
          <w:p w14:paraId="4023981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41.6</w:t>
            </w:r>
          </w:p>
        </w:tc>
      </w:tr>
      <w:tr w:rsidR="008A5243" w14:paraId="3A1FCE4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D178025"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99BD6D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7A8D05C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715.3</w:t>
            </w:r>
          </w:p>
        </w:tc>
        <w:tc>
          <w:tcPr>
            <w:tcW w:w="2344" w:type="dxa"/>
            <w:tcMar>
              <w:top w:w="80" w:type="nil"/>
              <w:left w:w="80" w:type="nil"/>
              <w:bottom w:w="40" w:type="nil"/>
              <w:right w:w="80" w:type="nil"/>
            </w:tcMar>
            <w:vAlign w:val="center"/>
          </w:tcPr>
          <w:p w14:paraId="0F23E58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-0.39</w:t>
            </w:r>
          </w:p>
        </w:tc>
        <w:tc>
          <w:tcPr>
            <w:tcW w:w="3111" w:type="dxa"/>
            <w:tcMar>
              <w:top w:w="80" w:type="nil"/>
              <w:left w:w="80" w:type="nil"/>
              <w:bottom w:w="40" w:type="nil"/>
              <w:right w:w="80" w:type="nil"/>
            </w:tcMar>
            <w:vAlign w:val="center"/>
          </w:tcPr>
          <w:p w14:paraId="6F287E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w:t>
            </w:r>
          </w:p>
        </w:tc>
        <w:tc>
          <w:tcPr>
            <w:tcW w:w="1033" w:type="dxa"/>
            <w:tcMar>
              <w:top w:w="80" w:type="nil"/>
              <w:left w:w="80" w:type="nil"/>
              <w:bottom w:w="40" w:type="nil"/>
              <w:right w:w="80" w:type="nil"/>
            </w:tcMar>
            <w:vAlign w:val="center"/>
          </w:tcPr>
          <w:p w14:paraId="7F9818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48.8</w:t>
            </w:r>
          </w:p>
        </w:tc>
        <w:tc>
          <w:tcPr>
            <w:tcW w:w="1244" w:type="dxa"/>
            <w:tcMar>
              <w:top w:w="80" w:type="nil"/>
              <w:left w:w="80" w:type="nil"/>
              <w:bottom w:w="40" w:type="nil"/>
              <w:right w:w="80" w:type="nil"/>
            </w:tcMar>
            <w:vAlign w:val="center"/>
          </w:tcPr>
          <w:p w14:paraId="08E7A7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49.4</w:t>
            </w:r>
          </w:p>
        </w:tc>
      </w:tr>
      <w:tr w:rsidR="008A5243" w14:paraId="5D1EAA0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13989CD"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768820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0F50E01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718.1</w:t>
            </w:r>
          </w:p>
        </w:tc>
        <w:tc>
          <w:tcPr>
            <w:tcW w:w="2344" w:type="dxa"/>
            <w:tcMar>
              <w:top w:w="80" w:type="nil"/>
              <w:left w:w="80" w:type="nil"/>
              <w:bottom w:w="40" w:type="nil"/>
              <w:right w:w="80" w:type="nil"/>
            </w:tcMar>
            <w:vAlign w:val="center"/>
          </w:tcPr>
          <w:p w14:paraId="2CB1D03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-0.31</w:t>
            </w:r>
          </w:p>
        </w:tc>
        <w:tc>
          <w:tcPr>
            <w:tcW w:w="3111" w:type="dxa"/>
            <w:tcMar>
              <w:top w:w="80" w:type="nil"/>
              <w:left w:w="80" w:type="nil"/>
              <w:bottom w:w="40" w:type="nil"/>
              <w:right w:w="80" w:type="nil"/>
            </w:tcMar>
            <w:vAlign w:val="center"/>
          </w:tcPr>
          <w:p w14:paraId="3C8E6DA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w:t>
            </w:r>
          </w:p>
        </w:tc>
        <w:tc>
          <w:tcPr>
            <w:tcW w:w="1033" w:type="dxa"/>
            <w:tcMar>
              <w:top w:w="80" w:type="nil"/>
              <w:left w:w="80" w:type="nil"/>
              <w:bottom w:w="40" w:type="nil"/>
              <w:right w:w="80" w:type="nil"/>
            </w:tcMar>
            <w:vAlign w:val="center"/>
          </w:tcPr>
          <w:p w14:paraId="3F109F8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47.8</w:t>
            </w:r>
          </w:p>
        </w:tc>
        <w:tc>
          <w:tcPr>
            <w:tcW w:w="1244" w:type="dxa"/>
            <w:tcMar>
              <w:top w:w="80" w:type="nil"/>
              <w:left w:w="80" w:type="nil"/>
              <w:bottom w:w="40" w:type="nil"/>
              <w:right w:w="80" w:type="nil"/>
            </w:tcMar>
            <w:vAlign w:val="center"/>
          </w:tcPr>
          <w:p w14:paraId="7BC55A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48.1</w:t>
            </w:r>
          </w:p>
        </w:tc>
      </w:tr>
      <w:tr w:rsidR="008A5243" w14:paraId="0C93CDC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C6CCD4A"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50C83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7C1AA3A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709.9</w:t>
            </w:r>
          </w:p>
        </w:tc>
        <w:tc>
          <w:tcPr>
            <w:tcW w:w="2344" w:type="dxa"/>
            <w:tcMar>
              <w:top w:w="80" w:type="nil"/>
              <w:left w:w="80" w:type="nil"/>
              <w:bottom w:w="40" w:type="nil"/>
              <w:right w:w="80" w:type="nil"/>
            </w:tcMar>
            <w:vAlign w:val="center"/>
          </w:tcPr>
          <w:p w14:paraId="2505C47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-0.56</w:t>
            </w:r>
          </w:p>
        </w:tc>
        <w:tc>
          <w:tcPr>
            <w:tcW w:w="3111" w:type="dxa"/>
            <w:tcMar>
              <w:top w:w="80" w:type="nil"/>
              <w:left w:w="80" w:type="nil"/>
              <w:bottom w:w="40" w:type="nil"/>
              <w:right w:w="80" w:type="nil"/>
            </w:tcMar>
            <w:vAlign w:val="center"/>
          </w:tcPr>
          <w:p w14:paraId="694DFD7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34</w:t>
            </w:r>
          </w:p>
        </w:tc>
        <w:tc>
          <w:tcPr>
            <w:tcW w:w="1033" w:type="dxa"/>
            <w:tcMar>
              <w:top w:w="80" w:type="nil"/>
              <w:left w:w="80" w:type="nil"/>
              <w:bottom w:w="40" w:type="nil"/>
              <w:right w:w="80" w:type="nil"/>
            </w:tcMar>
            <w:vAlign w:val="center"/>
          </w:tcPr>
          <w:p w14:paraId="7002877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49.2</w:t>
            </w:r>
          </w:p>
        </w:tc>
        <w:tc>
          <w:tcPr>
            <w:tcW w:w="1244" w:type="dxa"/>
            <w:tcMar>
              <w:top w:w="80" w:type="nil"/>
              <w:left w:w="80" w:type="nil"/>
              <w:bottom w:w="40" w:type="nil"/>
              <w:right w:w="80" w:type="nil"/>
            </w:tcMar>
            <w:vAlign w:val="center"/>
          </w:tcPr>
          <w:p w14:paraId="2C13BF0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50.3</w:t>
            </w:r>
          </w:p>
        </w:tc>
      </w:tr>
      <w:tr w:rsidR="008A5243" w14:paraId="4F887CA4"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1D491BAA"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18B7053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Borders>
              <w:bottom w:val="single" w:sz="16" w:space="0" w:color="6D6D6D"/>
            </w:tcBorders>
            <w:tcMar>
              <w:top w:w="80" w:type="nil"/>
              <w:left w:w="80" w:type="nil"/>
              <w:bottom w:w="40" w:type="nil"/>
              <w:right w:w="80" w:type="nil"/>
            </w:tcMar>
            <w:vAlign w:val="center"/>
          </w:tcPr>
          <w:p w14:paraId="40504BF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727.3</w:t>
            </w:r>
          </w:p>
        </w:tc>
        <w:tc>
          <w:tcPr>
            <w:tcW w:w="2344" w:type="dxa"/>
            <w:tcBorders>
              <w:bottom w:val="single" w:sz="16" w:space="0" w:color="6D6D6D"/>
            </w:tcBorders>
            <w:tcMar>
              <w:top w:w="80" w:type="nil"/>
              <w:left w:w="80" w:type="nil"/>
              <w:bottom w:w="40" w:type="nil"/>
              <w:right w:w="80" w:type="nil"/>
            </w:tcMar>
            <w:vAlign w:val="center"/>
          </w:tcPr>
          <w:p w14:paraId="637E86D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-0.03</w:t>
            </w:r>
          </w:p>
        </w:tc>
        <w:tc>
          <w:tcPr>
            <w:tcW w:w="3111" w:type="dxa"/>
            <w:tcBorders>
              <w:bottom w:val="single" w:sz="16" w:space="0" w:color="6D6D6D"/>
            </w:tcBorders>
            <w:tcMar>
              <w:top w:w="80" w:type="nil"/>
              <w:left w:w="80" w:type="nil"/>
              <w:bottom w:w="40" w:type="nil"/>
              <w:right w:w="80" w:type="nil"/>
            </w:tcMar>
            <w:vAlign w:val="center"/>
          </w:tcPr>
          <w:p w14:paraId="0808A11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w:t>
            </w:r>
          </w:p>
        </w:tc>
        <w:tc>
          <w:tcPr>
            <w:tcW w:w="1033" w:type="dxa"/>
            <w:tcBorders>
              <w:bottom w:val="single" w:sz="16" w:space="0" w:color="6D6D6D"/>
            </w:tcBorders>
            <w:tcMar>
              <w:top w:w="80" w:type="nil"/>
              <w:left w:w="80" w:type="nil"/>
              <w:bottom w:w="40" w:type="nil"/>
              <w:right w:w="80" w:type="nil"/>
            </w:tcMar>
            <w:vAlign w:val="center"/>
          </w:tcPr>
          <w:p w14:paraId="4E1953F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50.9</w:t>
            </w:r>
          </w:p>
        </w:tc>
        <w:tc>
          <w:tcPr>
            <w:tcW w:w="1244" w:type="dxa"/>
            <w:tcBorders>
              <w:bottom w:val="single" w:sz="16" w:space="0" w:color="6D6D6D"/>
            </w:tcBorders>
            <w:tcMar>
              <w:top w:w="80" w:type="nil"/>
              <w:left w:w="80" w:type="nil"/>
              <w:bottom w:w="40" w:type="nil"/>
              <w:right w:w="80" w:type="nil"/>
            </w:tcMar>
            <w:vAlign w:val="center"/>
          </w:tcPr>
          <w:p w14:paraId="3CB6E55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50.1</w:t>
            </w:r>
          </w:p>
        </w:tc>
      </w:tr>
    </w:tbl>
    <w:p w14:paraId="4222711A" w14:textId="77777777" w:rsidR="008A5243" w:rsidRDefault="008A5243">
      <w:r>
        <w:br w:type="page"/>
      </w:r>
    </w:p>
    <w:tbl>
      <w:tblPr>
        <w:tblW w:w="12360" w:type="dxa"/>
        <w:tblInd w:w="-1224" w:type="dxa"/>
        <w:tblBorders>
          <w:top w:val="nil"/>
          <w:left w:val="nil"/>
          <w:right w:val="nil"/>
        </w:tblBorders>
        <w:tblLayout w:type="fixed"/>
        <w:tblLook w:val="0000" w:firstRow="0" w:lastRow="0" w:firstColumn="0" w:lastColumn="0" w:noHBand="0" w:noVBand="0"/>
      </w:tblPr>
      <w:tblGrid>
        <w:gridCol w:w="1661"/>
        <w:gridCol w:w="635"/>
        <w:gridCol w:w="2332"/>
        <w:gridCol w:w="2344"/>
        <w:gridCol w:w="3111"/>
        <w:gridCol w:w="1033"/>
        <w:gridCol w:w="1244"/>
      </w:tblGrid>
      <w:tr w:rsidR="008A5243" w14:paraId="13D6F706"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3E59BD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14:</w:t>
            </w:r>
            <w:r>
              <w:rPr>
                <w:rFonts w:ascii="Arial" w:hAnsi="Arial" w:cs="Arial"/>
                <w:sz w:val="26"/>
                <w:szCs w:val="26"/>
                <w:u w:color="0000E9"/>
              </w:rPr>
              <w:t xml:space="preserve"> Spring 2016 Typical Prior Achievement and Growth by State: Algebra II</w:t>
            </w:r>
          </w:p>
        </w:tc>
      </w:tr>
      <w:tr w:rsidR="008A5243" w14:paraId="4B4C110B"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38CF6C2F"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Most Recent Prior</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08761A1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35D3EE7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1E6F828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36F02DB8"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3716C52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7F967D26"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0F3F676C"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0369EC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635" w:type="dxa"/>
            <w:tcMar>
              <w:top w:w="80" w:type="nil"/>
              <w:left w:w="80" w:type="nil"/>
              <w:bottom w:w="40" w:type="nil"/>
              <w:right w:w="80" w:type="nil"/>
            </w:tcMar>
            <w:vAlign w:val="center"/>
          </w:tcPr>
          <w:p w14:paraId="0A74F7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44507B7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744.0</w:t>
            </w:r>
          </w:p>
        </w:tc>
        <w:tc>
          <w:tcPr>
            <w:tcW w:w="2344" w:type="dxa"/>
            <w:tcMar>
              <w:top w:w="80" w:type="nil"/>
              <w:left w:w="80" w:type="nil"/>
              <w:bottom w:w="40" w:type="nil"/>
              <w:right w:w="80" w:type="nil"/>
            </w:tcMar>
            <w:vAlign w:val="center"/>
          </w:tcPr>
          <w:p w14:paraId="5E9CE5A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0.35</w:t>
            </w:r>
          </w:p>
        </w:tc>
        <w:tc>
          <w:tcPr>
            <w:tcW w:w="3111" w:type="dxa"/>
            <w:tcMar>
              <w:top w:w="80" w:type="nil"/>
              <w:left w:w="80" w:type="nil"/>
              <w:bottom w:w="40" w:type="nil"/>
              <w:right w:w="80" w:type="nil"/>
            </w:tcMar>
            <w:vAlign w:val="center"/>
          </w:tcPr>
          <w:p w14:paraId="44235A0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58</w:t>
            </w:r>
          </w:p>
        </w:tc>
        <w:tc>
          <w:tcPr>
            <w:tcW w:w="1033" w:type="dxa"/>
            <w:tcMar>
              <w:top w:w="80" w:type="nil"/>
              <w:left w:w="80" w:type="nil"/>
              <w:bottom w:w="40" w:type="nil"/>
              <w:right w:w="80" w:type="nil"/>
            </w:tcMar>
            <w:vAlign w:val="center"/>
          </w:tcPr>
          <w:p w14:paraId="1B41FCB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c>
          <w:tcPr>
            <w:tcW w:w="1244" w:type="dxa"/>
            <w:tcMar>
              <w:top w:w="80" w:type="nil"/>
              <w:left w:w="80" w:type="nil"/>
              <w:bottom w:w="40" w:type="nil"/>
              <w:right w:w="80" w:type="nil"/>
            </w:tcMar>
            <w:vAlign w:val="center"/>
          </w:tcPr>
          <w:p w14:paraId="4D88AC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50.4</w:t>
            </w:r>
          </w:p>
        </w:tc>
      </w:tr>
      <w:tr w:rsidR="008A5243" w14:paraId="5FF25C4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E6F450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DB79FC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6879F37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726.4</w:t>
            </w:r>
          </w:p>
        </w:tc>
        <w:tc>
          <w:tcPr>
            <w:tcW w:w="2344" w:type="dxa"/>
            <w:tcMar>
              <w:top w:w="80" w:type="nil"/>
              <w:left w:w="80" w:type="nil"/>
              <w:bottom w:w="40" w:type="nil"/>
              <w:right w:w="80" w:type="nil"/>
            </w:tcMar>
            <w:vAlign w:val="center"/>
          </w:tcPr>
          <w:p w14:paraId="297D98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-0.24</w:t>
            </w:r>
          </w:p>
        </w:tc>
        <w:tc>
          <w:tcPr>
            <w:tcW w:w="3111" w:type="dxa"/>
            <w:tcMar>
              <w:top w:w="80" w:type="nil"/>
              <w:left w:w="80" w:type="nil"/>
              <w:bottom w:w="40" w:type="nil"/>
              <w:right w:w="80" w:type="nil"/>
            </w:tcMar>
            <w:vAlign w:val="center"/>
          </w:tcPr>
          <w:p w14:paraId="5255637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w:t>
            </w:r>
          </w:p>
        </w:tc>
        <w:tc>
          <w:tcPr>
            <w:tcW w:w="1033" w:type="dxa"/>
            <w:tcMar>
              <w:top w:w="80" w:type="nil"/>
              <w:left w:w="80" w:type="nil"/>
              <w:bottom w:w="40" w:type="nil"/>
              <w:right w:w="80" w:type="nil"/>
            </w:tcMar>
            <w:vAlign w:val="center"/>
          </w:tcPr>
          <w:p w14:paraId="30D63D5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46.4</w:t>
            </w:r>
          </w:p>
        </w:tc>
        <w:tc>
          <w:tcPr>
            <w:tcW w:w="1244" w:type="dxa"/>
            <w:tcMar>
              <w:top w:w="80" w:type="nil"/>
              <w:left w:w="80" w:type="nil"/>
              <w:bottom w:w="40" w:type="nil"/>
              <w:right w:w="80" w:type="nil"/>
            </w:tcMar>
            <w:vAlign w:val="center"/>
          </w:tcPr>
          <w:p w14:paraId="25FC6D1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48.1</w:t>
            </w:r>
          </w:p>
        </w:tc>
      </w:tr>
      <w:tr w:rsidR="008A5243" w14:paraId="645AFB8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FCA135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654AF6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69D997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752.1</w:t>
            </w:r>
          </w:p>
        </w:tc>
        <w:tc>
          <w:tcPr>
            <w:tcW w:w="2344" w:type="dxa"/>
            <w:tcMar>
              <w:top w:w="80" w:type="nil"/>
              <w:left w:w="80" w:type="nil"/>
              <w:bottom w:w="40" w:type="nil"/>
              <w:right w:w="80" w:type="nil"/>
            </w:tcMar>
            <w:vAlign w:val="center"/>
          </w:tcPr>
          <w:p w14:paraId="5BA6179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0.61</w:t>
            </w:r>
          </w:p>
        </w:tc>
        <w:tc>
          <w:tcPr>
            <w:tcW w:w="3111" w:type="dxa"/>
            <w:tcMar>
              <w:top w:w="80" w:type="nil"/>
              <w:left w:w="80" w:type="nil"/>
              <w:bottom w:w="40" w:type="nil"/>
              <w:right w:w="80" w:type="nil"/>
            </w:tcMar>
            <w:vAlign w:val="center"/>
          </w:tcPr>
          <w:p w14:paraId="0DE3FA6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66</w:t>
            </w:r>
          </w:p>
        </w:tc>
        <w:tc>
          <w:tcPr>
            <w:tcW w:w="1033" w:type="dxa"/>
            <w:tcMar>
              <w:top w:w="80" w:type="nil"/>
              <w:left w:w="80" w:type="nil"/>
              <w:bottom w:w="40" w:type="nil"/>
              <w:right w:w="80" w:type="nil"/>
            </w:tcMar>
            <w:vAlign w:val="center"/>
          </w:tcPr>
          <w:p w14:paraId="7E0A5FF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50.6</w:t>
            </w:r>
          </w:p>
        </w:tc>
        <w:tc>
          <w:tcPr>
            <w:tcW w:w="1244" w:type="dxa"/>
            <w:tcMar>
              <w:top w:w="80" w:type="nil"/>
              <w:left w:w="80" w:type="nil"/>
              <w:bottom w:w="40" w:type="nil"/>
              <w:right w:w="80" w:type="nil"/>
            </w:tcMar>
            <w:vAlign w:val="center"/>
          </w:tcPr>
          <w:p w14:paraId="6F106E0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50.3</w:t>
            </w:r>
          </w:p>
        </w:tc>
      </w:tr>
      <w:tr w:rsidR="008A5243" w14:paraId="58D35BA1"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16F7DC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Geometry</w:t>
            </w:r>
          </w:p>
        </w:tc>
        <w:tc>
          <w:tcPr>
            <w:tcW w:w="635" w:type="dxa"/>
            <w:tcMar>
              <w:top w:w="80" w:type="nil"/>
              <w:left w:w="80" w:type="nil"/>
              <w:bottom w:w="40" w:type="nil"/>
              <w:right w:w="80" w:type="nil"/>
            </w:tcMar>
            <w:vAlign w:val="center"/>
          </w:tcPr>
          <w:p w14:paraId="7D38DC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09780C6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767.8</w:t>
            </w:r>
          </w:p>
        </w:tc>
        <w:tc>
          <w:tcPr>
            <w:tcW w:w="2344" w:type="dxa"/>
            <w:tcMar>
              <w:top w:w="80" w:type="nil"/>
              <w:left w:w="80" w:type="nil"/>
              <w:bottom w:w="40" w:type="nil"/>
              <w:right w:w="80" w:type="nil"/>
            </w:tcMar>
            <w:vAlign w:val="center"/>
          </w:tcPr>
          <w:p w14:paraId="5D80C6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1.44</w:t>
            </w:r>
          </w:p>
        </w:tc>
        <w:tc>
          <w:tcPr>
            <w:tcW w:w="3111" w:type="dxa"/>
            <w:tcMar>
              <w:top w:w="80" w:type="nil"/>
              <w:left w:w="80" w:type="nil"/>
              <w:bottom w:w="40" w:type="nil"/>
              <w:right w:w="80" w:type="nil"/>
            </w:tcMar>
            <w:vAlign w:val="center"/>
          </w:tcPr>
          <w:p w14:paraId="305E2C7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92</w:t>
            </w:r>
          </w:p>
        </w:tc>
        <w:tc>
          <w:tcPr>
            <w:tcW w:w="1033" w:type="dxa"/>
            <w:tcMar>
              <w:top w:w="80" w:type="nil"/>
              <w:left w:w="80" w:type="nil"/>
              <w:bottom w:w="40" w:type="nil"/>
              <w:right w:w="80" w:type="nil"/>
            </w:tcMar>
            <w:vAlign w:val="center"/>
          </w:tcPr>
          <w:p w14:paraId="27DC2A7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41.7</w:t>
            </w:r>
          </w:p>
        </w:tc>
        <w:tc>
          <w:tcPr>
            <w:tcW w:w="1244" w:type="dxa"/>
            <w:tcMar>
              <w:top w:w="80" w:type="nil"/>
              <w:left w:w="80" w:type="nil"/>
              <w:bottom w:w="40" w:type="nil"/>
              <w:right w:w="80" w:type="nil"/>
            </w:tcMar>
            <w:vAlign w:val="center"/>
          </w:tcPr>
          <w:p w14:paraId="4457012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38.2</w:t>
            </w:r>
          </w:p>
        </w:tc>
      </w:tr>
      <w:tr w:rsidR="008A5243" w14:paraId="5909CC8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F6F0701"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216C913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5D0B11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726.1</w:t>
            </w:r>
          </w:p>
        </w:tc>
        <w:tc>
          <w:tcPr>
            <w:tcW w:w="2344" w:type="dxa"/>
            <w:tcMar>
              <w:top w:w="80" w:type="nil"/>
              <w:left w:w="80" w:type="nil"/>
              <w:bottom w:w="40" w:type="nil"/>
              <w:right w:w="80" w:type="nil"/>
            </w:tcMar>
            <w:vAlign w:val="center"/>
          </w:tcPr>
          <w:p w14:paraId="0CA053F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-0.21</w:t>
            </w:r>
          </w:p>
        </w:tc>
        <w:tc>
          <w:tcPr>
            <w:tcW w:w="3111" w:type="dxa"/>
            <w:tcMar>
              <w:top w:w="80" w:type="nil"/>
              <w:left w:w="80" w:type="nil"/>
              <w:bottom w:w="40" w:type="nil"/>
              <w:right w:w="80" w:type="nil"/>
            </w:tcMar>
            <w:vAlign w:val="center"/>
          </w:tcPr>
          <w:p w14:paraId="7DC1A3D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w:t>
            </w:r>
          </w:p>
        </w:tc>
        <w:tc>
          <w:tcPr>
            <w:tcW w:w="1033" w:type="dxa"/>
            <w:tcMar>
              <w:top w:w="80" w:type="nil"/>
              <w:left w:w="80" w:type="nil"/>
              <w:bottom w:w="40" w:type="nil"/>
              <w:right w:w="80" w:type="nil"/>
            </w:tcMar>
            <w:vAlign w:val="center"/>
          </w:tcPr>
          <w:p w14:paraId="08B72DA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48.1</w:t>
            </w:r>
          </w:p>
        </w:tc>
        <w:tc>
          <w:tcPr>
            <w:tcW w:w="1244" w:type="dxa"/>
            <w:tcMar>
              <w:top w:w="80" w:type="nil"/>
              <w:left w:w="80" w:type="nil"/>
              <w:bottom w:w="40" w:type="nil"/>
              <w:right w:w="80" w:type="nil"/>
            </w:tcMar>
            <w:vAlign w:val="center"/>
          </w:tcPr>
          <w:p w14:paraId="765FEC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48.2</w:t>
            </w:r>
          </w:p>
        </w:tc>
      </w:tr>
      <w:tr w:rsidR="008A5243" w14:paraId="7958A13B"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67F9188F"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A300F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00DEBE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729.9</w:t>
            </w:r>
          </w:p>
        </w:tc>
        <w:tc>
          <w:tcPr>
            <w:tcW w:w="2344" w:type="dxa"/>
            <w:tcMar>
              <w:top w:w="80" w:type="nil"/>
              <w:left w:w="80" w:type="nil"/>
              <w:bottom w:w="40" w:type="nil"/>
              <w:right w:w="80" w:type="nil"/>
            </w:tcMar>
            <w:vAlign w:val="center"/>
          </w:tcPr>
          <w:p w14:paraId="7C3572F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-0.07</w:t>
            </w:r>
          </w:p>
        </w:tc>
        <w:tc>
          <w:tcPr>
            <w:tcW w:w="3111" w:type="dxa"/>
            <w:tcMar>
              <w:top w:w="80" w:type="nil"/>
              <w:left w:w="80" w:type="nil"/>
              <w:bottom w:w="40" w:type="nil"/>
              <w:right w:w="80" w:type="nil"/>
            </w:tcMar>
            <w:vAlign w:val="center"/>
          </w:tcPr>
          <w:p w14:paraId="2988662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w:t>
            </w:r>
          </w:p>
        </w:tc>
        <w:tc>
          <w:tcPr>
            <w:tcW w:w="1033" w:type="dxa"/>
            <w:tcMar>
              <w:top w:w="80" w:type="nil"/>
              <w:left w:w="80" w:type="nil"/>
              <w:bottom w:w="40" w:type="nil"/>
              <w:right w:w="80" w:type="nil"/>
            </w:tcMar>
            <w:vAlign w:val="center"/>
          </w:tcPr>
          <w:p w14:paraId="70C354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50.8</w:t>
            </w:r>
          </w:p>
        </w:tc>
        <w:tc>
          <w:tcPr>
            <w:tcW w:w="1244" w:type="dxa"/>
            <w:tcMar>
              <w:top w:w="80" w:type="nil"/>
              <w:left w:w="80" w:type="nil"/>
              <w:bottom w:w="40" w:type="nil"/>
              <w:right w:w="80" w:type="nil"/>
            </w:tcMar>
            <w:vAlign w:val="center"/>
          </w:tcPr>
          <w:p w14:paraId="108FD7D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50.7</w:t>
            </w:r>
          </w:p>
        </w:tc>
      </w:tr>
      <w:tr w:rsidR="008A5243" w14:paraId="1EB2774D"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582E48D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 Grade 8</w:t>
            </w:r>
          </w:p>
        </w:tc>
        <w:tc>
          <w:tcPr>
            <w:tcW w:w="635" w:type="dxa"/>
            <w:tcBorders>
              <w:bottom w:val="single" w:sz="16" w:space="0" w:color="6D6D6D"/>
            </w:tcBorders>
            <w:tcMar>
              <w:top w:w="80" w:type="nil"/>
              <w:left w:w="80" w:type="nil"/>
              <w:bottom w:w="40" w:type="nil"/>
              <w:right w:w="80" w:type="nil"/>
            </w:tcMar>
            <w:vAlign w:val="center"/>
          </w:tcPr>
          <w:p w14:paraId="02AE775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Borders>
              <w:bottom w:val="single" w:sz="16" w:space="0" w:color="6D6D6D"/>
            </w:tcBorders>
            <w:tcMar>
              <w:top w:w="80" w:type="nil"/>
              <w:left w:w="80" w:type="nil"/>
              <w:bottom w:w="40" w:type="nil"/>
              <w:right w:w="80" w:type="nil"/>
            </w:tcMar>
            <w:vAlign w:val="center"/>
          </w:tcPr>
          <w:p w14:paraId="7A2526C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786.6</w:t>
            </w:r>
          </w:p>
        </w:tc>
        <w:tc>
          <w:tcPr>
            <w:tcW w:w="2344" w:type="dxa"/>
            <w:tcBorders>
              <w:bottom w:val="single" w:sz="16" w:space="0" w:color="6D6D6D"/>
            </w:tcBorders>
            <w:tcMar>
              <w:top w:w="80" w:type="nil"/>
              <w:left w:w="80" w:type="nil"/>
              <w:bottom w:w="40" w:type="nil"/>
              <w:right w:w="80" w:type="nil"/>
            </w:tcMar>
            <w:vAlign w:val="center"/>
          </w:tcPr>
          <w:p w14:paraId="7E4CDEB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1.74</w:t>
            </w:r>
          </w:p>
        </w:tc>
        <w:tc>
          <w:tcPr>
            <w:tcW w:w="3111" w:type="dxa"/>
            <w:tcBorders>
              <w:bottom w:val="single" w:sz="16" w:space="0" w:color="6D6D6D"/>
            </w:tcBorders>
            <w:tcMar>
              <w:top w:w="80" w:type="nil"/>
              <w:left w:w="80" w:type="nil"/>
              <w:bottom w:w="40" w:type="nil"/>
              <w:right w:w="80" w:type="nil"/>
            </w:tcMar>
            <w:vAlign w:val="center"/>
          </w:tcPr>
          <w:p w14:paraId="66099F3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98</w:t>
            </w:r>
          </w:p>
        </w:tc>
        <w:tc>
          <w:tcPr>
            <w:tcW w:w="1033" w:type="dxa"/>
            <w:tcBorders>
              <w:bottom w:val="single" w:sz="16" w:space="0" w:color="6D6D6D"/>
            </w:tcBorders>
            <w:tcMar>
              <w:top w:w="80" w:type="nil"/>
              <w:left w:w="80" w:type="nil"/>
              <w:bottom w:w="40" w:type="nil"/>
              <w:right w:w="80" w:type="nil"/>
            </w:tcMar>
            <w:vAlign w:val="center"/>
          </w:tcPr>
          <w:p w14:paraId="1A2F22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55.0</w:t>
            </w:r>
          </w:p>
        </w:tc>
        <w:tc>
          <w:tcPr>
            <w:tcW w:w="1244" w:type="dxa"/>
            <w:tcBorders>
              <w:bottom w:val="single" w:sz="16" w:space="0" w:color="6D6D6D"/>
            </w:tcBorders>
            <w:tcMar>
              <w:top w:w="80" w:type="nil"/>
              <w:left w:w="80" w:type="nil"/>
              <w:bottom w:w="40" w:type="nil"/>
              <w:right w:w="80" w:type="nil"/>
            </w:tcMar>
            <w:vAlign w:val="center"/>
          </w:tcPr>
          <w:p w14:paraId="1D53460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54.6</w:t>
            </w:r>
          </w:p>
        </w:tc>
      </w:tr>
      <w:tr w:rsidR="008A5243" w14:paraId="37FB1B41"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3F978902" w14:textId="77777777" w:rsidR="008A5243" w:rsidRDefault="008A5243">
            <w:pPr>
              <w:widowControl w:val="0"/>
              <w:autoSpaceDE w:val="0"/>
              <w:autoSpaceDN w:val="0"/>
              <w:adjustRightInd w:val="0"/>
              <w:rPr>
                <w:rFonts w:ascii="Arial" w:hAnsi="Arial" w:cs="Arial"/>
                <w:sz w:val="26"/>
                <w:szCs w:val="26"/>
                <w:u w:color="0000E9"/>
              </w:rPr>
            </w:pPr>
          </w:p>
          <w:p w14:paraId="336FE8DF" w14:textId="77777777" w:rsidR="008A5243" w:rsidRDefault="008A5243">
            <w:pPr>
              <w:widowControl w:val="0"/>
              <w:autoSpaceDE w:val="0"/>
              <w:autoSpaceDN w:val="0"/>
              <w:adjustRightInd w:val="0"/>
              <w:rPr>
                <w:rFonts w:ascii="Arial" w:hAnsi="Arial" w:cs="Arial"/>
                <w:sz w:val="26"/>
                <w:szCs w:val="26"/>
                <w:u w:color="0000E9"/>
              </w:rPr>
            </w:pPr>
          </w:p>
          <w:p w14:paraId="67457000" w14:textId="77777777" w:rsidR="008A5243" w:rsidRDefault="008A5243">
            <w:pPr>
              <w:widowControl w:val="0"/>
              <w:autoSpaceDE w:val="0"/>
              <w:autoSpaceDN w:val="0"/>
              <w:adjustRightInd w:val="0"/>
              <w:rPr>
                <w:rFonts w:ascii="Arial" w:hAnsi="Arial" w:cs="Arial"/>
                <w:sz w:val="26"/>
                <w:szCs w:val="26"/>
                <w:u w:color="0000E9"/>
              </w:rPr>
            </w:pPr>
          </w:p>
          <w:p w14:paraId="6DE6AAA8"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452DD622" w14:textId="77777777" w:rsidR="008A5243" w:rsidRDefault="008A5243">
            <w:pPr>
              <w:widowControl w:val="0"/>
              <w:autoSpaceDE w:val="0"/>
              <w:autoSpaceDN w:val="0"/>
              <w:adjustRightInd w:val="0"/>
              <w:rPr>
                <w:rFonts w:ascii="Arial" w:hAnsi="Arial" w:cs="Arial"/>
                <w:sz w:val="26"/>
                <w:szCs w:val="26"/>
                <w:u w:color="0000E9"/>
              </w:rPr>
            </w:pPr>
          </w:p>
        </w:tc>
        <w:tc>
          <w:tcPr>
            <w:tcW w:w="2332" w:type="dxa"/>
            <w:tcBorders>
              <w:bottom w:val="single" w:sz="16" w:space="0" w:color="6D6D6D"/>
            </w:tcBorders>
            <w:tcMar>
              <w:top w:w="80" w:type="nil"/>
              <w:left w:w="80" w:type="nil"/>
              <w:bottom w:w="40" w:type="nil"/>
              <w:right w:w="80" w:type="nil"/>
            </w:tcMar>
            <w:vAlign w:val="center"/>
          </w:tcPr>
          <w:p w14:paraId="0A7CADCC" w14:textId="77777777" w:rsidR="008A5243" w:rsidRDefault="008A5243">
            <w:pPr>
              <w:widowControl w:val="0"/>
              <w:autoSpaceDE w:val="0"/>
              <w:autoSpaceDN w:val="0"/>
              <w:adjustRightInd w:val="0"/>
              <w:rPr>
                <w:rFonts w:ascii="Arial" w:hAnsi="Arial" w:cs="Arial"/>
                <w:sz w:val="26"/>
                <w:szCs w:val="26"/>
                <w:u w:color="0000E9"/>
              </w:rPr>
            </w:pPr>
          </w:p>
        </w:tc>
        <w:tc>
          <w:tcPr>
            <w:tcW w:w="2344" w:type="dxa"/>
            <w:tcBorders>
              <w:bottom w:val="single" w:sz="16" w:space="0" w:color="6D6D6D"/>
            </w:tcBorders>
            <w:tcMar>
              <w:top w:w="80" w:type="nil"/>
              <w:left w:w="80" w:type="nil"/>
              <w:bottom w:w="40" w:type="nil"/>
              <w:right w:w="80" w:type="nil"/>
            </w:tcMar>
            <w:vAlign w:val="center"/>
          </w:tcPr>
          <w:p w14:paraId="6C241D9C" w14:textId="77777777" w:rsidR="008A5243" w:rsidRDefault="008A5243">
            <w:pPr>
              <w:widowControl w:val="0"/>
              <w:autoSpaceDE w:val="0"/>
              <w:autoSpaceDN w:val="0"/>
              <w:adjustRightInd w:val="0"/>
              <w:rPr>
                <w:rFonts w:ascii="Arial" w:hAnsi="Arial" w:cs="Arial"/>
                <w:sz w:val="26"/>
                <w:szCs w:val="26"/>
                <w:u w:color="0000E9"/>
              </w:rPr>
            </w:pPr>
          </w:p>
        </w:tc>
        <w:tc>
          <w:tcPr>
            <w:tcW w:w="3111" w:type="dxa"/>
            <w:tcBorders>
              <w:bottom w:val="single" w:sz="16" w:space="0" w:color="6D6D6D"/>
            </w:tcBorders>
            <w:tcMar>
              <w:top w:w="80" w:type="nil"/>
              <w:left w:w="80" w:type="nil"/>
              <w:bottom w:w="40" w:type="nil"/>
              <w:right w:w="80" w:type="nil"/>
            </w:tcMar>
            <w:vAlign w:val="center"/>
          </w:tcPr>
          <w:p w14:paraId="4090D3D8" w14:textId="77777777" w:rsidR="008A5243" w:rsidRDefault="008A5243">
            <w:pPr>
              <w:widowControl w:val="0"/>
              <w:autoSpaceDE w:val="0"/>
              <w:autoSpaceDN w:val="0"/>
              <w:adjustRightInd w:val="0"/>
              <w:rPr>
                <w:rFonts w:ascii="Arial" w:hAnsi="Arial" w:cs="Arial"/>
                <w:sz w:val="26"/>
                <w:szCs w:val="26"/>
                <w:u w:color="0000E9"/>
              </w:rPr>
            </w:pPr>
          </w:p>
        </w:tc>
        <w:tc>
          <w:tcPr>
            <w:tcW w:w="1033" w:type="dxa"/>
            <w:tcBorders>
              <w:bottom w:val="single" w:sz="16" w:space="0" w:color="6D6D6D"/>
            </w:tcBorders>
            <w:tcMar>
              <w:top w:w="80" w:type="nil"/>
              <w:left w:w="80" w:type="nil"/>
              <w:bottom w:w="40" w:type="nil"/>
              <w:right w:w="80" w:type="nil"/>
            </w:tcMar>
            <w:vAlign w:val="center"/>
          </w:tcPr>
          <w:p w14:paraId="0F1BEE26" w14:textId="77777777" w:rsidR="008A5243" w:rsidRDefault="008A5243">
            <w:pPr>
              <w:widowControl w:val="0"/>
              <w:autoSpaceDE w:val="0"/>
              <w:autoSpaceDN w:val="0"/>
              <w:adjustRightInd w:val="0"/>
              <w:rPr>
                <w:rFonts w:ascii="Arial" w:hAnsi="Arial" w:cs="Arial"/>
                <w:sz w:val="26"/>
                <w:szCs w:val="26"/>
                <w:u w:color="0000E9"/>
              </w:rPr>
            </w:pPr>
          </w:p>
        </w:tc>
        <w:tc>
          <w:tcPr>
            <w:tcW w:w="1244" w:type="dxa"/>
            <w:tcBorders>
              <w:bottom w:val="single" w:sz="16" w:space="0" w:color="6D6D6D"/>
            </w:tcBorders>
            <w:tcMar>
              <w:top w:w="80" w:type="nil"/>
              <w:left w:w="80" w:type="nil"/>
              <w:bottom w:w="40" w:type="nil"/>
              <w:right w:w="80" w:type="nil"/>
            </w:tcMar>
            <w:vAlign w:val="center"/>
          </w:tcPr>
          <w:p w14:paraId="3D8BD1C4" w14:textId="77777777" w:rsidR="008A5243" w:rsidRDefault="008A5243">
            <w:pPr>
              <w:widowControl w:val="0"/>
              <w:autoSpaceDE w:val="0"/>
              <w:autoSpaceDN w:val="0"/>
              <w:adjustRightInd w:val="0"/>
              <w:rPr>
                <w:rFonts w:ascii="Arial" w:hAnsi="Arial" w:cs="Arial"/>
                <w:sz w:val="26"/>
                <w:szCs w:val="26"/>
                <w:u w:color="0000E9"/>
              </w:rPr>
            </w:pPr>
          </w:p>
        </w:tc>
      </w:tr>
      <w:tr w:rsidR="008A5243" w14:paraId="46B4FA41" w14:textId="77777777" w:rsidTr="008A5243">
        <w:tblPrEx>
          <w:tblCellMar>
            <w:top w:w="0" w:type="dxa"/>
            <w:bottom w:w="0" w:type="dxa"/>
          </w:tblCellMar>
        </w:tblPrEx>
        <w:tc>
          <w:tcPr>
            <w:tcW w:w="12360" w:type="dxa"/>
            <w:gridSpan w:val="7"/>
            <w:tcMar>
              <w:top w:w="80" w:type="nil"/>
              <w:left w:w="80" w:type="nil"/>
              <w:bottom w:w="40" w:type="nil"/>
              <w:right w:w="80" w:type="nil"/>
            </w:tcMar>
            <w:vAlign w:val="center"/>
          </w:tcPr>
          <w:p w14:paraId="3751584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b/>
                <w:bCs/>
                <w:sz w:val="26"/>
                <w:szCs w:val="26"/>
                <w:u w:color="0000E9"/>
              </w:rPr>
              <w:t>Table 15:</w:t>
            </w:r>
            <w:r>
              <w:rPr>
                <w:rFonts w:ascii="Arial" w:hAnsi="Arial" w:cs="Arial"/>
                <w:sz w:val="26"/>
                <w:szCs w:val="26"/>
                <w:u w:color="0000E9"/>
              </w:rPr>
              <w:t xml:space="preserve"> Spring 2016 Typical Prior Achievement and Growth by State: Geometry</w:t>
            </w:r>
          </w:p>
        </w:tc>
      </w:tr>
      <w:tr w:rsidR="008A5243" w14:paraId="0836DEFD" w14:textId="77777777" w:rsidTr="008A5243">
        <w:tblPrEx>
          <w:tblBorders>
            <w:top w:val="none" w:sz="0" w:space="0" w:color="auto"/>
          </w:tblBorders>
          <w:tblCellMar>
            <w:top w:w="0" w:type="dxa"/>
            <w:bottom w:w="0" w:type="dxa"/>
          </w:tblCellMar>
        </w:tblPrEx>
        <w:tc>
          <w:tcPr>
            <w:tcW w:w="1661" w:type="dxa"/>
            <w:tcBorders>
              <w:top w:val="single" w:sz="16" w:space="0" w:color="6D6D6D"/>
              <w:bottom w:val="single" w:sz="8" w:space="0" w:color="6D6D6D"/>
            </w:tcBorders>
            <w:tcMar>
              <w:top w:w="20" w:type="nil"/>
              <w:left w:w="20" w:type="nil"/>
              <w:bottom w:w="20" w:type="nil"/>
              <w:right w:w="20" w:type="nil"/>
            </w:tcMar>
            <w:vAlign w:val="center"/>
          </w:tcPr>
          <w:p w14:paraId="27F1749E"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Most Recent Prior</w:t>
            </w:r>
          </w:p>
        </w:tc>
        <w:tc>
          <w:tcPr>
            <w:tcW w:w="635" w:type="dxa"/>
            <w:tcBorders>
              <w:top w:val="single" w:sz="16" w:space="0" w:color="6D6D6D"/>
              <w:bottom w:val="single" w:sz="8" w:space="0" w:color="6D6D6D"/>
            </w:tcBorders>
            <w:tcMar>
              <w:top w:w="20" w:type="nil"/>
              <w:left w:w="20" w:type="nil"/>
              <w:bottom w:w="20" w:type="nil"/>
              <w:right w:w="20" w:type="nil"/>
            </w:tcMar>
            <w:vAlign w:val="center"/>
          </w:tcPr>
          <w:p w14:paraId="7513A58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State</w:t>
            </w:r>
          </w:p>
        </w:tc>
        <w:tc>
          <w:tcPr>
            <w:tcW w:w="2332" w:type="dxa"/>
            <w:tcBorders>
              <w:top w:val="single" w:sz="16" w:space="0" w:color="6D6D6D"/>
              <w:bottom w:val="single" w:sz="8" w:space="0" w:color="6D6D6D"/>
            </w:tcBorders>
            <w:tcMar>
              <w:top w:w="20" w:type="nil"/>
              <w:left w:w="20" w:type="nil"/>
              <w:bottom w:w="20" w:type="nil"/>
              <w:right w:w="20" w:type="nil"/>
            </w:tcMar>
            <w:vAlign w:val="center"/>
          </w:tcPr>
          <w:p w14:paraId="0DC29EAA"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Scale Score</w:t>
            </w:r>
          </w:p>
        </w:tc>
        <w:tc>
          <w:tcPr>
            <w:tcW w:w="2344" w:type="dxa"/>
            <w:tcBorders>
              <w:top w:val="single" w:sz="16" w:space="0" w:color="6D6D6D"/>
              <w:bottom w:val="single" w:sz="8" w:space="0" w:color="6D6D6D"/>
            </w:tcBorders>
            <w:tcMar>
              <w:top w:w="20" w:type="nil"/>
              <w:left w:w="20" w:type="nil"/>
              <w:bottom w:w="20" w:type="nil"/>
              <w:right w:w="20" w:type="nil"/>
            </w:tcMar>
            <w:vAlign w:val="center"/>
          </w:tcPr>
          <w:p w14:paraId="7E4D9939"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Prior Theta Score</w:t>
            </w:r>
          </w:p>
        </w:tc>
        <w:tc>
          <w:tcPr>
            <w:tcW w:w="3111" w:type="dxa"/>
            <w:tcBorders>
              <w:top w:val="single" w:sz="16" w:space="0" w:color="6D6D6D"/>
              <w:bottom w:val="single" w:sz="8" w:space="0" w:color="6D6D6D"/>
            </w:tcBorders>
            <w:tcMar>
              <w:top w:w="20" w:type="nil"/>
              <w:left w:w="20" w:type="nil"/>
              <w:bottom w:w="20" w:type="nil"/>
              <w:right w:w="20" w:type="nil"/>
            </w:tcMar>
            <w:vAlign w:val="center"/>
          </w:tcPr>
          <w:p w14:paraId="01FC2C20"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PARCC %</w:t>
            </w:r>
            <w:proofErr w:type="spellStart"/>
            <w:r>
              <w:rPr>
                <w:rFonts w:ascii="Arial" w:hAnsi="Arial" w:cs="Arial"/>
                <w:b/>
                <w:bCs/>
                <w:sz w:val="26"/>
                <w:szCs w:val="26"/>
                <w:u w:color="0000E9"/>
              </w:rPr>
              <w:t>ile</w:t>
            </w:r>
            <w:proofErr w:type="spellEnd"/>
            <w:r>
              <w:rPr>
                <w:rFonts w:ascii="Arial" w:hAnsi="Arial" w:cs="Arial"/>
                <w:b/>
                <w:bCs/>
                <w:sz w:val="26"/>
                <w:szCs w:val="26"/>
                <w:u w:color="0000E9"/>
              </w:rPr>
              <w:t xml:space="preserve"> (Mean Prior Theta)</w:t>
            </w:r>
          </w:p>
        </w:tc>
        <w:tc>
          <w:tcPr>
            <w:tcW w:w="1033" w:type="dxa"/>
            <w:tcBorders>
              <w:top w:val="single" w:sz="16" w:space="0" w:color="6D6D6D"/>
              <w:bottom w:val="single" w:sz="8" w:space="0" w:color="6D6D6D"/>
            </w:tcBorders>
            <w:tcMar>
              <w:top w:w="20" w:type="nil"/>
              <w:left w:w="20" w:type="nil"/>
              <w:bottom w:w="20" w:type="nil"/>
              <w:right w:w="20" w:type="nil"/>
            </w:tcMar>
            <w:vAlign w:val="center"/>
          </w:tcPr>
          <w:p w14:paraId="42358A63"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SGP</w:t>
            </w:r>
          </w:p>
        </w:tc>
        <w:tc>
          <w:tcPr>
            <w:tcW w:w="1244" w:type="dxa"/>
            <w:tcBorders>
              <w:top w:val="single" w:sz="16" w:space="0" w:color="6D6D6D"/>
              <w:bottom w:val="single" w:sz="8" w:space="0" w:color="6D6D6D"/>
            </w:tcBorders>
            <w:tcMar>
              <w:top w:w="20" w:type="nil"/>
              <w:left w:w="20" w:type="nil"/>
              <w:bottom w:w="20" w:type="nil"/>
              <w:right w:w="20" w:type="nil"/>
            </w:tcMar>
            <w:vAlign w:val="center"/>
          </w:tcPr>
          <w:p w14:paraId="1B0ACBBD" w14:textId="77777777" w:rsidR="008A5243" w:rsidRDefault="008A5243">
            <w:pPr>
              <w:widowControl w:val="0"/>
              <w:autoSpaceDE w:val="0"/>
              <w:autoSpaceDN w:val="0"/>
              <w:adjustRightInd w:val="0"/>
              <w:rPr>
                <w:rFonts w:ascii="Arial" w:hAnsi="Arial" w:cs="Arial"/>
                <w:b/>
                <w:bCs/>
                <w:sz w:val="26"/>
                <w:szCs w:val="26"/>
                <w:u w:color="0000E9"/>
              </w:rPr>
            </w:pPr>
            <w:r>
              <w:rPr>
                <w:rFonts w:ascii="Arial" w:hAnsi="Arial" w:cs="Arial"/>
                <w:b/>
                <w:bCs/>
                <w:sz w:val="26"/>
                <w:szCs w:val="26"/>
                <w:u w:color="0000E9"/>
              </w:rPr>
              <w:t>Mean SIMEX</w:t>
            </w:r>
          </w:p>
        </w:tc>
      </w:tr>
      <w:tr w:rsidR="008A5243" w14:paraId="6A2EF7A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C1554C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w:t>
            </w:r>
          </w:p>
        </w:tc>
        <w:tc>
          <w:tcPr>
            <w:tcW w:w="635" w:type="dxa"/>
            <w:tcMar>
              <w:top w:w="80" w:type="nil"/>
              <w:left w:w="80" w:type="nil"/>
              <w:bottom w:w="40" w:type="nil"/>
              <w:right w:w="80" w:type="nil"/>
            </w:tcMar>
            <w:vAlign w:val="center"/>
          </w:tcPr>
          <w:p w14:paraId="1961E0A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5AF3833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729.5</w:t>
            </w:r>
          </w:p>
        </w:tc>
        <w:tc>
          <w:tcPr>
            <w:tcW w:w="2344" w:type="dxa"/>
            <w:tcMar>
              <w:top w:w="80" w:type="nil"/>
              <w:left w:w="80" w:type="nil"/>
              <w:bottom w:w="40" w:type="nil"/>
              <w:right w:w="80" w:type="nil"/>
            </w:tcMar>
            <w:vAlign w:val="center"/>
          </w:tcPr>
          <w:p w14:paraId="4AFE939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-0.14</w:t>
            </w:r>
          </w:p>
        </w:tc>
        <w:tc>
          <w:tcPr>
            <w:tcW w:w="3111" w:type="dxa"/>
            <w:tcMar>
              <w:top w:w="80" w:type="nil"/>
              <w:left w:w="80" w:type="nil"/>
              <w:bottom w:w="40" w:type="nil"/>
              <w:right w:w="80" w:type="nil"/>
            </w:tcMar>
            <w:vAlign w:val="center"/>
          </w:tcPr>
          <w:p w14:paraId="2370552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43</w:t>
            </w:r>
          </w:p>
        </w:tc>
        <w:tc>
          <w:tcPr>
            <w:tcW w:w="1033" w:type="dxa"/>
            <w:tcMar>
              <w:top w:w="80" w:type="nil"/>
              <w:left w:w="80" w:type="nil"/>
              <w:bottom w:w="40" w:type="nil"/>
              <w:right w:w="80" w:type="nil"/>
            </w:tcMar>
            <w:vAlign w:val="center"/>
          </w:tcPr>
          <w:p w14:paraId="277EADF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40.1</w:t>
            </w:r>
          </w:p>
        </w:tc>
        <w:tc>
          <w:tcPr>
            <w:tcW w:w="1244" w:type="dxa"/>
            <w:tcMar>
              <w:top w:w="80" w:type="nil"/>
              <w:left w:w="80" w:type="nil"/>
              <w:bottom w:w="40" w:type="nil"/>
              <w:right w:w="80" w:type="nil"/>
            </w:tcMar>
            <w:vAlign w:val="center"/>
          </w:tcPr>
          <w:p w14:paraId="41E430B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40.3</w:t>
            </w:r>
          </w:p>
        </w:tc>
      </w:tr>
      <w:tr w:rsidR="008A5243" w14:paraId="438D60A0"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6E0EEC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1E35525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B</w:t>
            </w:r>
          </w:p>
        </w:tc>
        <w:tc>
          <w:tcPr>
            <w:tcW w:w="2332" w:type="dxa"/>
            <w:tcMar>
              <w:top w:w="80" w:type="nil"/>
              <w:left w:w="80" w:type="nil"/>
              <w:bottom w:w="40" w:type="nil"/>
              <w:right w:w="80" w:type="nil"/>
            </w:tcMar>
            <w:vAlign w:val="center"/>
          </w:tcPr>
          <w:p w14:paraId="7EA390D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750.0</w:t>
            </w:r>
          </w:p>
        </w:tc>
        <w:tc>
          <w:tcPr>
            <w:tcW w:w="2344" w:type="dxa"/>
            <w:tcMar>
              <w:top w:w="80" w:type="nil"/>
              <w:left w:w="80" w:type="nil"/>
              <w:bottom w:w="40" w:type="nil"/>
              <w:right w:w="80" w:type="nil"/>
            </w:tcMar>
            <w:vAlign w:val="center"/>
          </w:tcPr>
          <w:p w14:paraId="63F96B4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0.54</w:t>
            </w:r>
          </w:p>
        </w:tc>
        <w:tc>
          <w:tcPr>
            <w:tcW w:w="3111" w:type="dxa"/>
            <w:tcMar>
              <w:top w:w="80" w:type="nil"/>
              <w:left w:w="80" w:type="nil"/>
              <w:bottom w:w="40" w:type="nil"/>
              <w:right w:w="80" w:type="nil"/>
            </w:tcMar>
            <w:vAlign w:val="center"/>
          </w:tcPr>
          <w:p w14:paraId="7294E8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64</w:t>
            </w:r>
          </w:p>
        </w:tc>
        <w:tc>
          <w:tcPr>
            <w:tcW w:w="1033" w:type="dxa"/>
            <w:tcMar>
              <w:top w:w="80" w:type="nil"/>
              <w:left w:w="80" w:type="nil"/>
              <w:bottom w:w="40" w:type="nil"/>
              <w:right w:w="80" w:type="nil"/>
            </w:tcMar>
            <w:vAlign w:val="center"/>
          </w:tcPr>
          <w:p w14:paraId="55ADCCB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55.0</w:t>
            </w:r>
          </w:p>
        </w:tc>
        <w:tc>
          <w:tcPr>
            <w:tcW w:w="1244" w:type="dxa"/>
            <w:tcMar>
              <w:top w:w="80" w:type="nil"/>
              <w:left w:w="80" w:type="nil"/>
              <w:bottom w:w="40" w:type="nil"/>
              <w:right w:w="80" w:type="nil"/>
            </w:tcMar>
            <w:vAlign w:val="center"/>
          </w:tcPr>
          <w:p w14:paraId="0793937A"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54.3</w:t>
            </w:r>
          </w:p>
        </w:tc>
      </w:tr>
      <w:tr w:rsidR="008A5243" w14:paraId="065BB5D4"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21C0A189"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601BC3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C</w:t>
            </w:r>
          </w:p>
        </w:tc>
        <w:tc>
          <w:tcPr>
            <w:tcW w:w="2332" w:type="dxa"/>
            <w:tcMar>
              <w:top w:w="80" w:type="nil"/>
              <w:left w:w="80" w:type="nil"/>
              <w:bottom w:w="40" w:type="nil"/>
              <w:right w:w="80" w:type="nil"/>
            </w:tcMar>
            <w:vAlign w:val="center"/>
          </w:tcPr>
          <w:p w14:paraId="3B9E73B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719.3</w:t>
            </w:r>
          </w:p>
        </w:tc>
        <w:tc>
          <w:tcPr>
            <w:tcW w:w="2344" w:type="dxa"/>
            <w:tcMar>
              <w:top w:w="80" w:type="nil"/>
              <w:left w:w="80" w:type="nil"/>
              <w:bottom w:w="40" w:type="nil"/>
              <w:right w:w="80" w:type="nil"/>
            </w:tcMar>
            <w:vAlign w:val="center"/>
          </w:tcPr>
          <w:p w14:paraId="48C9A59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-0.48</w:t>
            </w:r>
          </w:p>
        </w:tc>
        <w:tc>
          <w:tcPr>
            <w:tcW w:w="3111" w:type="dxa"/>
            <w:tcMar>
              <w:top w:w="80" w:type="nil"/>
              <w:left w:w="80" w:type="nil"/>
              <w:bottom w:w="40" w:type="nil"/>
              <w:right w:w="80" w:type="nil"/>
            </w:tcMar>
            <w:vAlign w:val="center"/>
          </w:tcPr>
          <w:p w14:paraId="7AE3877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32</w:t>
            </w:r>
          </w:p>
        </w:tc>
        <w:tc>
          <w:tcPr>
            <w:tcW w:w="1033" w:type="dxa"/>
            <w:tcMar>
              <w:top w:w="80" w:type="nil"/>
              <w:left w:w="80" w:type="nil"/>
              <w:bottom w:w="40" w:type="nil"/>
              <w:right w:w="80" w:type="nil"/>
            </w:tcMar>
            <w:vAlign w:val="center"/>
          </w:tcPr>
          <w:p w14:paraId="05D0139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39.0</w:t>
            </w:r>
          </w:p>
        </w:tc>
        <w:tc>
          <w:tcPr>
            <w:tcW w:w="1244" w:type="dxa"/>
            <w:tcMar>
              <w:top w:w="80" w:type="nil"/>
              <w:left w:w="80" w:type="nil"/>
              <w:bottom w:w="40" w:type="nil"/>
              <w:right w:w="80" w:type="nil"/>
            </w:tcMar>
            <w:vAlign w:val="center"/>
          </w:tcPr>
          <w:p w14:paraId="1A8BF5A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40.1</w:t>
            </w:r>
          </w:p>
        </w:tc>
      </w:tr>
      <w:tr w:rsidR="008A5243" w14:paraId="1CBBF30D"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75B354D"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51186FB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D</w:t>
            </w:r>
          </w:p>
        </w:tc>
        <w:tc>
          <w:tcPr>
            <w:tcW w:w="2332" w:type="dxa"/>
            <w:tcMar>
              <w:top w:w="80" w:type="nil"/>
              <w:left w:w="80" w:type="nil"/>
              <w:bottom w:w="40" w:type="nil"/>
              <w:right w:w="80" w:type="nil"/>
            </w:tcMar>
            <w:vAlign w:val="center"/>
          </w:tcPr>
          <w:p w14:paraId="31818CE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729.1</w:t>
            </w:r>
          </w:p>
        </w:tc>
        <w:tc>
          <w:tcPr>
            <w:tcW w:w="2344" w:type="dxa"/>
            <w:tcMar>
              <w:top w:w="80" w:type="nil"/>
              <w:left w:w="80" w:type="nil"/>
              <w:bottom w:w="40" w:type="nil"/>
              <w:right w:w="80" w:type="nil"/>
            </w:tcMar>
            <w:vAlign w:val="center"/>
          </w:tcPr>
          <w:p w14:paraId="52083FB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-0.16</w:t>
            </w:r>
          </w:p>
        </w:tc>
        <w:tc>
          <w:tcPr>
            <w:tcW w:w="3111" w:type="dxa"/>
            <w:tcMar>
              <w:top w:w="80" w:type="nil"/>
              <w:left w:w="80" w:type="nil"/>
              <w:bottom w:w="40" w:type="nil"/>
              <w:right w:w="80" w:type="nil"/>
            </w:tcMar>
            <w:vAlign w:val="center"/>
          </w:tcPr>
          <w:p w14:paraId="2180D3E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42</w:t>
            </w:r>
          </w:p>
        </w:tc>
        <w:tc>
          <w:tcPr>
            <w:tcW w:w="1033" w:type="dxa"/>
            <w:tcMar>
              <w:top w:w="80" w:type="nil"/>
              <w:left w:w="80" w:type="nil"/>
              <w:bottom w:w="40" w:type="nil"/>
              <w:right w:w="80" w:type="nil"/>
            </w:tcMar>
            <w:vAlign w:val="center"/>
          </w:tcPr>
          <w:p w14:paraId="664E13E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45.1</w:t>
            </w:r>
          </w:p>
        </w:tc>
        <w:tc>
          <w:tcPr>
            <w:tcW w:w="1244" w:type="dxa"/>
            <w:tcMar>
              <w:top w:w="80" w:type="nil"/>
              <w:left w:w="80" w:type="nil"/>
              <w:bottom w:w="40" w:type="nil"/>
              <w:right w:w="80" w:type="nil"/>
            </w:tcMar>
            <w:vAlign w:val="center"/>
          </w:tcPr>
          <w:p w14:paraId="5C5DFCE6"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45.4</w:t>
            </w:r>
          </w:p>
        </w:tc>
      </w:tr>
      <w:tr w:rsidR="008A5243" w14:paraId="360D9439"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7167F7FC"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3CA17C9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Mar>
              <w:top w:w="80" w:type="nil"/>
              <w:left w:w="80" w:type="nil"/>
              <w:bottom w:w="40" w:type="nil"/>
              <w:right w:w="80" w:type="nil"/>
            </w:tcMar>
            <w:vAlign w:val="center"/>
          </w:tcPr>
          <w:p w14:paraId="1A35015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765.7</w:t>
            </w:r>
          </w:p>
        </w:tc>
        <w:tc>
          <w:tcPr>
            <w:tcW w:w="2344" w:type="dxa"/>
            <w:tcMar>
              <w:top w:w="80" w:type="nil"/>
              <w:left w:w="80" w:type="nil"/>
              <w:bottom w:w="40" w:type="nil"/>
              <w:right w:w="80" w:type="nil"/>
            </w:tcMar>
            <w:vAlign w:val="center"/>
          </w:tcPr>
          <w:p w14:paraId="7E80928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1.06</w:t>
            </w:r>
          </w:p>
        </w:tc>
        <w:tc>
          <w:tcPr>
            <w:tcW w:w="3111" w:type="dxa"/>
            <w:tcMar>
              <w:top w:w="80" w:type="nil"/>
              <w:left w:w="80" w:type="nil"/>
              <w:bottom w:w="40" w:type="nil"/>
              <w:right w:w="80" w:type="nil"/>
            </w:tcMar>
            <w:vAlign w:val="center"/>
          </w:tcPr>
          <w:p w14:paraId="2582734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78</w:t>
            </w:r>
          </w:p>
        </w:tc>
        <w:tc>
          <w:tcPr>
            <w:tcW w:w="1033" w:type="dxa"/>
            <w:tcMar>
              <w:top w:w="80" w:type="nil"/>
              <w:left w:w="80" w:type="nil"/>
              <w:bottom w:w="40" w:type="nil"/>
              <w:right w:w="80" w:type="nil"/>
            </w:tcMar>
            <w:vAlign w:val="center"/>
          </w:tcPr>
          <w:p w14:paraId="188C443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52.5</w:t>
            </w:r>
          </w:p>
        </w:tc>
        <w:tc>
          <w:tcPr>
            <w:tcW w:w="1244" w:type="dxa"/>
            <w:tcMar>
              <w:top w:w="80" w:type="nil"/>
              <w:left w:w="80" w:type="nil"/>
              <w:bottom w:w="40" w:type="nil"/>
              <w:right w:w="80" w:type="nil"/>
            </w:tcMar>
            <w:vAlign w:val="center"/>
          </w:tcPr>
          <w:p w14:paraId="5822471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148A7445"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41FC0CE6"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7D87A44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G</w:t>
            </w:r>
          </w:p>
        </w:tc>
        <w:tc>
          <w:tcPr>
            <w:tcW w:w="2332" w:type="dxa"/>
            <w:tcMar>
              <w:top w:w="80" w:type="nil"/>
              <w:left w:w="80" w:type="nil"/>
              <w:bottom w:w="40" w:type="nil"/>
              <w:right w:w="80" w:type="nil"/>
            </w:tcMar>
            <w:vAlign w:val="center"/>
          </w:tcPr>
          <w:p w14:paraId="57B51D2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725.1</w:t>
            </w:r>
          </w:p>
        </w:tc>
        <w:tc>
          <w:tcPr>
            <w:tcW w:w="2344" w:type="dxa"/>
            <w:tcMar>
              <w:top w:w="80" w:type="nil"/>
              <w:left w:w="80" w:type="nil"/>
              <w:bottom w:w="40" w:type="nil"/>
              <w:right w:w="80" w:type="nil"/>
            </w:tcMar>
            <w:vAlign w:val="center"/>
          </w:tcPr>
          <w:p w14:paraId="5A2BCB8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-0.28</w:t>
            </w:r>
          </w:p>
        </w:tc>
        <w:tc>
          <w:tcPr>
            <w:tcW w:w="3111" w:type="dxa"/>
            <w:tcMar>
              <w:top w:w="80" w:type="nil"/>
              <w:left w:w="80" w:type="nil"/>
              <w:bottom w:w="40" w:type="nil"/>
              <w:right w:w="80" w:type="nil"/>
            </w:tcMar>
            <w:vAlign w:val="center"/>
          </w:tcPr>
          <w:p w14:paraId="5D2B4DD5"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38</w:t>
            </w:r>
          </w:p>
        </w:tc>
        <w:tc>
          <w:tcPr>
            <w:tcW w:w="1033" w:type="dxa"/>
            <w:tcMar>
              <w:top w:w="80" w:type="nil"/>
              <w:left w:w="80" w:type="nil"/>
              <w:bottom w:w="40" w:type="nil"/>
              <w:right w:w="80" w:type="nil"/>
            </w:tcMar>
            <w:vAlign w:val="center"/>
          </w:tcPr>
          <w:p w14:paraId="6155DE2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49.3</w:t>
            </w:r>
          </w:p>
        </w:tc>
        <w:tc>
          <w:tcPr>
            <w:tcW w:w="1244" w:type="dxa"/>
            <w:tcMar>
              <w:top w:w="80" w:type="nil"/>
              <w:left w:w="80" w:type="nil"/>
              <w:bottom w:w="40" w:type="nil"/>
              <w:right w:w="80" w:type="nil"/>
            </w:tcMar>
            <w:vAlign w:val="center"/>
          </w:tcPr>
          <w:p w14:paraId="3637C4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50.2</w:t>
            </w:r>
          </w:p>
        </w:tc>
      </w:tr>
      <w:tr w:rsidR="008A5243" w14:paraId="645BE4B3"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1E9B2913" w14:textId="77777777" w:rsidR="008A5243" w:rsidRDefault="008A5243">
            <w:pPr>
              <w:widowControl w:val="0"/>
              <w:autoSpaceDE w:val="0"/>
              <w:autoSpaceDN w:val="0"/>
              <w:adjustRightInd w:val="0"/>
              <w:rPr>
                <w:rFonts w:ascii="Arial" w:hAnsi="Arial" w:cs="Arial"/>
                <w:sz w:val="26"/>
                <w:szCs w:val="26"/>
                <w:u w:color="0000E9"/>
              </w:rPr>
            </w:pPr>
          </w:p>
        </w:tc>
        <w:tc>
          <w:tcPr>
            <w:tcW w:w="635" w:type="dxa"/>
            <w:tcMar>
              <w:top w:w="80" w:type="nil"/>
              <w:left w:w="80" w:type="nil"/>
              <w:bottom w:w="40" w:type="nil"/>
              <w:right w:w="80" w:type="nil"/>
            </w:tcMar>
            <w:vAlign w:val="center"/>
          </w:tcPr>
          <w:p w14:paraId="4183859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6DA984F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737.9</w:t>
            </w:r>
          </w:p>
        </w:tc>
        <w:tc>
          <w:tcPr>
            <w:tcW w:w="2344" w:type="dxa"/>
            <w:tcMar>
              <w:top w:w="80" w:type="nil"/>
              <w:left w:w="80" w:type="nil"/>
              <w:bottom w:w="40" w:type="nil"/>
              <w:right w:w="80" w:type="nil"/>
            </w:tcMar>
            <w:vAlign w:val="center"/>
          </w:tcPr>
          <w:p w14:paraId="1B5FDD8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0.14</w:t>
            </w:r>
          </w:p>
        </w:tc>
        <w:tc>
          <w:tcPr>
            <w:tcW w:w="3111" w:type="dxa"/>
            <w:tcMar>
              <w:top w:w="80" w:type="nil"/>
              <w:left w:w="80" w:type="nil"/>
              <w:bottom w:w="40" w:type="nil"/>
              <w:right w:w="80" w:type="nil"/>
            </w:tcMar>
            <w:vAlign w:val="center"/>
          </w:tcPr>
          <w:p w14:paraId="47C1D1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52</w:t>
            </w:r>
          </w:p>
        </w:tc>
        <w:tc>
          <w:tcPr>
            <w:tcW w:w="1033" w:type="dxa"/>
            <w:tcMar>
              <w:top w:w="80" w:type="nil"/>
              <w:left w:w="80" w:type="nil"/>
              <w:bottom w:w="40" w:type="nil"/>
              <w:right w:w="80" w:type="nil"/>
            </w:tcMar>
            <w:vAlign w:val="center"/>
          </w:tcPr>
          <w:p w14:paraId="7187EB6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51.0</w:t>
            </w:r>
          </w:p>
        </w:tc>
        <w:tc>
          <w:tcPr>
            <w:tcW w:w="1244" w:type="dxa"/>
            <w:tcMar>
              <w:top w:w="80" w:type="nil"/>
              <w:left w:w="80" w:type="nil"/>
              <w:bottom w:w="40" w:type="nil"/>
              <w:right w:w="80" w:type="nil"/>
            </w:tcMar>
            <w:vAlign w:val="center"/>
          </w:tcPr>
          <w:p w14:paraId="065E22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50.8</w:t>
            </w:r>
          </w:p>
        </w:tc>
      </w:tr>
      <w:tr w:rsidR="008A5243" w14:paraId="0980099F"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346181D7"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Algebra II</w:t>
            </w:r>
          </w:p>
        </w:tc>
        <w:tc>
          <w:tcPr>
            <w:tcW w:w="635" w:type="dxa"/>
            <w:tcMar>
              <w:top w:w="80" w:type="nil"/>
              <w:left w:w="80" w:type="nil"/>
              <w:bottom w:w="40" w:type="nil"/>
              <w:right w:w="80" w:type="nil"/>
            </w:tcMar>
            <w:vAlign w:val="center"/>
          </w:tcPr>
          <w:p w14:paraId="1BBEF4A4"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H</w:t>
            </w:r>
          </w:p>
        </w:tc>
        <w:tc>
          <w:tcPr>
            <w:tcW w:w="2332" w:type="dxa"/>
            <w:tcMar>
              <w:top w:w="80" w:type="nil"/>
              <w:left w:w="80" w:type="nil"/>
              <w:bottom w:w="40" w:type="nil"/>
              <w:right w:w="80" w:type="nil"/>
            </w:tcMar>
            <w:vAlign w:val="center"/>
          </w:tcPr>
          <w:p w14:paraId="07BC01C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728.5</w:t>
            </w:r>
          </w:p>
        </w:tc>
        <w:tc>
          <w:tcPr>
            <w:tcW w:w="2344" w:type="dxa"/>
            <w:tcMar>
              <w:top w:w="80" w:type="nil"/>
              <w:left w:w="80" w:type="nil"/>
              <w:bottom w:w="40" w:type="nil"/>
              <w:right w:w="80" w:type="nil"/>
            </w:tcMar>
            <w:vAlign w:val="center"/>
          </w:tcPr>
          <w:p w14:paraId="529C429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0.22</w:t>
            </w:r>
          </w:p>
        </w:tc>
        <w:tc>
          <w:tcPr>
            <w:tcW w:w="3111" w:type="dxa"/>
            <w:tcMar>
              <w:top w:w="80" w:type="nil"/>
              <w:left w:w="80" w:type="nil"/>
              <w:bottom w:w="40" w:type="nil"/>
              <w:right w:w="80" w:type="nil"/>
            </w:tcMar>
            <w:vAlign w:val="center"/>
          </w:tcPr>
          <w:p w14:paraId="4FB2C5B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54</w:t>
            </w:r>
          </w:p>
        </w:tc>
        <w:tc>
          <w:tcPr>
            <w:tcW w:w="1033" w:type="dxa"/>
            <w:tcMar>
              <w:top w:w="80" w:type="nil"/>
              <w:left w:w="80" w:type="nil"/>
              <w:bottom w:w="40" w:type="nil"/>
              <w:right w:w="80" w:type="nil"/>
            </w:tcMar>
            <w:vAlign w:val="center"/>
          </w:tcPr>
          <w:p w14:paraId="1858B05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50.4</w:t>
            </w:r>
          </w:p>
        </w:tc>
        <w:tc>
          <w:tcPr>
            <w:tcW w:w="1244" w:type="dxa"/>
            <w:tcMar>
              <w:top w:w="80" w:type="nil"/>
              <w:left w:w="80" w:type="nil"/>
              <w:bottom w:w="40" w:type="nil"/>
              <w:right w:w="80" w:type="nil"/>
            </w:tcMar>
            <w:vAlign w:val="center"/>
          </w:tcPr>
          <w:p w14:paraId="1D70BFF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50.0</w:t>
            </w:r>
          </w:p>
        </w:tc>
      </w:tr>
      <w:tr w:rsidR="008A5243" w14:paraId="259C5342" w14:textId="77777777" w:rsidTr="008A5243">
        <w:tblPrEx>
          <w:tblBorders>
            <w:top w:val="none" w:sz="0" w:space="0" w:color="auto"/>
          </w:tblBorders>
          <w:tblCellMar>
            <w:top w:w="0" w:type="dxa"/>
            <w:bottom w:w="0" w:type="dxa"/>
          </w:tblCellMar>
        </w:tblPrEx>
        <w:tc>
          <w:tcPr>
            <w:tcW w:w="1661" w:type="dxa"/>
            <w:tcMar>
              <w:top w:w="80" w:type="nil"/>
              <w:left w:w="80" w:type="nil"/>
              <w:bottom w:w="40" w:type="nil"/>
              <w:right w:w="80" w:type="nil"/>
            </w:tcMar>
            <w:vAlign w:val="center"/>
          </w:tcPr>
          <w:p w14:paraId="0FFDCB6B"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Math Grade 8</w:t>
            </w:r>
          </w:p>
        </w:tc>
        <w:tc>
          <w:tcPr>
            <w:tcW w:w="635" w:type="dxa"/>
            <w:tcMar>
              <w:top w:w="80" w:type="nil"/>
              <w:left w:w="80" w:type="nil"/>
              <w:bottom w:w="40" w:type="nil"/>
              <w:right w:w="80" w:type="nil"/>
            </w:tcMar>
            <w:vAlign w:val="center"/>
          </w:tcPr>
          <w:p w14:paraId="1671734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A</w:t>
            </w:r>
          </w:p>
        </w:tc>
        <w:tc>
          <w:tcPr>
            <w:tcW w:w="2332" w:type="dxa"/>
            <w:tcMar>
              <w:top w:w="80" w:type="nil"/>
              <w:left w:w="80" w:type="nil"/>
              <w:bottom w:w="40" w:type="nil"/>
              <w:right w:w="80" w:type="nil"/>
            </w:tcMar>
            <w:vAlign w:val="center"/>
          </w:tcPr>
          <w:p w14:paraId="195F64F9"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762.6</w:t>
            </w:r>
          </w:p>
        </w:tc>
        <w:tc>
          <w:tcPr>
            <w:tcW w:w="2344" w:type="dxa"/>
            <w:tcMar>
              <w:top w:w="80" w:type="nil"/>
              <w:left w:w="80" w:type="nil"/>
              <w:bottom w:w="40" w:type="nil"/>
              <w:right w:w="80" w:type="nil"/>
            </w:tcMar>
            <w:vAlign w:val="center"/>
          </w:tcPr>
          <w:p w14:paraId="7BB16E8F"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1.02</w:t>
            </w:r>
          </w:p>
        </w:tc>
        <w:tc>
          <w:tcPr>
            <w:tcW w:w="3111" w:type="dxa"/>
            <w:tcMar>
              <w:top w:w="80" w:type="nil"/>
              <w:left w:w="80" w:type="nil"/>
              <w:bottom w:w="40" w:type="nil"/>
              <w:right w:w="80" w:type="nil"/>
            </w:tcMar>
            <w:vAlign w:val="center"/>
          </w:tcPr>
          <w:p w14:paraId="60EB5670"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89</w:t>
            </w:r>
          </w:p>
        </w:tc>
        <w:tc>
          <w:tcPr>
            <w:tcW w:w="1033" w:type="dxa"/>
            <w:tcMar>
              <w:top w:w="80" w:type="nil"/>
              <w:left w:w="80" w:type="nil"/>
              <w:bottom w:w="40" w:type="nil"/>
              <w:right w:w="80" w:type="nil"/>
            </w:tcMar>
            <w:vAlign w:val="center"/>
          </w:tcPr>
          <w:p w14:paraId="3F5FF582"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56.7</w:t>
            </w:r>
          </w:p>
        </w:tc>
        <w:tc>
          <w:tcPr>
            <w:tcW w:w="1244" w:type="dxa"/>
            <w:tcMar>
              <w:top w:w="80" w:type="nil"/>
              <w:left w:w="80" w:type="nil"/>
              <w:bottom w:w="40" w:type="nil"/>
              <w:right w:w="80" w:type="nil"/>
            </w:tcMar>
            <w:vAlign w:val="center"/>
          </w:tcPr>
          <w:p w14:paraId="5F5A4881"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56.3</w:t>
            </w:r>
          </w:p>
        </w:tc>
      </w:tr>
      <w:tr w:rsidR="008A5243" w14:paraId="56CE23D5" w14:textId="77777777" w:rsidTr="008A5243">
        <w:tblPrEx>
          <w:tblCellMar>
            <w:top w:w="0" w:type="dxa"/>
            <w:bottom w:w="0" w:type="dxa"/>
          </w:tblCellMar>
        </w:tblPrEx>
        <w:tc>
          <w:tcPr>
            <w:tcW w:w="1661" w:type="dxa"/>
            <w:tcBorders>
              <w:bottom w:val="single" w:sz="16" w:space="0" w:color="6D6D6D"/>
            </w:tcBorders>
            <w:tcMar>
              <w:top w:w="80" w:type="nil"/>
              <w:left w:w="80" w:type="nil"/>
              <w:bottom w:w="40" w:type="nil"/>
              <w:right w:w="80" w:type="nil"/>
            </w:tcMar>
            <w:vAlign w:val="center"/>
          </w:tcPr>
          <w:p w14:paraId="7932CF02" w14:textId="77777777" w:rsidR="008A5243" w:rsidRDefault="008A5243">
            <w:pPr>
              <w:widowControl w:val="0"/>
              <w:autoSpaceDE w:val="0"/>
              <w:autoSpaceDN w:val="0"/>
              <w:adjustRightInd w:val="0"/>
              <w:rPr>
                <w:rFonts w:ascii="Arial" w:hAnsi="Arial" w:cs="Arial"/>
                <w:sz w:val="26"/>
                <w:szCs w:val="26"/>
                <w:u w:color="0000E9"/>
              </w:rPr>
            </w:pPr>
          </w:p>
        </w:tc>
        <w:tc>
          <w:tcPr>
            <w:tcW w:w="635" w:type="dxa"/>
            <w:tcBorders>
              <w:bottom w:val="single" w:sz="16" w:space="0" w:color="6D6D6D"/>
            </w:tcBorders>
            <w:tcMar>
              <w:top w:w="80" w:type="nil"/>
              <w:left w:w="80" w:type="nil"/>
              <w:bottom w:w="40" w:type="nil"/>
              <w:right w:w="80" w:type="nil"/>
            </w:tcMar>
            <w:vAlign w:val="center"/>
          </w:tcPr>
          <w:p w14:paraId="2D3C7D3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E</w:t>
            </w:r>
          </w:p>
        </w:tc>
        <w:tc>
          <w:tcPr>
            <w:tcW w:w="2332" w:type="dxa"/>
            <w:tcBorders>
              <w:bottom w:val="single" w:sz="16" w:space="0" w:color="6D6D6D"/>
            </w:tcBorders>
            <w:tcMar>
              <w:top w:w="80" w:type="nil"/>
              <w:left w:w="80" w:type="nil"/>
              <w:bottom w:w="40" w:type="nil"/>
              <w:right w:w="80" w:type="nil"/>
            </w:tcMar>
            <w:vAlign w:val="center"/>
          </w:tcPr>
          <w:p w14:paraId="049D23DE"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757.0</w:t>
            </w:r>
          </w:p>
        </w:tc>
        <w:tc>
          <w:tcPr>
            <w:tcW w:w="2344" w:type="dxa"/>
            <w:tcBorders>
              <w:bottom w:val="single" w:sz="16" w:space="0" w:color="6D6D6D"/>
            </w:tcBorders>
            <w:tcMar>
              <w:top w:w="80" w:type="nil"/>
              <w:left w:w="80" w:type="nil"/>
              <w:bottom w:w="40" w:type="nil"/>
              <w:right w:w="80" w:type="nil"/>
            </w:tcMar>
            <w:vAlign w:val="center"/>
          </w:tcPr>
          <w:p w14:paraId="1B75B08D"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0.86</w:t>
            </w:r>
          </w:p>
        </w:tc>
        <w:tc>
          <w:tcPr>
            <w:tcW w:w="3111" w:type="dxa"/>
            <w:tcBorders>
              <w:bottom w:val="single" w:sz="16" w:space="0" w:color="6D6D6D"/>
            </w:tcBorders>
            <w:tcMar>
              <w:top w:w="80" w:type="nil"/>
              <w:left w:w="80" w:type="nil"/>
              <w:bottom w:w="40" w:type="nil"/>
              <w:right w:w="80" w:type="nil"/>
            </w:tcMar>
            <w:vAlign w:val="center"/>
          </w:tcPr>
          <w:p w14:paraId="0D02CDD8"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85</w:t>
            </w:r>
          </w:p>
        </w:tc>
        <w:tc>
          <w:tcPr>
            <w:tcW w:w="1033" w:type="dxa"/>
            <w:tcBorders>
              <w:bottom w:val="single" w:sz="16" w:space="0" w:color="6D6D6D"/>
            </w:tcBorders>
            <w:tcMar>
              <w:top w:w="80" w:type="nil"/>
              <w:left w:w="80" w:type="nil"/>
              <w:bottom w:w="40" w:type="nil"/>
              <w:right w:w="80" w:type="nil"/>
            </w:tcMar>
            <w:vAlign w:val="center"/>
          </w:tcPr>
          <w:p w14:paraId="3F9F88EC"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49.9</w:t>
            </w:r>
          </w:p>
        </w:tc>
        <w:tc>
          <w:tcPr>
            <w:tcW w:w="1244" w:type="dxa"/>
            <w:tcBorders>
              <w:bottom w:val="single" w:sz="16" w:space="0" w:color="6D6D6D"/>
            </w:tcBorders>
            <w:tcMar>
              <w:top w:w="80" w:type="nil"/>
              <w:left w:w="80" w:type="nil"/>
              <w:bottom w:w="40" w:type="nil"/>
              <w:right w:w="80" w:type="nil"/>
            </w:tcMar>
            <w:vAlign w:val="center"/>
          </w:tcPr>
          <w:p w14:paraId="66549B13" w14:textId="77777777" w:rsidR="008A5243" w:rsidRDefault="008A5243">
            <w:pPr>
              <w:widowControl w:val="0"/>
              <w:autoSpaceDE w:val="0"/>
              <w:autoSpaceDN w:val="0"/>
              <w:adjustRightInd w:val="0"/>
              <w:rPr>
                <w:rFonts w:ascii="Arial" w:hAnsi="Arial" w:cs="Arial"/>
                <w:sz w:val="26"/>
                <w:szCs w:val="26"/>
                <w:u w:color="0000E9"/>
              </w:rPr>
            </w:pPr>
            <w:r>
              <w:rPr>
                <w:rFonts w:ascii="Arial" w:hAnsi="Arial" w:cs="Arial"/>
                <w:sz w:val="26"/>
                <w:szCs w:val="26"/>
                <w:u w:color="0000E9"/>
              </w:rPr>
              <w:t>49.7</w:t>
            </w:r>
          </w:p>
        </w:tc>
      </w:tr>
    </w:tbl>
    <w:p w14:paraId="3D418CDA"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p>
    <w:p w14:paraId="16C5654F" w14:textId="77777777" w:rsidR="008A5243" w:rsidRDefault="008A5243">
      <w:pPr>
        <w:rPr>
          <w:rFonts w:ascii="Cambria" w:hAnsi="Cambria" w:cs="Cambria"/>
          <w:b/>
          <w:bCs/>
          <w:color w:val="2A4B7E"/>
          <w:sz w:val="37"/>
          <w:szCs w:val="37"/>
          <w:u w:color="0000E9"/>
        </w:rPr>
      </w:pPr>
      <w:r>
        <w:rPr>
          <w:rFonts w:ascii="Cambria" w:hAnsi="Cambria" w:cs="Cambria"/>
          <w:b/>
          <w:bCs/>
          <w:color w:val="2A4B7E"/>
          <w:sz w:val="37"/>
          <w:szCs w:val="37"/>
          <w:u w:color="0000E9"/>
        </w:rPr>
        <w:br w:type="page"/>
      </w:r>
    </w:p>
    <w:p w14:paraId="2DCC4092" w14:textId="77777777" w:rsidR="008A5243" w:rsidRDefault="008A5243" w:rsidP="008A5243">
      <w:pPr>
        <w:widowControl w:val="0"/>
        <w:autoSpaceDE w:val="0"/>
        <w:autoSpaceDN w:val="0"/>
        <w:adjustRightInd w:val="0"/>
        <w:rPr>
          <w:rFonts w:ascii="Cambria" w:hAnsi="Cambria" w:cs="Cambria"/>
          <w:b/>
          <w:bCs/>
          <w:color w:val="2A4B7E"/>
          <w:sz w:val="37"/>
          <w:szCs w:val="37"/>
          <w:u w:color="0000E9"/>
        </w:rPr>
      </w:pPr>
      <w:r>
        <w:rPr>
          <w:rFonts w:ascii="Cambria" w:hAnsi="Cambria" w:cs="Cambria"/>
          <w:b/>
          <w:bCs/>
          <w:color w:val="2A4B7E"/>
          <w:sz w:val="37"/>
          <w:szCs w:val="37"/>
          <w:u w:color="0000E9"/>
        </w:rPr>
        <w:t>References</w:t>
      </w:r>
    </w:p>
    <w:p w14:paraId="0FD5F5B6" w14:textId="77777777" w:rsidR="008A5243" w:rsidRDefault="008A5243" w:rsidP="008A5243">
      <w:pPr>
        <w:widowControl w:val="0"/>
        <w:autoSpaceDE w:val="0"/>
        <w:autoSpaceDN w:val="0"/>
        <w:adjustRightInd w:val="0"/>
        <w:rPr>
          <w:rFonts w:ascii="Calibri" w:hAnsi="Calibri" w:cs="Calibri"/>
          <w:sz w:val="29"/>
          <w:szCs w:val="29"/>
          <w:u w:color="0000E9"/>
        </w:rPr>
      </w:pP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D. W. (2009). </w:t>
      </w:r>
      <w:proofErr w:type="gramStart"/>
      <w:r>
        <w:rPr>
          <w:rFonts w:ascii="Calibri" w:hAnsi="Calibri" w:cs="Calibri"/>
          <w:sz w:val="29"/>
          <w:szCs w:val="29"/>
          <w:u w:color="0000E9"/>
        </w:rPr>
        <w:t>Norm- and criterion-referenced student growth.</w:t>
      </w:r>
      <w:proofErr w:type="gramEnd"/>
      <w:r>
        <w:rPr>
          <w:rFonts w:ascii="Calibri" w:hAnsi="Calibri" w:cs="Calibri"/>
          <w:sz w:val="29"/>
          <w:szCs w:val="29"/>
          <w:u w:color="0000E9"/>
        </w:rPr>
        <w:t xml:space="preserve"> </w:t>
      </w:r>
      <w:r>
        <w:rPr>
          <w:rFonts w:ascii="Calibri" w:hAnsi="Calibri" w:cs="Calibri"/>
          <w:i/>
          <w:iCs/>
          <w:sz w:val="29"/>
          <w:szCs w:val="29"/>
          <w:u w:color="0000E9"/>
        </w:rPr>
        <w:t>Educational Measurement: Issues and Practice</w:t>
      </w:r>
      <w:r>
        <w:rPr>
          <w:rFonts w:ascii="Calibri" w:hAnsi="Calibri" w:cs="Calibri"/>
          <w:sz w:val="29"/>
          <w:szCs w:val="29"/>
          <w:u w:color="0000E9"/>
        </w:rPr>
        <w:t xml:space="preserve">, </w:t>
      </w:r>
      <w:r>
        <w:rPr>
          <w:rFonts w:ascii="Calibri" w:hAnsi="Calibri" w:cs="Calibri"/>
          <w:i/>
          <w:iCs/>
          <w:sz w:val="29"/>
          <w:szCs w:val="29"/>
          <w:u w:color="0000E9"/>
        </w:rPr>
        <w:t>28</w:t>
      </w:r>
      <w:r>
        <w:rPr>
          <w:rFonts w:ascii="Calibri" w:hAnsi="Calibri" w:cs="Calibri"/>
          <w:sz w:val="29"/>
          <w:szCs w:val="29"/>
          <w:u w:color="0000E9"/>
        </w:rPr>
        <w:t>(4), 42–51.</w:t>
      </w:r>
    </w:p>
    <w:p w14:paraId="1E400456" w14:textId="77777777" w:rsidR="008A5243" w:rsidRDefault="008A5243" w:rsidP="008A5243">
      <w:pPr>
        <w:widowControl w:val="0"/>
        <w:autoSpaceDE w:val="0"/>
        <w:autoSpaceDN w:val="0"/>
        <w:adjustRightInd w:val="0"/>
        <w:rPr>
          <w:rFonts w:ascii="Calibri" w:hAnsi="Calibri" w:cs="Calibri"/>
          <w:sz w:val="29"/>
          <w:szCs w:val="29"/>
          <w:u w:color="0000E9"/>
        </w:rPr>
      </w:pP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D. W., VanIwaarden, A., </w:t>
      </w:r>
      <w:proofErr w:type="spellStart"/>
      <w:r>
        <w:rPr>
          <w:rFonts w:ascii="Calibri" w:hAnsi="Calibri" w:cs="Calibri"/>
          <w:sz w:val="29"/>
          <w:szCs w:val="29"/>
          <w:u w:color="0000E9"/>
        </w:rPr>
        <w:t>Domingue</w:t>
      </w:r>
      <w:proofErr w:type="spellEnd"/>
      <w:r>
        <w:rPr>
          <w:rFonts w:ascii="Calibri" w:hAnsi="Calibri" w:cs="Calibri"/>
          <w:sz w:val="29"/>
          <w:szCs w:val="29"/>
          <w:u w:color="0000E9"/>
        </w:rPr>
        <w:t xml:space="preserve">, B., &amp; Shang, Y. (2016). </w:t>
      </w:r>
      <w:r>
        <w:rPr>
          <w:rFonts w:ascii="Calibri" w:hAnsi="Calibri" w:cs="Calibri"/>
          <w:i/>
          <w:iCs/>
          <w:sz w:val="29"/>
          <w:szCs w:val="29"/>
          <w:u w:color="0000E9"/>
        </w:rPr>
        <w:t>SGP: An r package for the calculation and visualization of student growth percentiles &amp; percentile growth trajectories.</w:t>
      </w:r>
      <w:r>
        <w:rPr>
          <w:rFonts w:ascii="Calibri" w:hAnsi="Calibri" w:cs="Calibri"/>
          <w:sz w:val="29"/>
          <w:szCs w:val="29"/>
          <w:u w:color="0000E9"/>
        </w:rPr>
        <w:t xml:space="preserve"> Retrieved from </w:t>
      </w:r>
      <w:hyperlink r:id="rId27" w:history="1">
        <w:r>
          <w:rPr>
            <w:rFonts w:ascii="Calibri" w:hAnsi="Calibri" w:cs="Calibri"/>
            <w:color w:val="6B006D"/>
            <w:sz w:val="29"/>
            <w:szCs w:val="29"/>
            <w:u w:val="single" w:color="6B006D"/>
          </w:rPr>
          <w:t>https://github.com/CenterForAssessment/SGP</w:t>
        </w:r>
      </w:hyperlink>
    </w:p>
    <w:p w14:paraId="18F31A15" w14:textId="77777777" w:rsidR="008A5243" w:rsidRDefault="008A5243" w:rsidP="008A5243">
      <w:pPr>
        <w:widowControl w:val="0"/>
        <w:autoSpaceDE w:val="0"/>
        <w:autoSpaceDN w:val="0"/>
        <w:adjustRightInd w:val="0"/>
        <w:rPr>
          <w:rFonts w:ascii="Calibri" w:hAnsi="Calibri" w:cs="Calibri"/>
          <w:sz w:val="29"/>
          <w:szCs w:val="29"/>
          <w:u w:color="0000E9"/>
        </w:rPr>
      </w:pPr>
      <w:proofErr w:type="spellStart"/>
      <w:r>
        <w:rPr>
          <w:rFonts w:ascii="Calibri" w:hAnsi="Calibri" w:cs="Calibri"/>
          <w:sz w:val="29"/>
          <w:szCs w:val="29"/>
          <w:u w:color="0000E9"/>
        </w:rPr>
        <w:t>Koenker</w:t>
      </w:r>
      <w:proofErr w:type="spellEnd"/>
      <w:r>
        <w:rPr>
          <w:rFonts w:ascii="Calibri" w:hAnsi="Calibri" w:cs="Calibri"/>
          <w:sz w:val="29"/>
          <w:szCs w:val="29"/>
          <w:u w:color="0000E9"/>
        </w:rPr>
        <w:t xml:space="preserve">, R. (2005). </w:t>
      </w:r>
      <w:proofErr w:type="spellStart"/>
      <w:r>
        <w:rPr>
          <w:rFonts w:ascii="Calibri" w:hAnsi="Calibri" w:cs="Calibri"/>
          <w:i/>
          <w:iCs/>
          <w:sz w:val="29"/>
          <w:szCs w:val="29"/>
          <w:u w:color="0000E9"/>
        </w:rPr>
        <w:t>Quantile</w:t>
      </w:r>
      <w:proofErr w:type="spellEnd"/>
      <w:r>
        <w:rPr>
          <w:rFonts w:ascii="Calibri" w:hAnsi="Calibri" w:cs="Calibri"/>
          <w:i/>
          <w:iCs/>
          <w:sz w:val="29"/>
          <w:szCs w:val="29"/>
          <w:u w:color="0000E9"/>
        </w:rPr>
        <w:t xml:space="preserve"> regression</w:t>
      </w:r>
      <w:r>
        <w:rPr>
          <w:rFonts w:ascii="Calibri" w:hAnsi="Calibri" w:cs="Calibri"/>
          <w:sz w:val="29"/>
          <w:szCs w:val="29"/>
          <w:u w:color="0000E9"/>
        </w:rPr>
        <w:t>. Cambridge: Cambridge University Press.</w:t>
      </w:r>
    </w:p>
    <w:p w14:paraId="413C4C01"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McCaffrey, D., Han, B., &amp; Lockwood, J. (2008). From data to bonuses: A case study of the issues related to awarding teachers pay on the basis of their students’ progress. In </w:t>
      </w:r>
      <w:r>
        <w:rPr>
          <w:rFonts w:ascii="Calibri" w:hAnsi="Calibri" w:cs="Calibri"/>
          <w:i/>
          <w:iCs/>
          <w:sz w:val="29"/>
          <w:szCs w:val="29"/>
          <w:u w:color="0000E9"/>
        </w:rPr>
        <w:t xml:space="preserve">Performance incentives: </w:t>
      </w:r>
      <w:proofErr w:type="gramStart"/>
      <w:r>
        <w:rPr>
          <w:rFonts w:ascii="Calibri" w:hAnsi="Calibri" w:cs="Calibri"/>
          <w:i/>
          <w:iCs/>
          <w:sz w:val="29"/>
          <w:szCs w:val="29"/>
          <w:u w:color="0000E9"/>
        </w:rPr>
        <w:t>Their</w:t>
      </w:r>
      <w:proofErr w:type="gramEnd"/>
      <w:r>
        <w:rPr>
          <w:rFonts w:ascii="Calibri" w:hAnsi="Calibri" w:cs="Calibri"/>
          <w:i/>
          <w:iCs/>
          <w:sz w:val="29"/>
          <w:szCs w:val="29"/>
          <w:u w:color="0000E9"/>
        </w:rPr>
        <w:t xml:space="preserve"> growing impact on </w:t>
      </w:r>
      <w:proofErr w:type="spellStart"/>
      <w:r>
        <w:rPr>
          <w:rFonts w:ascii="Calibri" w:hAnsi="Calibri" w:cs="Calibri"/>
          <w:i/>
          <w:iCs/>
          <w:sz w:val="29"/>
          <w:szCs w:val="29"/>
          <w:u w:color="0000E9"/>
        </w:rPr>
        <w:t>american</w:t>
      </w:r>
      <w:proofErr w:type="spellEnd"/>
      <w:r>
        <w:rPr>
          <w:rFonts w:ascii="Calibri" w:hAnsi="Calibri" w:cs="Calibri"/>
          <w:i/>
          <w:iCs/>
          <w:sz w:val="29"/>
          <w:szCs w:val="29"/>
          <w:u w:color="0000E9"/>
        </w:rPr>
        <w:t xml:space="preserve"> k-12 education (conference)</w:t>
      </w:r>
      <w:r>
        <w:rPr>
          <w:rFonts w:ascii="Calibri" w:hAnsi="Calibri" w:cs="Calibri"/>
          <w:sz w:val="29"/>
          <w:szCs w:val="29"/>
          <w:u w:color="0000E9"/>
        </w:rPr>
        <w:t>. Vanderbilt University, Nashville, TN: National Center for Performance Incentives.</w:t>
      </w:r>
    </w:p>
    <w:p w14:paraId="413C9AEE" w14:textId="77777777" w:rsidR="008A5243" w:rsidRDefault="008A5243" w:rsidP="008A5243">
      <w:pPr>
        <w:widowControl w:val="0"/>
        <w:autoSpaceDE w:val="0"/>
        <w:autoSpaceDN w:val="0"/>
        <w:adjustRightInd w:val="0"/>
        <w:rPr>
          <w:rFonts w:ascii="Calibri" w:hAnsi="Calibri" w:cs="Calibri"/>
          <w:sz w:val="29"/>
          <w:szCs w:val="29"/>
          <w:u w:color="0000E9"/>
        </w:rPr>
      </w:pPr>
      <w:proofErr w:type="gramStart"/>
      <w:r>
        <w:rPr>
          <w:rFonts w:ascii="Calibri" w:hAnsi="Calibri" w:cs="Calibri"/>
          <w:sz w:val="29"/>
          <w:szCs w:val="29"/>
          <w:u w:color="0000E9"/>
        </w:rPr>
        <w:t>R Development Core Team.</w:t>
      </w:r>
      <w:proofErr w:type="gramEnd"/>
      <w:r>
        <w:rPr>
          <w:rFonts w:ascii="Calibri" w:hAnsi="Calibri" w:cs="Calibri"/>
          <w:sz w:val="29"/>
          <w:szCs w:val="29"/>
          <w:u w:color="0000E9"/>
        </w:rPr>
        <w:t xml:space="preserve"> (2015). </w:t>
      </w:r>
      <w:r>
        <w:rPr>
          <w:rFonts w:ascii="Calibri" w:hAnsi="Calibri" w:cs="Calibri"/>
          <w:i/>
          <w:iCs/>
          <w:sz w:val="29"/>
          <w:szCs w:val="29"/>
          <w:u w:color="0000E9"/>
        </w:rPr>
        <w:t>R: A language and environment for statistical computing</w:t>
      </w:r>
      <w:r>
        <w:rPr>
          <w:rFonts w:ascii="Calibri" w:hAnsi="Calibri" w:cs="Calibri"/>
          <w:sz w:val="29"/>
          <w:szCs w:val="29"/>
          <w:u w:color="0000E9"/>
        </w:rPr>
        <w:t xml:space="preserve">. Vienna, Austria: R Foundation for Statistical Computing. Retrieved from </w:t>
      </w:r>
      <w:hyperlink r:id="rId28" w:history="1">
        <w:r>
          <w:rPr>
            <w:rFonts w:ascii="Calibri" w:hAnsi="Calibri" w:cs="Calibri"/>
            <w:color w:val="0000E9"/>
            <w:sz w:val="29"/>
            <w:szCs w:val="29"/>
            <w:u w:val="single" w:color="0000E9"/>
          </w:rPr>
          <w:t>http://www.R-project.org</w:t>
        </w:r>
      </w:hyperlink>
    </w:p>
    <w:p w14:paraId="4D106AC3" w14:textId="77777777" w:rsidR="008A5243" w:rsidRDefault="008A5243" w:rsidP="008A5243">
      <w:pPr>
        <w:widowControl w:val="0"/>
        <w:autoSpaceDE w:val="0"/>
        <w:autoSpaceDN w:val="0"/>
        <w:adjustRightInd w:val="0"/>
        <w:rPr>
          <w:rFonts w:ascii="Calibri" w:hAnsi="Calibri" w:cs="Calibri"/>
          <w:sz w:val="29"/>
          <w:szCs w:val="29"/>
          <w:u w:color="0000E9"/>
        </w:rPr>
      </w:pPr>
      <w:r>
        <w:rPr>
          <w:rFonts w:ascii="Calibri" w:hAnsi="Calibri" w:cs="Calibri"/>
          <w:sz w:val="29"/>
          <w:szCs w:val="29"/>
          <w:u w:color="0000E9"/>
        </w:rPr>
        <w:t xml:space="preserve">Shang, Y., VanIwaarden, A., &amp; </w:t>
      </w:r>
      <w:proofErr w:type="spellStart"/>
      <w:r>
        <w:rPr>
          <w:rFonts w:ascii="Calibri" w:hAnsi="Calibri" w:cs="Calibri"/>
          <w:sz w:val="29"/>
          <w:szCs w:val="29"/>
          <w:u w:color="0000E9"/>
        </w:rPr>
        <w:t>Betebenner</w:t>
      </w:r>
      <w:proofErr w:type="spellEnd"/>
      <w:r>
        <w:rPr>
          <w:rFonts w:ascii="Calibri" w:hAnsi="Calibri" w:cs="Calibri"/>
          <w:sz w:val="29"/>
          <w:szCs w:val="29"/>
          <w:u w:color="0000E9"/>
        </w:rPr>
        <w:t xml:space="preserve">, D. W. (2015). </w:t>
      </w:r>
      <w:proofErr w:type="gramStart"/>
      <w:r>
        <w:rPr>
          <w:rFonts w:ascii="Calibri" w:hAnsi="Calibri" w:cs="Calibri"/>
          <w:sz w:val="29"/>
          <w:szCs w:val="29"/>
          <w:u w:color="0000E9"/>
        </w:rPr>
        <w:t xml:space="preserve">Covariate measurement error correction for student growth percentiles using the </w:t>
      </w:r>
      <w:proofErr w:type="spellStart"/>
      <w:r>
        <w:rPr>
          <w:rFonts w:ascii="Calibri" w:hAnsi="Calibri" w:cs="Calibri"/>
          <w:sz w:val="29"/>
          <w:szCs w:val="29"/>
          <w:u w:color="0000E9"/>
        </w:rPr>
        <w:t>sIMEX</w:t>
      </w:r>
      <w:proofErr w:type="spellEnd"/>
      <w:r>
        <w:rPr>
          <w:rFonts w:ascii="Calibri" w:hAnsi="Calibri" w:cs="Calibri"/>
          <w:sz w:val="29"/>
          <w:szCs w:val="29"/>
          <w:u w:color="0000E9"/>
        </w:rPr>
        <w:t xml:space="preserve"> method.</w:t>
      </w:r>
      <w:proofErr w:type="gramEnd"/>
      <w:r>
        <w:rPr>
          <w:rFonts w:ascii="Calibri" w:hAnsi="Calibri" w:cs="Calibri"/>
          <w:sz w:val="29"/>
          <w:szCs w:val="29"/>
          <w:u w:color="0000E9"/>
        </w:rPr>
        <w:t xml:space="preserve"> </w:t>
      </w:r>
      <w:r>
        <w:rPr>
          <w:rFonts w:ascii="Calibri" w:hAnsi="Calibri" w:cs="Calibri"/>
          <w:i/>
          <w:iCs/>
          <w:sz w:val="29"/>
          <w:szCs w:val="29"/>
          <w:u w:color="0000E9"/>
        </w:rPr>
        <w:t>Educational Measurement: Issues and Practice</w:t>
      </w:r>
      <w:r>
        <w:rPr>
          <w:rFonts w:ascii="Calibri" w:hAnsi="Calibri" w:cs="Calibri"/>
          <w:sz w:val="29"/>
          <w:szCs w:val="29"/>
          <w:u w:color="0000E9"/>
        </w:rPr>
        <w:t xml:space="preserve">, </w:t>
      </w:r>
      <w:r>
        <w:rPr>
          <w:rFonts w:ascii="Calibri" w:hAnsi="Calibri" w:cs="Calibri"/>
          <w:i/>
          <w:iCs/>
          <w:sz w:val="29"/>
          <w:szCs w:val="29"/>
          <w:u w:color="0000E9"/>
        </w:rPr>
        <w:t>34</w:t>
      </w:r>
      <w:r>
        <w:rPr>
          <w:rFonts w:ascii="Calibri" w:hAnsi="Calibri" w:cs="Calibri"/>
          <w:sz w:val="29"/>
          <w:szCs w:val="29"/>
          <w:u w:color="0000E9"/>
        </w:rPr>
        <w:t xml:space="preserve">(1), 4–14. Retrieved from </w:t>
      </w:r>
      <w:hyperlink r:id="rId29" w:history="1">
        <w:r>
          <w:rPr>
            <w:rFonts w:ascii="Calibri" w:hAnsi="Calibri" w:cs="Calibri"/>
            <w:color w:val="0000E9"/>
            <w:sz w:val="29"/>
            <w:szCs w:val="29"/>
            <w:u w:val="single" w:color="0000E9"/>
          </w:rPr>
          <w:t>http://dx.doi.org/10.1111/emip.12058</w:t>
        </w:r>
      </w:hyperlink>
    </w:p>
    <w:p w14:paraId="09DC8D90" w14:textId="77777777" w:rsidR="008A5243" w:rsidRDefault="008A5243" w:rsidP="008A5243">
      <w:pPr>
        <w:widowControl w:val="0"/>
        <w:autoSpaceDE w:val="0"/>
        <w:autoSpaceDN w:val="0"/>
        <w:adjustRightInd w:val="0"/>
        <w:rPr>
          <w:rFonts w:ascii="Calibri" w:hAnsi="Calibri" w:cs="Calibri"/>
          <w:sz w:val="29"/>
          <w:szCs w:val="29"/>
          <w:u w:color="0000E9"/>
        </w:rPr>
      </w:pPr>
    </w:p>
    <w:p w14:paraId="6D2F952B" w14:textId="77777777" w:rsidR="008A5243" w:rsidRDefault="008A5243" w:rsidP="008A5243">
      <w:pPr>
        <w:widowControl w:val="0"/>
        <w:numPr>
          <w:ilvl w:val="0"/>
          <w:numId w:val="7"/>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 xml:space="preserve">More in-depth treatment of the SGP Methodology can be found </w:t>
      </w:r>
      <w:hyperlink r:id="rId30" w:history="1">
        <w:r>
          <w:rPr>
            <w:rFonts w:ascii="Calibri" w:hAnsi="Calibri" w:cs="Calibri"/>
            <w:color w:val="6B006D"/>
            <w:sz w:val="29"/>
            <w:szCs w:val="29"/>
            <w:u w:val="single" w:color="6B006D"/>
          </w:rPr>
          <w:t>here</w:t>
        </w:r>
      </w:hyperlink>
      <w:r>
        <w:rPr>
          <w:rFonts w:ascii="Calibri" w:hAnsi="Calibri" w:cs="Calibri"/>
          <w:sz w:val="29"/>
          <w:szCs w:val="29"/>
          <w:u w:color="0000E9"/>
        </w:rPr>
        <w:t xml:space="preserve"> and in Appendix B of this report.</w:t>
      </w:r>
      <w:r>
        <w:rPr>
          <w:rFonts w:ascii="Cambria" w:hAnsi="Cambria" w:cs="Cambria"/>
          <w:color w:val="0000E9"/>
          <w:sz w:val="29"/>
          <w:szCs w:val="29"/>
          <w:u w:val="single" w:color="0000E9"/>
        </w:rPr>
        <w:t>↩</w:t>
      </w:r>
    </w:p>
    <w:p w14:paraId="557A73E1" w14:textId="77777777" w:rsidR="008A5243" w:rsidRDefault="008A5243" w:rsidP="008A5243">
      <w:pPr>
        <w:widowControl w:val="0"/>
        <w:numPr>
          <w:ilvl w:val="0"/>
          <w:numId w:val="7"/>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This number does not represent the number of SGPs produced, however, because students are required to have at least one prior score available as well.</w:t>
      </w:r>
      <w:r>
        <w:rPr>
          <w:rFonts w:ascii="Cambria" w:hAnsi="Cambria" w:cs="Cambria"/>
          <w:color w:val="0000E9"/>
          <w:sz w:val="29"/>
          <w:szCs w:val="29"/>
          <w:u w:val="single" w:color="0000E9"/>
        </w:rPr>
        <w:t>↩</w:t>
      </w:r>
    </w:p>
    <w:p w14:paraId="55BC4FE2" w14:textId="77777777" w:rsidR="008A5243" w:rsidRDefault="008A5243" w:rsidP="008A5243">
      <w:pPr>
        <w:widowControl w:val="0"/>
        <w:numPr>
          <w:ilvl w:val="0"/>
          <w:numId w:val="7"/>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Note that the prior year scores are not represented here, but are also a critical factor in ceiling effects.</w:t>
      </w:r>
      <w:r>
        <w:rPr>
          <w:rFonts w:ascii="Cambria" w:hAnsi="Cambria" w:cs="Cambria"/>
          <w:color w:val="0000E9"/>
          <w:sz w:val="29"/>
          <w:szCs w:val="29"/>
          <w:u w:val="single" w:color="0000E9"/>
        </w:rPr>
        <w:t>↩</w:t>
      </w:r>
    </w:p>
    <w:p w14:paraId="34518671" w14:textId="77777777" w:rsidR="008A5243" w:rsidRDefault="008A5243" w:rsidP="008A5243">
      <w:pPr>
        <w:widowControl w:val="0"/>
        <w:numPr>
          <w:ilvl w:val="0"/>
          <w:numId w:val="7"/>
        </w:numPr>
        <w:tabs>
          <w:tab w:val="left" w:pos="220"/>
          <w:tab w:val="left" w:pos="720"/>
        </w:tabs>
        <w:autoSpaceDE w:val="0"/>
        <w:autoSpaceDN w:val="0"/>
        <w:adjustRightInd w:val="0"/>
        <w:ind w:hanging="720"/>
        <w:rPr>
          <w:rFonts w:ascii="Calibri" w:hAnsi="Calibri" w:cs="Calibri"/>
          <w:sz w:val="29"/>
          <w:szCs w:val="29"/>
          <w:u w:color="0000E9"/>
        </w:rPr>
      </w:pPr>
      <w:r>
        <w:rPr>
          <w:rFonts w:ascii="Calibri" w:hAnsi="Calibri" w:cs="Calibri"/>
          <w:sz w:val="29"/>
          <w:szCs w:val="29"/>
          <w:u w:color="0000E9"/>
        </w:rPr>
        <w:t xml:space="preserve">The total students in each analysis varies depending on grade and subject, and prior score </w:t>
      </w:r>
      <w:proofErr w:type="spellStart"/>
      <w:r>
        <w:rPr>
          <w:rFonts w:ascii="Calibri" w:hAnsi="Calibri" w:cs="Calibri"/>
          <w:sz w:val="29"/>
          <w:szCs w:val="29"/>
          <w:u w:color="0000E9"/>
        </w:rPr>
        <w:t>deciles</w:t>
      </w:r>
      <w:proofErr w:type="spellEnd"/>
      <w:r>
        <w:rPr>
          <w:rFonts w:ascii="Calibri" w:hAnsi="Calibri" w:cs="Calibri"/>
          <w:sz w:val="29"/>
          <w:szCs w:val="29"/>
          <w:u w:color="0000E9"/>
        </w:rPr>
        <w:t xml:space="preserve"> are based only on scores for students used in the SGP calculations.</w:t>
      </w:r>
      <w:r>
        <w:rPr>
          <w:rFonts w:ascii="Cambria" w:hAnsi="Cambria" w:cs="Cambria"/>
          <w:color w:val="0000E9"/>
          <w:sz w:val="29"/>
          <w:szCs w:val="29"/>
          <w:u w:val="single" w:color="0000E9"/>
        </w:rPr>
        <w:t>↩</w:t>
      </w:r>
    </w:p>
    <w:p w14:paraId="369F61C3" w14:textId="77777777" w:rsidR="00954804" w:rsidRDefault="008A5243" w:rsidP="008A5243">
      <w:r>
        <w:rPr>
          <w:rFonts w:ascii="Calibri" w:hAnsi="Calibri" w:cs="Calibri"/>
          <w:sz w:val="29"/>
          <w:szCs w:val="29"/>
          <w:u w:color="0000E9"/>
        </w:rPr>
        <w:t>Note that correlations that are initially negative will become increasingly negative rather than return to zero.</w:t>
      </w:r>
      <w:r>
        <w:rPr>
          <w:rFonts w:ascii="Cambria" w:hAnsi="Cambria" w:cs="Cambria"/>
          <w:color w:val="0000E9"/>
          <w:sz w:val="29"/>
          <w:szCs w:val="29"/>
          <w:u w:val="single" w:color="0000E9"/>
        </w:rPr>
        <w:t>↩</w:t>
      </w:r>
    </w:p>
    <w:sectPr w:rsidR="00954804" w:rsidSect="00EA6B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243"/>
    <w:rsid w:val="00431AFF"/>
    <w:rsid w:val="00447A32"/>
    <w:rsid w:val="00462222"/>
    <w:rsid w:val="0059589C"/>
    <w:rsid w:val="00597D51"/>
    <w:rsid w:val="007818E3"/>
    <w:rsid w:val="008A5243"/>
    <w:rsid w:val="00954804"/>
    <w:rsid w:val="009F50A9"/>
    <w:rsid w:val="00BD0D99"/>
    <w:rsid w:val="00EA6B6A"/>
    <w:rsid w:val="00F44CA2"/>
    <w:rsid w:val="00F762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233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2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2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project.org/"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s://github.com/CenterForAssessment/SGP_Resources/tree/master/articles" TargetMode="External"/><Relationship Id="rId27" Type="http://schemas.openxmlformats.org/officeDocument/2006/relationships/hyperlink" Target="https://github.com/CenterForAssessment/SGP" TargetMode="External"/><Relationship Id="rId28" Type="http://schemas.openxmlformats.org/officeDocument/2006/relationships/hyperlink" Target="http://www.r-project.org/" TargetMode="External"/><Relationship Id="rId29" Type="http://schemas.openxmlformats.org/officeDocument/2006/relationships/hyperlink" Target="http://dx.doi.org/10.1111/emip.12058" TargetMode="External"/><Relationship Id="rId30" Type="http://schemas.openxmlformats.org/officeDocument/2006/relationships/hyperlink" Target="https://github.com/CenterForAssessment/SGP_Resources/tree/master/articles"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CenterForAssessment/SGP" TargetMode="External"/><Relationship Id="rId11" Type="http://schemas.openxmlformats.org/officeDocument/2006/relationships/hyperlink" Target="https://github.com/CenterForAssessment/SGP_Resources/blob/master/presentations/Academic_Peer_Slides.pdf" TargetMode="External"/><Relationship Id="rId12" Type="http://schemas.openxmlformats.org/officeDocument/2006/relationships/hyperlink" Target="https://github.com/CenterForAssessment/SGPstateData/blob/052fc248ffa7fbe196cb75a58efdfac3cfae3c1d/SGPstateData.R#L19" TargetMode="External"/><Relationship Id="rId13" Type="http://schemas.openxmlformats.org/officeDocument/2006/relationships/hyperlink" Target="https://github.com/CenterForAssessment/SGPstateData/blob/052fc248ffa7fbe196cb75a58efdfac3cfae3c1d/SGPstateData.R#L115" TargetMode="External"/><Relationship Id="rId14" Type="http://schemas.openxmlformats.org/officeDocument/2006/relationships/hyperlink" Target="http://www.r-project.org/" TargetMode="External"/><Relationship Id="rId15" Type="http://schemas.openxmlformats.org/officeDocument/2006/relationships/hyperlink" Target="https://github.com/CenterForAssessment/SGP" TargetMode="External"/><Relationship Id="rId16" Type="http://schemas.openxmlformats.org/officeDocument/2006/relationships/hyperlink" Target="https://cran.r-project.org/web/packages/SGP/SGP.pdf"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rcconline.org/" TargetMode="External"/><Relationship Id="rId7" Type="http://schemas.openxmlformats.org/officeDocument/2006/relationships/hyperlink" Target="http://www.pearsoned.com/" TargetMode="External"/><Relationship Id="rId8" Type="http://schemas.openxmlformats.org/officeDocument/2006/relationships/hyperlink" Target="http://www.ncie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7145</Words>
  <Characters>40733</Characters>
  <Application>Microsoft Macintosh Word</Application>
  <DocSecurity>0</DocSecurity>
  <Lines>339</Lines>
  <Paragraphs>95</Paragraphs>
  <ScaleCrop>false</ScaleCrop>
  <Company/>
  <LinksUpToDate>false</LinksUpToDate>
  <CharactersWithSpaces>47783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VanIwaarden</dc:creator>
  <cp:keywords/>
  <dc:description/>
  <cp:lastModifiedBy>Adam VanIwaarden</cp:lastModifiedBy>
  <cp:revision>2</cp:revision>
  <dcterms:created xsi:type="dcterms:W3CDTF">2017-01-31T13:23:00Z</dcterms:created>
  <dcterms:modified xsi:type="dcterms:W3CDTF">2017-01-31T13:37:00Z</dcterms:modified>
</cp:coreProperties>
</file>