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646F9" w14:textId="77777777" w:rsidR="00874E8A" w:rsidRDefault="000A438D">
      <w:pPr>
        <w:pStyle w:val="Heading1"/>
      </w:pPr>
      <w:bookmarkStart w:id="0" w:name="X140d8ef6b883f74b90fb5027e12d10a12dedde5"/>
      <w:r>
        <w:t>Generalizability attempt to evaluate a claim from Trémolière_Cognition_2012_8wZ0</w:t>
      </w:r>
      <w:bookmarkEnd w:id="0"/>
    </w:p>
    <w:p w14:paraId="4C2D7CDF" w14:textId="5C29BC4F" w:rsidR="00874E8A" w:rsidRDefault="000A438D">
      <w:pPr>
        <w:pStyle w:val="FirstParagraph"/>
      </w:pPr>
      <w:r>
        <w:rPr>
          <w:b/>
        </w:rPr>
        <w:t>Replication team:</w:t>
      </w:r>
      <w:r>
        <w:t xml:space="preserve"> </w:t>
      </w:r>
      <w:r w:rsidR="00E050E0">
        <w:t>Zachariah Berry</w:t>
      </w:r>
    </w:p>
    <w:p w14:paraId="081C5C9E" w14:textId="77777777" w:rsidR="00874E8A" w:rsidRDefault="000A438D">
      <w:pPr>
        <w:pStyle w:val="BodyText"/>
      </w:pPr>
      <w:r>
        <w:rPr>
          <w:b/>
        </w:rPr>
        <w:t>SCORE RR ID:</w:t>
      </w:r>
      <w:r>
        <w:t xml:space="preserve"> 2y486</w:t>
      </w:r>
    </w:p>
    <w:p w14:paraId="4319D890" w14:textId="77777777" w:rsidR="00874E8A" w:rsidRDefault="000A438D">
      <w:pPr>
        <w:pStyle w:val="BodyText"/>
      </w:pPr>
      <w:r>
        <w:rPr>
          <w:b/>
        </w:rPr>
        <w:t>OSF Project:</w:t>
      </w:r>
      <w:r>
        <w:t xml:space="preserve"> </w:t>
      </w:r>
      <w:hyperlink r:id="rId7">
        <w:r>
          <w:rPr>
            <w:rStyle w:val="Hyperlink"/>
          </w:rPr>
          <w:t>https://osf.io/vt6ga</w:t>
        </w:r>
      </w:hyperlink>
    </w:p>
    <w:p w14:paraId="5195EADF" w14:textId="77777777" w:rsidR="00874E8A" w:rsidRDefault="000A438D">
      <w:pPr>
        <w:pStyle w:val="Heading2"/>
      </w:pPr>
      <w:bookmarkStart w:id="1" w:name="instructions"/>
      <w:r>
        <w:t>Instructions</w:t>
      </w:r>
      <w:bookmarkEnd w:id="1"/>
    </w:p>
    <w:p w14:paraId="7F604FB0" w14:textId="77777777" w:rsidR="00874E8A" w:rsidRDefault="000A438D">
      <w:pPr>
        <w:pStyle w:val="FirstParagraph"/>
      </w:pPr>
      <w:r>
        <w:t>For each claim that you are evaluating in this generalizability attempt, please complete all sections below. Please feel free to remove these and the other instructions for the final report that you provide on OSF.</w:t>
      </w:r>
    </w:p>
    <w:p w14:paraId="2CDE1B9C" w14:textId="77777777" w:rsidR="00874E8A" w:rsidRDefault="000A438D">
      <w:pPr>
        <w:pStyle w:val="BodyText"/>
      </w:pPr>
      <w:r>
        <w:t xml:space="preserve">Each claim evaluation </w:t>
      </w:r>
      <w:r>
        <w:rPr>
          <w:b/>
        </w:rPr>
        <w:t>must</w:t>
      </w:r>
      <w:r>
        <w:t xml:space="preserve"> include a binary determination of whether or not the claim was replicated, given the inferential criteria. In other words, a sentence along the lines of “This claim [was/was not] replicated.” should appear in every claim evaluation. You can (and should!) also articulate in your discussion why this interpretation may be limited, but programmatic requirements of the SCORE project at large include the binary decision so it must be present.</w:t>
      </w:r>
    </w:p>
    <w:p w14:paraId="5FD5EF22" w14:textId="77777777" w:rsidR="00874E8A" w:rsidRDefault="000A438D">
      <w:pPr>
        <w:pStyle w:val="BodyText"/>
      </w:pPr>
      <w:r>
        <w:t>There are also specific requirements for reporting the results of inferential tests:</w:t>
      </w:r>
    </w:p>
    <w:p w14:paraId="2D43E5C9" w14:textId="77777777" w:rsidR="00874E8A" w:rsidRDefault="000A438D">
      <w:pPr>
        <w:pStyle w:val="Compact"/>
        <w:numPr>
          <w:ilvl w:val="0"/>
          <w:numId w:val="13"/>
        </w:numPr>
      </w:pPr>
      <w:r>
        <w:t>Any p-value should be reported as an exact value, not a threshold, e.g.“p = .047” rather than “p &lt; .05”. Please also indicate whether it is from a one- or two-tailed test.</w:t>
      </w:r>
    </w:p>
    <w:p w14:paraId="20D32238" w14:textId="77777777" w:rsidR="00874E8A" w:rsidRDefault="000A438D">
      <w:pPr>
        <w:pStyle w:val="Compact"/>
        <w:numPr>
          <w:ilvl w:val="0"/>
          <w:numId w:val="13"/>
        </w:numPr>
      </w:pPr>
      <w:r>
        <w:t xml:space="preserve">Report the full text of your results with as much precision as possible. For example, a satisfactory report for the focal coefficient might be “unstandardized OLS coefficient for </w:t>
      </w:r>
      <w:r>
        <w:rPr>
          <w:i/>
        </w:rPr>
        <w:t>income</w:t>
      </w:r>
      <w:r>
        <w:t xml:space="preserve"> term = 0.342367” vs an unsatisfactory report of “beta = 0.34”.</w:t>
      </w:r>
    </w:p>
    <w:p w14:paraId="5ED47BC9" w14:textId="77777777" w:rsidR="00874E8A" w:rsidRDefault="000A438D">
      <w:pPr>
        <w:pStyle w:val="Compact"/>
        <w:numPr>
          <w:ilvl w:val="0"/>
          <w:numId w:val="13"/>
        </w:numPr>
      </w:pPr>
      <w:r>
        <w:t>Please verify that for any test that was used as the basis for a power analysis, you are reporting the same effect size type used in that power analysis. It may not be the same type of effect size as was reported in the original paper (e.g., we convert to Cohen’s f squared to power many regression analyses, which is not commonly reported).</w:t>
      </w:r>
    </w:p>
    <w:p w14:paraId="189DA5C3" w14:textId="77777777" w:rsidR="00874E8A" w:rsidRDefault="000A438D">
      <w:pPr>
        <w:pStyle w:val="Compact"/>
        <w:numPr>
          <w:ilvl w:val="0"/>
          <w:numId w:val="13"/>
        </w:numPr>
      </w:pPr>
      <w:r>
        <w:t>For any test that does not have a corresponding power analysis, please provide an effect size that corresponds to one from the original paper to the extent possible.</w:t>
      </w:r>
    </w:p>
    <w:p w14:paraId="72ECF836" w14:textId="77777777" w:rsidR="00874E8A" w:rsidRDefault="000A438D">
      <w:pPr>
        <w:pStyle w:val="Compact"/>
        <w:numPr>
          <w:ilvl w:val="0"/>
          <w:numId w:val="13"/>
        </w:numPr>
      </w:pPr>
      <w:r>
        <w:t>In the case of a regression analysis, please report the most unstandardized coefficient possible, e.g., the log-odds instead of the odds ratio. You may also report standardized values.</w:t>
      </w:r>
    </w:p>
    <w:p w14:paraId="07FB2FAC" w14:textId="77777777" w:rsidR="00874E8A" w:rsidRDefault="000A438D">
      <w:pPr>
        <w:pStyle w:val="Compact"/>
        <w:numPr>
          <w:ilvl w:val="0"/>
          <w:numId w:val="13"/>
        </w:numPr>
      </w:pPr>
      <w:r>
        <w:t>If there are multiple cells/conditions or levels to your analysis, please provide the sample sizes for each cell or level, e.g., “234823 participants nested within 32 countries” or “angry condition n = 83, happy condition n = 85”.</w:t>
      </w:r>
    </w:p>
    <w:p w14:paraId="4A609D4B" w14:textId="77777777" w:rsidR="00874E8A" w:rsidRDefault="000A438D">
      <w:pPr>
        <w:pStyle w:val="Compact"/>
        <w:numPr>
          <w:ilvl w:val="0"/>
          <w:numId w:val="13"/>
        </w:numPr>
      </w:pPr>
      <w:r>
        <w:t>If multiple claims are evaluated using the same model, it is ok to group them together. In that case, please ensure that it is still clear which specific test/coefficient corresponds to which claim ID, and that there is still an evaluation of whether each claim replicated or not.</w:t>
      </w:r>
    </w:p>
    <w:p w14:paraId="777F2ED8" w14:textId="77777777" w:rsidR="00874E8A" w:rsidRDefault="000A438D">
      <w:pPr>
        <w:pStyle w:val="Compact"/>
        <w:numPr>
          <w:ilvl w:val="0"/>
          <w:numId w:val="13"/>
        </w:numPr>
      </w:pPr>
      <w:r>
        <w:lastRenderedPageBreak/>
        <w:t>Scientific notation is acceptable for especially small or large values.</w:t>
      </w:r>
    </w:p>
    <w:p w14:paraId="6535042F" w14:textId="77777777" w:rsidR="00874E8A" w:rsidRDefault="000A438D">
      <w:pPr>
        <w:pStyle w:val="FirstParagraph"/>
      </w:pPr>
      <w:r>
        <w:t>These requirements apply to all “simple” tests (one inferential test expected to be significant) and any inferential test contained within a “complex” test of a claim.</w:t>
      </w:r>
    </w:p>
    <w:p w14:paraId="3DEE78AF" w14:textId="77777777" w:rsidR="00874E8A" w:rsidRDefault="000A438D">
      <w:pPr>
        <w:pStyle w:val="BodyText"/>
      </w:pPr>
      <w:r>
        <w:t>If applicable, please also distinguish which results come from an analysis of (a) entirely new data, (b) “hybrid” data (composed of both data that was used in the original study and new data), and/or (c) entirely original data.</w:t>
      </w:r>
    </w:p>
    <w:p w14:paraId="0098A3DA" w14:textId="77777777" w:rsidR="00874E8A" w:rsidRDefault="000A438D">
      <w:pPr>
        <w:pStyle w:val="Heading2"/>
      </w:pPr>
      <w:bookmarkStart w:id="2" w:name="description-of-generalizability"/>
      <w:r>
        <w:t>Description of generalizability</w:t>
      </w:r>
      <w:bookmarkEnd w:id="2"/>
    </w:p>
    <w:p w14:paraId="34D97722" w14:textId="77777777" w:rsidR="00EE3291" w:rsidRDefault="000A438D" w:rsidP="00EE3291">
      <w:pPr>
        <w:pStyle w:val="FirstParagraph"/>
      </w:pPr>
      <w:r>
        <w:t>The study will speak to the original claim 4 by generalizing the results to moral dilemmas with non-physical harm (as opposed to just physical harm), which taps into the other important dimension of utilitarian judgments: impartial beneficence.</w:t>
      </w:r>
      <w:r w:rsidR="00EE3291">
        <w:t xml:space="preserve"> </w:t>
      </w:r>
    </w:p>
    <w:p w14:paraId="49EAF612" w14:textId="2B3D41DD" w:rsidR="00EE3291" w:rsidRPr="00EE3291" w:rsidRDefault="00EE3291" w:rsidP="00EE3291">
      <w:pPr>
        <w:pStyle w:val="FirstParagraph"/>
      </w:pPr>
      <w:r>
        <w:t xml:space="preserve">In the original study, the researchers found that mortality salience impacted utilitarian judgments of moral dilemmas where “doing the </w:t>
      </w:r>
      <w:proofErr w:type="gramStart"/>
      <w:r>
        <w:t>most good</w:t>
      </w:r>
      <w:proofErr w:type="gramEnd"/>
      <w:r>
        <w:t>” required bringing harm to an innocent bystander, which is known as “instrumental harm” in utilitarianism. However, the concept of utilitarianism consists of two primary elements: instrumental harm, as described above, and impartial beneficence (</w:t>
      </w:r>
      <w:proofErr w:type="spellStart"/>
      <w:r>
        <w:t>Kahane</w:t>
      </w:r>
      <w:proofErr w:type="spellEnd"/>
      <w:r>
        <w:t xml:space="preserve"> et al., 2018). Impartial beneficence is the impartial concern for the well-being of all peoples, regardless of relationship or proximity (e.g., one must be willing to do the greatest good at the expense of close friendships). In this study, I aim to test whether or not mortality salience impacts people’s utilitarian judgments in dilemmas where people have to decide to do the greatest good at the expense of helping a family member in need. </w:t>
      </w:r>
    </w:p>
    <w:p w14:paraId="1255CBBC" w14:textId="77777777" w:rsidR="00874E8A" w:rsidRDefault="000A438D">
      <w:pPr>
        <w:pStyle w:val="Heading2"/>
      </w:pPr>
      <w:bookmarkStart w:id="3" w:name="claim-evaluation"/>
      <w:r>
        <w:t>Claim evaluation</w:t>
      </w:r>
      <w:bookmarkEnd w:id="3"/>
    </w:p>
    <w:p w14:paraId="00759A22" w14:textId="77777777" w:rsidR="00874E8A" w:rsidRDefault="000A438D">
      <w:pPr>
        <w:pStyle w:val="Heading3"/>
      </w:pPr>
      <w:bookmarkStart w:id="4" w:name="single-trace-claim"/>
      <w:r>
        <w:t>Single-trace claim</w:t>
      </w:r>
      <w:bookmarkEnd w:id="4"/>
    </w:p>
    <w:p w14:paraId="3AA6AB9F" w14:textId="77777777" w:rsidR="00874E8A" w:rsidRDefault="000A438D">
      <w:pPr>
        <w:pStyle w:val="FirstParagraph"/>
      </w:pPr>
      <w:r>
        <w:rPr>
          <w:b/>
        </w:rPr>
        <w:t>Coded claim 4 text (original paper):</w:t>
      </w:r>
      <w:r>
        <w:t xml:space="preserve"> “In Experiment 1, an ANOVA on participants’ rate of utilitarian responses across four scenarios, with mortality salience (death vs. pain) as a between-subjects factor and scenario version (harm-conflict and harm-control) as a within-subjects factor yielded a significant interaction effect, F(1, 83) = 6.89; p = .01; partial eta squared = 0.08.”</w:t>
      </w:r>
    </w:p>
    <w:p w14:paraId="2712BF1E" w14:textId="77777777" w:rsidR="00874E8A" w:rsidRDefault="000A438D">
      <w:pPr>
        <w:pStyle w:val="Heading3"/>
      </w:pPr>
      <w:bookmarkStart w:id="5" w:name="replication-outcome-simple-test"/>
      <w:r>
        <w:t>Replication outcome: Simple test</w:t>
      </w:r>
      <w:bookmarkEnd w:id="5"/>
    </w:p>
    <w:p w14:paraId="153AA45D" w14:textId="77777777" w:rsidR="00874E8A" w:rsidRDefault="000A438D">
      <w:pPr>
        <w:pStyle w:val="FirstParagraph"/>
      </w:pPr>
      <w:r>
        <w:rPr>
          <w:b/>
        </w:rPr>
        <w:t>Inferential criteria:</w:t>
      </w:r>
      <w:r>
        <w:t xml:space="preserve"> From the logistic regression model, the coefficient for the salience manipulation will be significant at p &lt; .05 (two tailed) and negative, meaning that individuals under mortality salience will have lower rates of utilitarian responding compared to control group individuals.</w:t>
      </w:r>
    </w:p>
    <w:p w14:paraId="05C03BAF" w14:textId="58552DF7" w:rsidR="00874E8A" w:rsidRDefault="000A438D">
      <w:pPr>
        <w:pStyle w:val="BodyText"/>
      </w:pPr>
      <w:r>
        <w:rPr>
          <w:b/>
        </w:rPr>
        <w:t>Result:</w:t>
      </w:r>
      <w:r>
        <w:t xml:space="preserve"> </w:t>
      </w:r>
      <w:r w:rsidR="00EE3291">
        <w:t xml:space="preserve">The claim was not replicated. In a mixed model logistic regression where mortality salience was between-subjects (i.e., mortality or pain salience) and the conflict scenario (i.e., conflict, no conflict) was within-subjects, there was not a significant mortality salience manipulation coefficient: unstandardized beta coefficient for mortality salience term = -0.4698(SE = 2.4531), </w:t>
      </w:r>
      <w:r w:rsidR="00EE3291">
        <w:rPr>
          <w:i/>
          <w:iCs/>
        </w:rPr>
        <w:t xml:space="preserve">p </w:t>
      </w:r>
      <w:r w:rsidR="00EE3291">
        <w:t xml:space="preserve">= 0.848. </w:t>
      </w:r>
    </w:p>
    <w:p w14:paraId="0AD9BA13" w14:textId="70EDA404" w:rsidR="00EE3291" w:rsidRPr="00EE3291" w:rsidRDefault="00EE3291">
      <w:pPr>
        <w:pStyle w:val="BodyText"/>
      </w:pPr>
      <w:r>
        <w:lastRenderedPageBreak/>
        <w:t xml:space="preserve">The unstandardized coefficient for the conflict scenario term = 14.9279(SE = 1.7072), </w:t>
      </w:r>
      <w:r>
        <w:rPr>
          <w:i/>
          <w:iCs/>
        </w:rPr>
        <w:t xml:space="preserve">p </w:t>
      </w:r>
      <w:r>
        <w:t xml:space="preserve">&lt; .0000000000000002. The unstandardized coefficient for the mortality salience manipulation by conflict scenario interaction term = 1.1172(SE = 4.2698), </w:t>
      </w:r>
      <w:r>
        <w:rPr>
          <w:i/>
          <w:iCs/>
        </w:rPr>
        <w:t xml:space="preserve">p </w:t>
      </w:r>
      <w:r>
        <w:t>= 0.794.</w:t>
      </w:r>
    </w:p>
    <w:p w14:paraId="5BF15DBF" w14:textId="77777777" w:rsidR="00874E8A" w:rsidRDefault="000A438D">
      <w:pPr>
        <w:pStyle w:val="Heading2"/>
      </w:pPr>
      <w:bookmarkStart w:id="6" w:name="description-of-materials-provided"/>
      <w:r>
        <w:t>Description of materials provided</w:t>
      </w:r>
      <w:bookmarkEnd w:id="6"/>
    </w:p>
    <w:p w14:paraId="0A0371CD" w14:textId="77777777" w:rsidR="009C5243" w:rsidRPr="00600E07" w:rsidRDefault="009C5243" w:rsidP="009C5243">
      <w:pPr>
        <w:pStyle w:val="FirstParagraph"/>
        <w:rPr>
          <w:bCs/>
          <w:i/>
          <w:iCs/>
        </w:rPr>
      </w:pPr>
      <w:r w:rsidRPr="00600E07">
        <w:rPr>
          <w:bCs/>
          <w:i/>
          <w:iCs/>
        </w:rPr>
        <w:t>All materials on this OSF project may be made public.</w:t>
      </w:r>
    </w:p>
    <w:p w14:paraId="0FC7FFF7" w14:textId="072BA82D" w:rsidR="006538CA" w:rsidRDefault="006538CA" w:rsidP="006538CA">
      <w:pPr>
        <w:pStyle w:val="FirstParagraph"/>
        <w:numPr>
          <w:ilvl w:val="0"/>
          <w:numId w:val="17"/>
        </w:numPr>
        <w:rPr>
          <w:bCs/>
        </w:rPr>
      </w:pPr>
      <w:r>
        <w:rPr>
          <w:bCs/>
        </w:rPr>
        <w:t>Project IRB Materials</w:t>
      </w:r>
    </w:p>
    <w:p w14:paraId="06B35437" w14:textId="77777777" w:rsidR="006538CA" w:rsidRDefault="006538CA" w:rsidP="006538CA">
      <w:pPr>
        <w:pStyle w:val="BodyText"/>
        <w:numPr>
          <w:ilvl w:val="1"/>
          <w:numId w:val="17"/>
        </w:numPr>
      </w:pPr>
      <w:r>
        <w:t>IRB_Consent_SCORET12.docx – IRB approved consent form</w:t>
      </w:r>
    </w:p>
    <w:p w14:paraId="28B27F46" w14:textId="77777777" w:rsidR="006538CA" w:rsidRDefault="006538CA" w:rsidP="006538CA">
      <w:pPr>
        <w:pStyle w:val="BodyText"/>
        <w:numPr>
          <w:ilvl w:val="1"/>
          <w:numId w:val="17"/>
        </w:numPr>
      </w:pPr>
      <w:r>
        <w:t>IRB Exemption Determination_Tremoliere.pdf – IRB approval</w:t>
      </w:r>
    </w:p>
    <w:p w14:paraId="62C96A3B" w14:textId="77777777" w:rsidR="006538CA" w:rsidRDefault="006538CA" w:rsidP="006538CA">
      <w:pPr>
        <w:pStyle w:val="BodyText"/>
        <w:numPr>
          <w:ilvl w:val="0"/>
          <w:numId w:val="17"/>
        </w:numPr>
      </w:pPr>
      <w:r>
        <w:t>Power Analysis</w:t>
      </w:r>
    </w:p>
    <w:p w14:paraId="63FD566A" w14:textId="77777777" w:rsidR="006538CA" w:rsidRDefault="006538CA" w:rsidP="006538CA">
      <w:pPr>
        <w:pStyle w:val="BodyText"/>
        <w:numPr>
          <w:ilvl w:val="1"/>
          <w:numId w:val="17"/>
        </w:numPr>
      </w:pPr>
      <w:r>
        <w:t>Tremoliere_power_study1generalizability.R – script to replicate power analysis conducted to determine sample size</w:t>
      </w:r>
    </w:p>
    <w:p w14:paraId="08E8F974" w14:textId="77777777" w:rsidR="006538CA" w:rsidRDefault="006538CA" w:rsidP="006538CA">
      <w:pPr>
        <w:pStyle w:val="BodyText"/>
        <w:numPr>
          <w:ilvl w:val="0"/>
          <w:numId w:val="17"/>
        </w:numPr>
      </w:pPr>
      <w:r>
        <w:t>Methods and Materials</w:t>
      </w:r>
    </w:p>
    <w:p w14:paraId="6CB67B8E" w14:textId="77777777" w:rsidR="006538CA" w:rsidRDefault="006538CA" w:rsidP="006538CA">
      <w:pPr>
        <w:pStyle w:val="BodyText"/>
        <w:numPr>
          <w:ilvl w:val="1"/>
          <w:numId w:val="17"/>
        </w:numPr>
      </w:pPr>
      <w:proofErr w:type="spellStart"/>
      <w:r>
        <w:t>Tremoliere_generalizabilty_score.qsf</w:t>
      </w:r>
      <w:proofErr w:type="spellEnd"/>
      <w:r>
        <w:t xml:space="preserve"> – final survey used for data collection</w:t>
      </w:r>
    </w:p>
    <w:p w14:paraId="2FAEDB11" w14:textId="77777777" w:rsidR="006538CA" w:rsidRDefault="006538CA" w:rsidP="006538CA">
      <w:pPr>
        <w:pStyle w:val="BodyText"/>
        <w:numPr>
          <w:ilvl w:val="0"/>
          <w:numId w:val="17"/>
        </w:numPr>
      </w:pPr>
      <w:r>
        <w:t>Data</w:t>
      </w:r>
    </w:p>
    <w:p w14:paraId="6216E4FA" w14:textId="77777777" w:rsidR="006538CA" w:rsidRDefault="006538CA" w:rsidP="006538CA">
      <w:pPr>
        <w:pStyle w:val="BodyText"/>
        <w:numPr>
          <w:ilvl w:val="1"/>
          <w:numId w:val="17"/>
        </w:numPr>
      </w:pPr>
      <w:r>
        <w:t>Tremoliere_codebook.xlsx – codebook explaining variables in raw data</w:t>
      </w:r>
    </w:p>
    <w:p w14:paraId="235B47CE" w14:textId="77777777" w:rsidR="006538CA" w:rsidRDefault="006538CA" w:rsidP="006538CA">
      <w:pPr>
        <w:pStyle w:val="BodyText"/>
        <w:numPr>
          <w:ilvl w:val="1"/>
          <w:numId w:val="17"/>
        </w:numPr>
      </w:pPr>
      <w:r>
        <w:t>Tremoliere_generalizability_score.csv – raw data</w:t>
      </w:r>
    </w:p>
    <w:p w14:paraId="7FDE5C69" w14:textId="77777777" w:rsidR="006538CA" w:rsidRDefault="006538CA" w:rsidP="006538CA">
      <w:pPr>
        <w:pStyle w:val="BodyText"/>
        <w:numPr>
          <w:ilvl w:val="0"/>
          <w:numId w:val="17"/>
        </w:numPr>
      </w:pPr>
      <w:r>
        <w:t>Analysis</w:t>
      </w:r>
    </w:p>
    <w:p w14:paraId="108C194A" w14:textId="77777777" w:rsidR="006538CA" w:rsidRDefault="006538CA" w:rsidP="006538CA">
      <w:pPr>
        <w:pStyle w:val="BodyText"/>
        <w:numPr>
          <w:ilvl w:val="1"/>
          <w:numId w:val="17"/>
        </w:numPr>
      </w:pPr>
      <w:r>
        <w:t>Tremoliere_generalizability_score.html – output of results</w:t>
      </w:r>
    </w:p>
    <w:p w14:paraId="5DDB5300" w14:textId="3D084972" w:rsidR="007B2DE8" w:rsidRPr="006538CA" w:rsidRDefault="006538CA" w:rsidP="006538CA">
      <w:pPr>
        <w:pStyle w:val="BodyText"/>
        <w:numPr>
          <w:ilvl w:val="1"/>
          <w:numId w:val="17"/>
        </w:numPr>
      </w:pPr>
      <w:proofErr w:type="spellStart"/>
      <w:r>
        <w:t>Tremoliere_generalizability_score.Rmd</w:t>
      </w:r>
      <w:proofErr w:type="spellEnd"/>
      <w:r>
        <w:t xml:space="preserve"> – analysis script</w:t>
      </w:r>
    </w:p>
    <w:p w14:paraId="1225EB6B" w14:textId="77777777" w:rsidR="00874E8A" w:rsidRDefault="000A438D">
      <w:pPr>
        <w:pStyle w:val="Heading2"/>
      </w:pPr>
      <w:bookmarkStart w:id="7" w:name="references"/>
      <w:r>
        <w:t>References</w:t>
      </w:r>
      <w:bookmarkEnd w:id="7"/>
    </w:p>
    <w:p w14:paraId="1351F92C" w14:textId="4752B975" w:rsidR="007B2DE8" w:rsidRDefault="007B2DE8" w:rsidP="007B2DE8">
      <w:pPr>
        <w:rPr>
          <w:bCs/>
        </w:rPr>
      </w:pPr>
      <w:proofErr w:type="spellStart"/>
      <w:r w:rsidRPr="007B2DE8">
        <w:rPr>
          <w:bCs/>
        </w:rPr>
        <w:t>Kahane</w:t>
      </w:r>
      <w:proofErr w:type="spellEnd"/>
      <w:r w:rsidRPr="007B2DE8">
        <w:rPr>
          <w:bCs/>
        </w:rPr>
        <w:t xml:space="preserve">, G., Everett, J. A. C., Earp, B. D., </w:t>
      </w:r>
      <w:proofErr w:type="spellStart"/>
      <w:r w:rsidRPr="007B2DE8">
        <w:rPr>
          <w:bCs/>
        </w:rPr>
        <w:t>Caviola</w:t>
      </w:r>
      <w:proofErr w:type="spellEnd"/>
      <w:r w:rsidRPr="007B2DE8">
        <w:rPr>
          <w:bCs/>
        </w:rPr>
        <w:t xml:space="preserve">, L., Faber, N. S., Crockett, M. J., &amp; Savulescu, J. (2018). Beyond sacrificial harm: A two-dimensional model of utilitarian psychology. </w:t>
      </w:r>
      <w:r w:rsidRPr="007B2DE8">
        <w:rPr>
          <w:bCs/>
          <w:i/>
          <w:iCs/>
        </w:rPr>
        <w:t>Psychological Review, 125</w:t>
      </w:r>
      <w:r w:rsidRPr="007B2DE8">
        <w:rPr>
          <w:bCs/>
        </w:rPr>
        <w:t>(2), 131</w:t>
      </w:r>
      <w:r>
        <w:rPr>
          <w:bCs/>
        </w:rPr>
        <w:t>–</w:t>
      </w:r>
      <w:r w:rsidRPr="007B2DE8">
        <w:rPr>
          <w:bCs/>
        </w:rPr>
        <w:t xml:space="preserve">164. </w:t>
      </w:r>
      <w:r w:rsidRPr="006538CA">
        <w:rPr>
          <w:bCs/>
        </w:rPr>
        <w:t>http://dx.doi.org/10.1037/rev0000093</w:t>
      </w:r>
    </w:p>
    <w:p w14:paraId="48860BE8" w14:textId="5DCF8D7F" w:rsidR="006538CA" w:rsidRPr="007255D1" w:rsidRDefault="006538CA" w:rsidP="006538CA">
      <w:pPr>
        <w:rPr>
          <w:bCs/>
        </w:rPr>
      </w:pPr>
      <w:proofErr w:type="spellStart"/>
      <w:r w:rsidRPr="007B2DE8">
        <w:rPr>
          <w:bCs/>
        </w:rPr>
        <w:t>Trémolière</w:t>
      </w:r>
      <w:proofErr w:type="spellEnd"/>
      <w:r>
        <w:rPr>
          <w:bCs/>
        </w:rPr>
        <w:t>,</w:t>
      </w:r>
      <w:r w:rsidRPr="007B2DE8">
        <w:rPr>
          <w:bCs/>
        </w:rPr>
        <w:t xml:space="preserve"> B, </w:t>
      </w:r>
      <w:proofErr w:type="spellStart"/>
      <w:r w:rsidRPr="007B2DE8">
        <w:rPr>
          <w:bCs/>
        </w:rPr>
        <w:t>Neys</w:t>
      </w:r>
      <w:proofErr w:type="spellEnd"/>
      <w:r>
        <w:rPr>
          <w:bCs/>
        </w:rPr>
        <w:t>,</w:t>
      </w:r>
      <w:r w:rsidRPr="007B2DE8">
        <w:rPr>
          <w:bCs/>
        </w:rPr>
        <w:t xml:space="preserve"> W</w:t>
      </w:r>
      <w:r>
        <w:rPr>
          <w:bCs/>
        </w:rPr>
        <w:t>.</w:t>
      </w:r>
      <w:r w:rsidRPr="007B2DE8">
        <w:rPr>
          <w:bCs/>
        </w:rPr>
        <w:t>D</w:t>
      </w:r>
      <w:r>
        <w:rPr>
          <w:bCs/>
        </w:rPr>
        <w:t>.</w:t>
      </w:r>
      <w:r w:rsidRPr="007B2DE8">
        <w:rPr>
          <w:bCs/>
        </w:rPr>
        <w:t xml:space="preserve">, </w:t>
      </w:r>
      <w:proofErr w:type="spellStart"/>
      <w:r w:rsidRPr="007B2DE8">
        <w:rPr>
          <w:bCs/>
        </w:rPr>
        <w:t>Bonnefon</w:t>
      </w:r>
      <w:proofErr w:type="spellEnd"/>
      <w:r>
        <w:rPr>
          <w:bCs/>
        </w:rPr>
        <w:t>,</w:t>
      </w:r>
      <w:r w:rsidRPr="007B2DE8">
        <w:rPr>
          <w:bCs/>
        </w:rPr>
        <w:t xml:space="preserve"> J</w:t>
      </w:r>
      <w:r>
        <w:rPr>
          <w:bCs/>
        </w:rPr>
        <w:t>.</w:t>
      </w:r>
      <w:r w:rsidRPr="007B2DE8">
        <w:rPr>
          <w:bCs/>
        </w:rPr>
        <w:t xml:space="preserve">F. </w:t>
      </w:r>
      <w:r>
        <w:rPr>
          <w:bCs/>
        </w:rPr>
        <w:t xml:space="preserve">(2012) </w:t>
      </w:r>
      <w:r w:rsidRPr="007B2DE8">
        <w:rPr>
          <w:bCs/>
        </w:rPr>
        <w:t xml:space="preserve">Mortality salience and morality: thinking about death makes people less utilitarian. </w:t>
      </w:r>
      <w:r w:rsidRPr="007B2DE8">
        <w:rPr>
          <w:bCs/>
          <w:i/>
          <w:iCs/>
        </w:rPr>
        <w:t>Cognition, 124</w:t>
      </w:r>
      <w:r w:rsidRPr="007B2DE8">
        <w:rPr>
          <w:bCs/>
        </w:rPr>
        <w:t>(3)</w:t>
      </w:r>
      <w:r>
        <w:rPr>
          <w:bCs/>
        </w:rPr>
        <w:t xml:space="preserve">, </w:t>
      </w:r>
      <w:r w:rsidRPr="007B2DE8">
        <w:rPr>
          <w:bCs/>
        </w:rPr>
        <w:t>379</w:t>
      </w:r>
      <w:r>
        <w:rPr>
          <w:bCs/>
        </w:rPr>
        <w:softHyphen/>
        <w:t>–</w:t>
      </w:r>
      <w:r w:rsidRPr="007B2DE8">
        <w:rPr>
          <w:bCs/>
        </w:rPr>
        <w:t xml:space="preserve">84. </w:t>
      </w:r>
      <w:proofErr w:type="spellStart"/>
      <w:r w:rsidRPr="007B2DE8">
        <w:rPr>
          <w:bCs/>
        </w:rPr>
        <w:t>doi</w:t>
      </w:r>
      <w:proofErr w:type="spellEnd"/>
      <w:r w:rsidRPr="007B2DE8">
        <w:rPr>
          <w:bCs/>
        </w:rPr>
        <w:t>:</w:t>
      </w:r>
      <w:r>
        <w:rPr>
          <w:bCs/>
        </w:rPr>
        <w:t xml:space="preserve"> </w:t>
      </w:r>
      <w:r w:rsidRPr="006538CA">
        <w:rPr>
          <w:bCs/>
        </w:rPr>
        <w:t>https://doi.org/10.1016/j.cognition.2012.05.011</w:t>
      </w:r>
    </w:p>
    <w:p w14:paraId="53C5228A" w14:textId="58E0F0E3" w:rsidR="00874E8A" w:rsidRDefault="00874E8A" w:rsidP="006538CA">
      <w:pPr>
        <w:pStyle w:val="FirstParagraph"/>
      </w:pPr>
    </w:p>
    <w:sectPr w:rsidR="00874E8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07372" w14:textId="77777777" w:rsidR="00857787" w:rsidRDefault="00857787">
      <w:pPr>
        <w:spacing w:after="0"/>
      </w:pPr>
      <w:r>
        <w:separator/>
      </w:r>
    </w:p>
  </w:endnote>
  <w:endnote w:type="continuationSeparator" w:id="0">
    <w:p w14:paraId="253347DC" w14:textId="77777777" w:rsidR="00857787" w:rsidRDefault="008577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10B62" w14:textId="77777777" w:rsidR="00857787" w:rsidRDefault="00857787">
      <w:r>
        <w:separator/>
      </w:r>
    </w:p>
  </w:footnote>
  <w:footnote w:type="continuationSeparator" w:id="0">
    <w:p w14:paraId="4A6F7989" w14:textId="77777777" w:rsidR="00857787" w:rsidRDefault="00857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75DCDFF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4BA54BAC"/>
    <w:multiLevelType w:val="hybridMultilevel"/>
    <w:tmpl w:val="889C4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315DCA"/>
    <w:multiLevelType w:val="multilevel"/>
    <w:tmpl w:val="C99C1EB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5">
    <w:abstractNumId w:val="0"/>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E3E"/>
    <w:rsid w:val="000A438D"/>
    <w:rsid w:val="000C0A95"/>
    <w:rsid w:val="001B7092"/>
    <w:rsid w:val="001C5BEE"/>
    <w:rsid w:val="00406837"/>
    <w:rsid w:val="004E29B3"/>
    <w:rsid w:val="00590D07"/>
    <w:rsid w:val="006538CA"/>
    <w:rsid w:val="00672C7A"/>
    <w:rsid w:val="00784D58"/>
    <w:rsid w:val="007B2DE8"/>
    <w:rsid w:val="00857787"/>
    <w:rsid w:val="00874E8A"/>
    <w:rsid w:val="008D6863"/>
    <w:rsid w:val="009C5243"/>
    <w:rsid w:val="00B86B75"/>
    <w:rsid w:val="00BC48D5"/>
    <w:rsid w:val="00C36279"/>
    <w:rsid w:val="00E050E0"/>
    <w:rsid w:val="00E315A3"/>
    <w:rsid w:val="00EE329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E3FB2"/>
  <w15:docId w15:val="{A417B9F2-4456-6648-8E0D-9023FBED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CommentReference">
    <w:name w:val="annotation reference"/>
    <w:basedOn w:val="DefaultParagraphFont"/>
    <w:semiHidden/>
    <w:unhideWhenUsed/>
    <w:rsid w:val="000C0A95"/>
    <w:rPr>
      <w:sz w:val="16"/>
      <w:szCs w:val="16"/>
    </w:rPr>
  </w:style>
  <w:style w:type="paragraph" w:styleId="CommentText">
    <w:name w:val="annotation text"/>
    <w:basedOn w:val="Normal"/>
    <w:link w:val="CommentTextChar"/>
    <w:semiHidden/>
    <w:unhideWhenUsed/>
    <w:rsid w:val="000C0A95"/>
    <w:rPr>
      <w:sz w:val="20"/>
      <w:szCs w:val="20"/>
    </w:rPr>
  </w:style>
  <w:style w:type="character" w:customStyle="1" w:styleId="CommentTextChar">
    <w:name w:val="Comment Text Char"/>
    <w:basedOn w:val="DefaultParagraphFont"/>
    <w:link w:val="CommentText"/>
    <w:semiHidden/>
    <w:rsid w:val="000C0A95"/>
    <w:rPr>
      <w:sz w:val="20"/>
      <w:szCs w:val="20"/>
    </w:rPr>
  </w:style>
  <w:style w:type="paragraph" w:styleId="CommentSubject">
    <w:name w:val="annotation subject"/>
    <w:basedOn w:val="CommentText"/>
    <w:next w:val="CommentText"/>
    <w:link w:val="CommentSubjectChar"/>
    <w:semiHidden/>
    <w:unhideWhenUsed/>
    <w:rsid w:val="000C0A95"/>
    <w:rPr>
      <w:b/>
      <w:bCs/>
    </w:rPr>
  </w:style>
  <w:style w:type="character" w:customStyle="1" w:styleId="CommentSubjectChar">
    <w:name w:val="Comment Subject Char"/>
    <w:basedOn w:val="CommentTextChar"/>
    <w:link w:val="CommentSubject"/>
    <w:semiHidden/>
    <w:rsid w:val="000C0A95"/>
    <w:rPr>
      <w:b/>
      <w:bCs/>
      <w:sz w:val="20"/>
      <w:szCs w:val="20"/>
    </w:rPr>
  </w:style>
  <w:style w:type="character" w:styleId="UnresolvedMention">
    <w:name w:val="Unresolved Mention"/>
    <w:basedOn w:val="DefaultParagraphFont"/>
    <w:uiPriority w:val="99"/>
    <w:semiHidden/>
    <w:unhideWhenUsed/>
    <w:rsid w:val="007B2DE8"/>
    <w:rPr>
      <w:color w:val="605E5C"/>
      <w:shd w:val="clear" w:color="auto" w:fill="E1DFDD"/>
    </w:rPr>
  </w:style>
  <w:style w:type="paragraph" w:styleId="ListParagraph">
    <w:name w:val="List Paragraph"/>
    <w:basedOn w:val="Normal"/>
    <w:rsid w:val="006538CA"/>
    <w:pPr>
      <w:ind w:left="720"/>
      <w:contextualSpacing/>
    </w:pPr>
  </w:style>
  <w:style w:type="character" w:styleId="FollowedHyperlink">
    <w:name w:val="FollowedHyperlink"/>
    <w:basedOn w:val="DefaultParagraphFont"/>
    <w:semiHidden/>
    <w:unhideWhenUsed/>
    <w:rsid w:val="006538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09844">
      <w:bodyDiv w:val="1"/>
      <w:marLeft w:val="0"/>
      <w:marRight w:val="0"/>
      <w:marTop w:val="0"/>
      <w:marBottom w:val="0"/>
      <w:divBdr>
        <w:top w:val="none" w:sz="0" w:space="0" w:color="auto"/>
        <w:left w:val="none" w:sz="0" w:space="0" w:color="auto"/>
        <w:bottom w:val="none" w:sz="0" w:space="0" w:color="auto"/>
        <w:right w:val="none" w:sz="0" w:space="0" w:color="auto"/>
      </w:divBdr>
      <w:divsChild>
        <w:div w:id="67114979">
          <w:marLeft w:val="0"/>
          <w:marRight w:val="0"/>
          <w:marTop w:val="0"/>
          <w:marBottom w:val="120"/>
          <w:divBdr>
            <w:top w:val="none" w:sz="0" w:space="0" w:color="auto"/>
            <w:left w:val="none" w:sz="0" w:space="0" w:color="auto"/>
            <w:bottom w:val="none" w:sz="0" w:space="0" w:color="auto"/>
            <w:right w:val="none" w:sz="0" w:space="0" w:color="auto"/>
          </w:divBdr>
        </w:div>
        <w:div w:id="22026939">
          <w:marLeft w:val="-75"/>
          <w:marRight w:val="0"/>
          <w:marTop w:val="480"/>
          <w:marBottom w:val="360"/>
          <w:divBdr>
            <w:top w:val="none" w:sz="0" w:space="0" w:color="auto"/>
            <w:left w:val="none" w:sz="0" w:space="0" w:color="auto"/>
            <w:bottom w:val="none" w:sz="0" w:space="0" w:color="auto"/>
            <w:right w:val="none" w:sz="0" w:space="0" w:color="auto"/>
          </w:divBdr>
        </w:div>
      </w:divsChild>
    </w:div>
    <w:div w:id="1618439779">
      <w:bodyDiv w:val="1"/>
      <w:marLeft w:val="0"/>
      <w:marRight w:val="0"/>
      <w:marTop w:val="0"/>
      <w:marBottom w:val="0"/>
      <w:divBdr>
        <w:top w:val="none" w:sz="0" w:space="0" w:color="auto"/>
        <w:left w:val="none" w:sz="0" w:space="0" w:color="auto"/>
        <w:bottom w:val="none" w:sz="0" w:space="0" w:color="auto"/>
        <w:right w:val="none" w:sz="0" w:space="0" w:color="auto"/>
      </w:divBdr>
    </w:div>
    <w:div w:id="197632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vt6g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Zachariah Berry</cp:lastModifiedBy>
  <cp:revision>11</cp:revision>
  <dcterms:created xsi:type="dcterms:W3CDTF">2021-12-16T19:47:00Z</dcterms:created>
  <dcterms:modified xsi:type="dcterms:W3CDTF">2022-02-01T23:23:00Z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