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9D49" w14:textId="18239ECF" w:rsidR="00657E08" w:rsidRDefault="00483D1B">
      <w:pPr>
        <w:pStyle w:val="Heading1"/>
        <w:spacing w:after="0" w:line="240" w:lineRule="auto"/>
        <w:ind w:left="1890" w:right="1890" w:firstLine="0"/>
        <w:jc w:val="center"/>
      </w:pPr>
      <w:r>
        <w:t xml:space="preserve">After Deterrence: </w:t>
      </w:r>
      <w:r>
        <w:br/>
        <w:t>Explaining Conflict Short of War</w:t>
      </w:r>
    </w:p>
    <w:p w14:paraId="5472E3EA" w14:textId="77777777" w:rsidR="00AB2B8A" w:rsidRDefault="00AB2B8A">
      <w:pPr>
        <w:spacing w:after="200" w:line="240" w:lineRule="auto"/>
        <w:ind w:left="10" w:hanging="10"/>
        <w:jc w:val="center"/>
      </w:pPr>
    </w:p>
    <w:p w14:paraId="0060A57C" w14:textId="1F9C35DE" w:rsidR="00657E08" w:rsidRDefault="002C49EA">
      <w:pPr>
        <w:spacing w:after="200" w:line="240" w:lineRule="auto"/>
        <w:ind w:left="10" w:right="0" w:hanging="10"/>
        <w:jc w:val="center"/>
      </w:pPr>
      <w:r>
        <w:t xml:space="preserve">June </w:t>
      </w:r>
      <w:r w:rsidR="00483D1B">
        <w:t>2019</w:t>
      </w:r>
    </w:p>
    <w:p w14:paraId="2C839121" w14:textId="192DCEA8" w:rsidR="00687F0D" w:rsidRDefault="00CE5A13" w:rsidP="006C2BC2">
      <w:pPr>
        <w:ind w:left="432" w:right="432" w:firstLine="0"/>
      </w:pPr>
      <w:r>
        <w:t>Russia</w:t>
      </w:r>
      <w:r w:rsidR="001A0EED">
        <w:t>’s</w:t>
      </w:r>
      <w:r w:rsidR="0027022B">
        <w:t xml:space="preserve"> </w:t>
      </w:r>
      <w:r w:rsidR="00687F0D">
        <w:t>intervention in Ukraine</w:t>
      </w:r>
      <w:r w:rsidR="0072184C">
        <w:t xml:space="preserve"> </w:t>
      </w:r>
      <w:r w:rsidR="0027022B">
        <w:t>highlight</w:t>
      </w:r>
      <w:r w:rsidR="00040448">
        <w:t>ed</w:t>
      </w:r>
      <w:r w:rsidR="0027022B">
        <w:t xml:space="preserve"> </w:t>
      </w:r>
      <w:r w:rsidR="00984F2C">
        <w:t>an</w:t>
      </w:r>
      <w:r w:rsidR="0027022B">
        <w:t xml:space="preserve"> emerging phenomenon of </w:t>
      </w:r>
      <w:r>
        <w:t>conflict</w:t>
      </w:r>
      <w:r w:rsidR="00105DE8">
        <w:t xml:space="preserve"> </w:t>
      </w:r>
      <w:r w:rsidR="009269EE">
        <w:t xml:space="preserve">in the “gray zone” between peace and war. </w:t>
      </w:r>
      <w:r>
        <w:t>Is limited conflict</w:t>
      </w:r>
      <w:r w:rsidR="001A0EED">
        <w:t>, leveraging</w:t>
      </w:r>
      <w:r>
        <w:t xml:space="preserve"> novel </w:t>
      </w:r>
      <w:r w:rsidR="001A0EED">
        <w:t xml:space="preserve">tactics and </w:t>
      </w:r>
      <w:r>
        <w:t>technologies</w:t>
      </w:r>
      <w:r w:rsidR="001A0EED">
        <w:t>,</w:t>
      </w:r>
      <w:r w:rsidR="0027022B">
        <w:t xml:space="preserve"> </w:t>
      </w:r>
      <w:r>
        <w:t xml:space="preserve">an effective way to </w:t>
      </w:r>
      <w:r w:rsidR="009269EE">
        <w:t>subvert</w:t>
      </w:r>
      <w:r>
        <w:t xml:space="preserve"> </w:t>
      </w:r>
      <w:r w:rsidR="009269EE">
        <w:t>deterrence</w:t>
      </w:r>
      <w:r w:rsidR="001A0EED">
        <w:t>—as</w:t>
      </w:r>
      <w:r w:rsidR="00802FFF">
        <w:t xml:space="preserve"> many </w:t>
      </w:r>
      <w:r w:rsidR="00B975D9">
        <w:t>believe</w:t>
      </w:r>
      <w:r w:rsidR="001A0EED">
        <w:t>—or</w:t>
      </w:r>
      <w:r>
        <w:t xml:space="preserve"> </w:t>
      </w:r>
      <w:r w:rsidR="00984F2C">
        <w:t>does</w:t>
      </w:r>
      <w:r w:rsidR="001A0EED">
        <w:t xml:space="preserve"> </w:t>
      </w:r>
      <w:r>
        <w:t xml:space="preserve">it reflect </w:t>
      </w:r>
      <w:r w:rsidR="001A0EED">
        <w:t xml:space="preserve">deterrence </w:t>
      </w:r>
      <w:r>
        <w:t>success?</w:t>
      </w:r>
      <w:r w:rsidR="009269EE">
        <w:t xml:space="preserve"> </w:t>
      </w:r>
      <w:r w:rsidR="0003160A">
        <w:t>While l</w:t>
      </w:r>
      <w:r w:rsidR="00105DE8">
        <w:t>imited war is not</w:t>
      </w:r>
      <w:r w:rsidR="0027022B">
        <w:t>hing</w:t>
      </w:r>
      <w:r w:rsidR="00105DE8">
        <w:t xml:space="preserve"> new, </w:t>
      </w:r>
      <w:r w:rsidR="0072184C">
        <w:t xml:space="preserve">most attention has </w:t>
      </w:r>
      <w:r w:rsidR="00105DE8">
        <w:t xml:space="preserve">focused on conflict with weaker, irregular actors </w:t>
      </w:r>
      <w:r w:rsidR="00984F2C">
        <w:t>that possess</w:t>
      </w:r>
      <w:r w:rsidR="00105DE8">
        <w:t xml:space="preserve"> limited means. Gray zone conflict, by contrast, involves stronger, nation-state actors </w:t>
      </w:r>
      <w:r w:rsidR="0027022B">
        <w:t xml:space="preserve">with </w:t>
      </w:r>
      <w:r w:rsidR="00105DE8">
        <w:t>limited ends</w:t>
      </w:r>
      <w:r w:rsidR="0072184C">
        <w:t>. There are two reasons why</w:t>
      </w:r>
      <w:r w:rsidR="00105DE8">
        <w:t xml:space="preserve"> </w:t>
      </w:r>
      <w:r w:rsidR="0072184C">
        <w:t>capable actors might</w:t>
      </w:r>
      <w:r w:rsidR="00105DE8">
        <w:t xml:space="preserve"> choose to </w:t>
      </w:r>
      <w:r w:rsidR="0072184C">
        <w:t>employ</w:t>
      </w:r>
      <w:r w:rsidR="00105DE8">
        <w:t xml:space="preserve"> only a subset of the</w:t>
      </w:r>
      <w:r w:rsidR="00984F2C">
        <w:t>ir</w:t>
      </w:r>
      <w:r w:rsidR="00105DE8">
        <w:t xml:space="preserve"> </w:t>
      </w:r>
      <w:r w:rsidR="00984F2C">
        <w:t>capabilities</w:t>
      </w:r>
      <w:r w:rsidR="00105DE8">
        <w:t>.</w:t>
      </w:r>
      <w:r w:rsidR="0003160A">
        <w:t xml:space="preserve"> </w:t>
      </w:r>
      <w:r w:rsidR="009269EE">
        <w:t>Actors may limit</w:t>
      </w:r>
      <w:r w:rsidR="0072184C">
        <w:t xml:space="preserve"> </w:t>
      </w:r>
      <w:r w:rsidR="0027022B">
        <w:t xml:space="preserve">their efforts </w:t>
      </w:r>
      <w:r w:rsidR="0003160A">
        <w:t>for the sake of efficiency</w:t>
      </w:r>
      <w:r w:rsidR="0072184C">
        <w:t xml:space="preserve"> if</w:t>
      </w:r>
      <w:r w:rsidR="0003160A">
        <w:t xml:space="preserve"> </w:t>
      </w:r>
      <w:r w:rsidR="003A39F6">
        <w:t xml:space="preserve">their objectives require </w:t>
      </w:r>
      <w:r w:rsidR="0003160A">
        <w:t xml:space="preserve">only </w:t>
      </w:r>
      <w:r w:rsidR="001A0EED">
        <w:t xml:space="preserve">limited </w:t>
      </w:r>
      <w:r w:rsidR="0003160A">
        <w:t>means. Alternatively,</w:t>
      </w:r>
      <w:r w:rsidR="009269EE">
        <w:t xml:space="preserve"> voluntary</w:t>
      </w:r>
      <w:r w:rsidR="0003160A">
        <w:t xml:space="preserve"> </w:t>
      </w:r>
      <w:r w:rsidR="0072184C">
        <w:t xml:space="preserve">limits </w:t>
      </w:r>
      <w:r w:rsidR="009269EE">
        <w:t>may</w:t>
      </w:r>
      <w:r w:rsidR="0072184C">
        <w:t xml:space="preserve"> reflect concerns about the</w:t>
      </w:r>
      <w:r w:rsidR="0003160A">
        <w:t xml:space="preserve"> </w:t>
      </w:r>
      <w:r w:rsidR="009269EE">
        <w:t xml:space="preserve">potential </w:t>
      </w:r>
      <w:r w:rsidR="0003160A">
        <w:t>risks of escalation.</w:t>
      </w:r>
      <w:r w:rsidR="0072184C">
        <w:t xml:space="preserve"> </w:t>
      </w:r>
      <w:r w:rsidR="00984F2C">
        <w:t>Actions in the gray zone</w:t>
      </w:r>
      <w:r w:rsidR="001A0EED">
        <w:t xml:space="preserve"> thus</w:t>
      </w:r>
      <w:r w:rsidR="009269EE">
        <w:t xml:space="preserve"> pose a discrimination problem</w:t>
      </w:r>
      <w:r>
        <w:t>: a</w:t>
      </w:r>
      <w:r w:rsidR="009269EE">
        <w:t>ggressors</w:t>
      </w:r>
      <w:r w:rsidR="001A0EED">
        <w:t xml:space="preserve"> </w:t>
      </w:r>
      <w:r w:rsidR="0072184C">
        <w:t xml:space="preserve">motivated by efficiency </w:t>
      </w:r>
      <w:r w:rsidR="001A0EED">
        <w:t xml:space="preserve">are more inclined to </w:t>
      </w:r>
      <w:r w:rsidR="0072184C">
        <w:t xml:space="preserve">escalate if challenged, while </w:t>
      </w:r>
      <w:r w:rsidR="00996CC0">
        <w:t xml:space="preserve">aggressors </w:t>
      </w:r>
      <w:r w:rsidR="0072184C">
        <w:t xml:space="preserve">concerned about deterrence should </w:t>
      </w:r>
      <w:r w:rsidR="001A0EED">
        <w:t xml:space="preserve">tend to </w:t>
      </w:r>
      <w:r w:rsidR="0072184C">
        <w:t xml:space="preserve">back down. </w:t>
      </w:r>
      <w:r w:rsidR="0003160A">
        <w:t>I</w:t>
      </w:r>
      <w:r w:rsidR="003A39F6">
        <w:t>ndeed, i</w:t>
      </w:r>
      <w:r w:rsidR="0003160A">
        <w:t>f gray zone conflict is a reaction to deterrence,</w:t>
      </w:r>
      <w:r w:rsidR="009269EE">
        <w:t xml:space="preserve"> </w:t>
      </w:r>
      <w:r w:rsidR="0003160A">
        <w:t>its scope and intensity should vary inverse</w:t>
      </w:r>
      <w:r w:rsidR="0027022B">
        <w:t>ly with</w:t>
      </w:r>
      <w:r w:rsidR="0003160A">
        <w:t xml:space="preserve"> the credibility of deterrence. </w:t>
      </w:r>
      <w:r w:rsidR="009269EE">
        <w:t xml:space="preserve">Drawing on Russian </w:t>
      </w:r>
      <w:r w:rsidR="00045097">
        <w:t>aggression</w:t>
      </w:r>
      <w:r w:rsidR="009269EE">
        <w:t>, w</w:t>
      </w:r>
      <w:r w:rsidR="0003160A">
        <w:t xml:space="preserve">e find support for </w:t>
      </w:r>
      <w:r w:rsidR="009269EE">
        <w:t>the deterrence</w:t>
      </w:r>
      <w:r w:rsidR="0003160A">
        <w:t xml:space="preserve"> hypothesis</w:t>
      </w:r>
      <w:r w:rsidR="00996CC0">
        <w:t xml:space="preserve"> in qualitative and quantitative data</w:t>
      </w:r>
      <w:r w:rsidR="0003160A">
        <w:t>.</w:t>
      </w:r>
      <w:r>
        <w:t xml:space="preserve"> Gray zone conflict </w:t>
      </w:r>
      <w:r w:rsidR="00045097">
        <w:t xml:space="preserve">is better understood as </w:t>
      </w:r>
      <w:r>
        <w:t>a reflection of weakness than</w:t>
      </w:r>
      <w:r w:rsidR="00045097">
        <w:t xml:space="preserve"> </w:t>
      </w:r>
      <w:r w:rsidR="00040448">
        <w:t xml:space="preserve">as </w:t>
      </w:r>
      <w:r w:rsidR="00045097">
        <w:t>an</w:t>
      </w:r>
      <w:r>
        <w:t xml:space="preserve"> expression of strength.</w:t>
      </w:r>
    </w:p>
    <w:p w14:paraId="594A33BA" w14:textId="77777777" w:rsidR="00105DE8" w:rsidRPr="00BF58C4" w:rsidRDefault="00105DE8" w:rsidP="00BF58C4">
      <w:pPr>
        <w:rPr>
          <w:b/>
        </w:rPr>
      </w:pPr>
    </w:p>
    <w:p w14:paraId="7A248EB6" w14:textId="282F85A2" w:rsidR="00657E08" w:rsidRDefault="00AB2B8A">
      <w:pPr>
        <w:spacing w:after="200" w:line="276" w:lineRule="auto"/>
        <w:ind w:right="0" w:firstLine="0"/>
        <w:jc w:val="left"/>
        <w:rPr>
          <w:sz w:val="22"/>
          <w:szCs w:val="22"/>
        </w:rPr>
      </w:pPr>
      <w:r>
        <w:t>Word Count</w:t>
      </w:r>
      <w:r w:rsidR="00483D1B">
        <w:t xml:space="preserve">: </w:t>
      </w:r>
      <w:fldSimple w:instr=" NUMWORDS  ">
        <w:r w:rsidR="00A21D29">
          <w:rPr>
            <w:noProof/>
          </w:rPr>
          <w:t>10893</w:t>
        </w:r>
      </w:fldSimple>
      <w:r w:rsidR="00483D1B">
        <w:br w:type="page"/>
      </w:r>
    </w:p>
    <w:p w14:paraId="6783D87F" w14:textId="77777777" w:rsidR="00657E08" w:rsidRDefault="00483D1B">
      <w:pPr>
        <w:pStyle w:val="Heading1"/>
        <w:spacing w:after="200" w:line="276" w:lineRule="auto"/>
        <w:ind w:left="-5" w:firstLine="0"/>
      </w:pPr>
      <w:r>
        <w:lastRenderedPageBreak/>
        <w:t>Introduction</w:t>
      </w:r>
    </w:p>
    <w:p w14:paraId="55C0F250" w14:textId="41D8E5A7" w:rsidR="001F09E8" w:rsidRDefault="00CE5A13" w:rsidP="00A771B3">
      <w:pPr>
        <w:spacing w:before="200" w:after="200" w:line="276" w:lineRule="auto"/>
        <w:ind w:left="-15" w:right="0" w:firstLine="0"/>
      </w:pPr>
      <w:r>
        <w:t xml:space="preserve">In the wake of the overthrow of Ukrainian President Viktor Yanukovych in February 2014, </w:t>
      </w:r>
      <w:r w:rsidR="00C74B5D">
        <w:t xml:space="preserve">the </w:t>
      </w:r>
      <w:r w:rsidR="001F09E8">
        <w:t>Crimea</w:t>
      </w:r>
      <w:r w:rsidR="00C74B5D">
        <w:t xml:space="preserve">n </w:t>
      </w:r>
      <w:r w:rsidR="00AB2B8A">
        <w:t>P</w:t>
      </w:r>
      <w:r w:rsidR="00C74B5D">
        <w:t>eninsula</w:t>
      </w:r>
      <w:r w:rsidR="006E0C06">
        <w:t xml:space="preserve"> was </w:t>
      </w:r>
      <w:r w:rsidR="00C74B5D">
        <w:t xml:space="preserve">invaded </w:t>
      </w:r>
      <w:r w:rsidR="006E0C06">
        <w:t xml:space="preserve">by </w:t>
      </w:r>
      <w:r w:rsidR="00C74B5D">
        <w:t xml:space="preserve">“little green men,” </w:t>
      </w:r>
      <w:r w:rsidR="00A771B3">
        <w:t>soldiers whose</w:t>
      </w:r>
      <w:r w:rsidR="00C74B5D">
        <w:t xml:space="preserve"> uniforms lack</w:t>
      </w:r>
      <w:r w:rsidR="00AF797B">
        <w:t>ed</w:t>
      </w:r>
      <w:r w:rsidR="00C74B5D">
        <w:t xml:space="preserve"> insignia</w:t>
      </w:r>
      <w:r w:rsidR="00AF797B">
        <w:t xml:space="preserve"> or</w:t>
      </w:r>
      <w:r w:rsidR="00C74B5D">
        <w:t xml:space="preserve"> other identifying information. </w:t>
      </w:r>
      <w:r w:rsidR="006E0C06">
        <w:t xml:space="preserve"> </w:t>
      </w:r>
      <w:r w:rsidR="001F09E8">
        <w:t>While nobody seriously doubted th</w:t>
      </w:r>
      <w:r w:rsidR="00CA033F">
        <w:t>e</w:t>
      </w:r>
      <w:r w:rsidR="00F07385">
        <w:t xml:space="preserve"> </w:t>
      </w:r>
      <w:r w:rsidR="00CA033F">
        <w:t xml:space="preserve">origin of </w:t>
      </w:r>
      <w:r w:rsidR="00F07385">
        <w:t>these troops</w:t>
      </w:r>
      <w:r w:rsidR="001F09E8">
        <w:t xml:space="preserve">, </w:t>
      </w:r>
      <w:r w:rsidR="00B56F1C">
        <w:t>the</w:t>
      </w:r>
      <w:r w:rsidR="00C74B5D">
        <w:t xml:space="preserve"> </w:t>
      </w:r>
      <w:r w:rsidR="00F07385">
        <w:t>pretext of</w:t>
      </w:r>
      <w:r w:rsidR="00A771B3">
        <w:t xml:space="preserve"> anonymity </w:t>
      </w:r>
      <w:r w:rsidR="00F07385">
        <w:t>afforded</w:t>
      </w:r>
      <w:r w:rsidR="00C74B5D">
        <w:t xml:space="preserve"> </w:t>
      </w:r>
      <w:r w:rsidR="00483D1B">
        <w:t xml:space="preserve">NATO </w:t>
      </w:r>
      <w:r w:rsidR="00F07385">
        <w:t xml:space="preserve">a fig leaf—had they needed one—to avert </w:t>
      </w:r>
      <w:r w:rsidR="000F723F">
        <w:t xml:space="preserve">direct </w:t>
      </w:r>
      <w:r w:rsidR="00A771B3">
        <w:t>confrontation</w:t>
      </w:r>
      <w:r w:rsidR="000F723F">
        <w:t xml:space="preserve"> between West and East</w:t>
      </w:r>
      <w:r w:rsidR="00483D1B">
        <w:t>.</w:t>
      </w:r>
      <w:r w:rsidR="00F07385">
        <w:rPr>
          <w:rStyle w:val="FootnoteReference"/>
        </w:rPr>
        <w:footnoteReference w:id="1"/>
      </w:r>
      <w:r w:rsidR="006E0C06">
        <w:t xml:space="preserve"> The Kremlin formally annexed </w:t>
      </w:r>
      <w:r w:rsidR="00AF797B">
        <w:t xml:space="preserve">Crimea </w:t>
      </w:r>
      <w:r w:rsidR="006E0C06">
        <w:t>shortly thereafter</w:t>
      </w:r>
      <w:r w:rsidR="00AF797B">
        <w:t xml:space="preserve">. </w:t>
      </w:r>
      <w:r w:rsidR="006E0C06">
        <w:t>R</w:t>
      </w:r>
      <w:r w:rsidR="00483D1B">
        <w:t xml:space="preserve">ussian </w:t>
      </w:r>
      <w:r w:rsidR="00B34256">
        <w:t>intervention</w:t>
      </w:r>
      <w:r w:rsidR="00483D1B">
        <w:t xml:space="preserve"> in Ukraine</w:t>
      </w:r>
      <w:r w:rsidR="00B34256">
        <w:t xml:space="preserve"> continues to this day, </w:t>
      </w:r>
      <w:r w:rsidR="00A771B3">
        <w:t xml:space="preserve">consisting of </w:t>
      </w:r>
      <w:r w:rsidR="00B34256">
        <w:t xml:space="preserve">limited ground </w:t>
      </w:r>
      <w:r>
        <w:t xml:space="preserve">operations and </w:t>
      </w:r>
      <w:r w:rsidR="00816EBA">
        <w:t>aggressive</w:t>
      </w:r>
      <w:r w:rsidR="00B34256">
        <w:t xml:space="preserve"> cyber campaigns</w:t>
      </w:r>
      <w:r w:rsidR="001F09E8">
        <w:t>.</w:t>
      </w:r>
      <w:r w:rsidR="00AB2B8A">
        <w:rPr>
          <w:rStyle w:val="FootnoteReference"/>
        </w:rPr>
        <w:footnoteReference w:id="2"/>
      </w:r>
      <w:r w:rsidR="001F09E8">
        <w:t xml:space="preserve"> </w:t>
      </w:r>
      <w:r>
        <w:t>Many now worry</w:t>
      </w:r>
      <w:r w:rsidR="001F09E8">
        <w:t xml:space="preserve"> about a potential repeat performance in the Baltic</w:t>
      </w:r>
      <w:r>
        <w:t>s</w:t>
      </w:r>
      <w:r w:rsidR="001F09E8">
        <w:t xml:space="preserve">, where ethnic Russian minorities and NATO membership </w:t>
      </w:r>
      <w:r w:rsidR="00681E3E">
        <w:t>make for</w:t>
      </w:r>
      <w:r w:rsidR="001F09E8">
        <w:t xml:space="preserve"> a dangerous mix. </w:t>
      </w:r>
      <w:r w:rsidR="000F723F">
        <w:t xml:space="preserve">Other </w:t>
      </w:r>
      <w:r w:rsidR="00816EBA">
        <w:t xml:space="preserve">Russian “active measures” </w:t>
      </w:r>
      <w:r w:rsidR="00ED238D">
        <w:t xml:space="preserve">similarly </w:t>
      </w:r>
      <w:r w:rsidR="00A771B3">
        <w:t>appear to be designed to undermine</w:t>
      </w:r>
      <w:r w:rsidR="00AF797B">
        <w:t xml:space="preserve"> </w:t>
      </w:r>
      <w:r w:rsidR="00ED238D">
        <w:t>the legitimacy of</w:t>
      </w:r>
      <w:r w:rsidR="00816EBA">
        <w:t xml:space="preserve"> Western democratic institutions and </w:t>
      </w:r>
      <w:r w:rsidR="00A771B3">
        <w:t xml:space="preserve">to </w:t>
      </w:r>
      <w:r w:rsidR="00816EBA">
        <w:t xml:space="preserve">inflame the wave of nationalist populism </w:t>
      </w:r>
      <w:r w:rsidR="00A771B3">
        <w:t>opposed to</w:t>
      </w:r>
      <w:r w:rsidR="00AF797B">
        <w:t xml:space="preserve"> </w:t>
      </w:r>
      <w:r w:rsidR="00816EBA">
        <w:t xml:space="preserve">the </w:t>
      </w:r>
      <w:r w:rsidR="00AB4694">
        <w:t>“</w:t>
      </w:r>
      <w:r w:rsidR="00816EBA">
        <w:t>liberal international order</w:t>
      </w:r>
      <w:r w:rsidR="00A771B3">
        <w:t>,</w:t>
      </w:r>
      <w:r w:rsidR="00AB4694">
        <w:t>”</w:t>
      </w:r>
      <w:r w:rsidR="00A771B3">
        <w:t xml:space="preserve"> while </w:t>
      </w:r>
      <w:r w:rsidR="000F723F">
        <w:t>ensuring that</w:t>
      </w:r>
      <w:r w:rsidR="00A771B3">
        <w:t xml:space="preserve"> </w:t>
      </w:r>
      <w:r w:rsidR="00816EBA">
        <w:t xml:space="preserve">military confrontation </w:t>
      </w:r>
      <w:r w:rsidR="00ED238D">
        <w:t>between Russia and</w:t>
      </w:r>
      <w:r w:rsidR="00816EBA">
        <w:t xml:space="preserve"> NATO </w:t>
      </w:r>
      <w:r w:rsidR="000F723F">
        <w:t>does not take place</w:t>
      </w:r>
      <w:r w:rsidR="00816EBA">
        <w:t>.</w:t>
      </w:r>
      <w:r w:rsidR="00AB2B8A">
        <w:rPr>
          <w:rStyle w:val="FootnoteReference"/>
        </w:rPr>
        <w:footnoteReference w:id="3"/>
      </w:r>
    </w:p>
    <w:p w14:paraId="792BFAD4" w14:textId="1BBE41F5" w:rsidR="00657E08" w:rsidRDefault="00816EBA" w:rsidP="00BF58C4">
      <w:pPr>
        <w:spacing w:before="200" w:after="200" w:line="276" w:lineRule="auto"/>
        <w:ind w:left="-15" w:right="0" w:firstLine="0"/>
      </w:pPr>
      <w:r>
        <w:t>According to</w:t>
      </w:r>
      <w:r w:rsidR="00ED238D">
        <w:t xml:space="preserve"> the</w:t>
      </w:r>
      <w:r w:rsidR="00530F05">
        <w:t xml:space="preserve"> </w:t>
      </w:r>
      <w:r>
        <w:t>former</w:t>
      </w:r>
      <w:r w:rsidR="00483D1B">
        <w:t xml:space="preserve"> British</w:t>
      </w:r>
      <w:r w:rsidR="00ED238D">
        <w:t xml:space="preserve"> Defen</w:t>
      </w:r>
      <w:r w:rsidR="006C2BC2">
        <w:t>s</w:t>
      </w:r>
      <w:r w:rsidR="00ED238D">
        <w:t>e</w:t>
      </w:r>
      <w:r w:rsidR="00483D1B">
        <w:t xml:space="preserve"> Secretary</w:t>
      </w:r>
      <w:r w:rsidR="00ED238D">
        <w:t>,</w:t>
      </w:r>
      <w:r w:rsidR="00483D1B">
        <w:t xml:space="preserve"> </w:t>
      </w:r>
      <w:r w:rsidR="00ED238D">
        <w:t>Michael Fallon</w:t>
      </w:r>
      <w:r w:rsidR="00530F05">
        <w:t>, “That is</w:t>
      </w:r>
      <w:r w:rsidR="00483D1B">
        <w:t xml:space="preserve"> not a Cold War. It is a grey war. Permanently teetering on the edge of outright hostility. Persistently hovering around the threshold of what we would normally consider acts of war”.</w:t>
      </w:r>
      <w:r w:rsidR="00AB2B8A">
        <w:rPr>
          <w:rStyle w:val="FootnoteReference"/>
        </w:rPr>
        <w:footnoteReference w:id="4"/>
      </w:r>
      <w:r w:rsidR="00483D1B">
        <w:t xml:space="preserve"> </w:t>
      </w:r>
      <w:r w:rsidR="00EB1054">
        <w:t xml:space="preserve">The imagery </w:t>
      </w:r>
      <w:r w:rsidR="00B34256">
        <w:t>of little green men</w:t>
      </w:r>
      <w:r w:rsidR="00EB1054">
        <w:t xml:space="preserve"> </w:t>
      </w:r>
      <w:r w:rsidR="00B34256">
        <w:t xml:space="preserve">in </w:t>
      </w:r>
      <w:r>
        <w:t>“</w:t>
      </w:r>
      <w:r w:rsidR="00B34256">
        <w:t xml:space="preserve">the gray zone” </w:t>
      </w:r>
      <w:r w:rsidR="006D2136">
        <w:t xml:space="preserve">has </w:t>
      </w:r>
      <w:r w:rsidR="00EB1054">
        <w:t xml:space="preserve">even </w:t>
      </w:r>
      <w:r w:rsidR="006D2136">
        <w:t xml:space="preserve">been </w:t>
      </w:r>
      <w:r w:rsidR="00B34256">
        <w:t>extended</w:t>
      </w:r>
      <w:r w:rsidR="006D2136">
        <w:t xml:space="preserve"> to</w:t>
      </w:r>
      <w:r w:rsidR="00B34256">
        <w:t xml:space="preserve"> </w:t>
      </w:r>
      <w:r w:rsidR="00483D1B">
        <w:t xml:space="preserve">“little blue men” </w:t>
      </w:r>
      <w:r>
        <w:t xml:space="preserve">used by </w:t>
      </w:r>
      <w:r w:rsidR="00B34256">
        <w:t xml:space="preserve">China </w:t>
      </w:r>
      <w:r w:rsidR="006D2136">
        <w:t xml:space="preserve">to erode </w:t>
      </w:r>
      <w:r>
        <w:t>“</w:t>
      </w:r>
      <w:r w:rsidR="006D2136">
        <w:t>red lines</w:t>
      </w:r>
      <w:r>
        <w:t>”</w:t>
      </w:r>
      <w:r w:rsidR="006D2136">
        <w:t xml:space="preserve"> in</w:t>
      </w:r>
      <w:r w:rsidR="00B34256">
        <w:t xml:space="preserve"> maritime</w:t>
      </w:r>
      <w:r w:rsidR="00483D1B">
        <w:t xml:space="preserve"> East Asia.</w:t>
      </w:r>
      <w:r w:rsidR="00AB2B8A">
        <w:rPr>
          <w:rStyle w:val="FootnoteReference"/>
        </w:rPr>
        <w:footnoteReference w:id="5"/>
      </w:r>
      <w:r w:rsidR="00483D1B">
        <w:t xml:space="preserve"> The kaleidoscopic language highlights </w:t>
      </w:r>
      <w:r w:rsidR="006D2136">
        <w:t>both practical and conceptual challenges</w:t>
      </w:r>
      <w:r w:rsidR="00B34256">
        <w:t xml:space="preserve"> in </w:t>
      </w:r>
      <w:r>
        <w:t xml:space="preserve">the practice of </w:t>
      </w:r>
      <w:r w:rsidR="00B34256">
        <w:t>deterrence</w:t>
      </w:r>
      <w:r w:rsidR="00483D1B">
        <w:t xml:space="preserve">. As </w:t>
      </w:r>
      <w:r w:rsidR="006D2136">
        <w:t>the</w:t>
      </w:r>
      <w:r w:rsidR="00483D1B">
        <w:t xml:space="preserve"> Chairman of the Joint Chiefs </w:t>
      </w:r>
      <w:r w:rsidR="00483D1B">
        <w:lastRenderedPageBreak/>
        <w:t xml:space="preserve">of Staff noted, “Our traditional approach is either we’re at peace or at conflict. And I think that’s insufficient to deal with the actors that </w:t>
      </w:r>
      <w:proofErr w:type="gramStart"/>
      <w:r w:rsidR="00483D1B">
        <w:t>actually seek</w:t>
      </w:r>
      <w:proofErr w:type="gramEnd"/>
      <w:r w:rsidR="00483D1B">
        <w:t xml:space="preserve"> to advance their interests while avoiding our strengths”.</w:t>
      </w:r>
      <w:r w:rsidR="00AB2B8A">
        <w:rPr>
          <w:rStyle w:val="FootnoteReference"/>
        </w:rPr>
        <w:footnoteReference w:id="6"/>
      </w:r>
    </w:p>
    <w:p w14:paraId="6E943CFE" w14:textId="69F52760" w:rsidR="00500754" w:rsidRDefault="00476900" w:rsidP="00990F92">
      <w:pPr>
        <w:spacing w:after="200" w:line="276" w:lineRule="auto"/>
        <w:ind w:left="-15" w:right="0" w:firstLine="0"/>
      </w:pPr>
      <w:r>
        <w:t xml:space="preserve">These concerns reflect </w:t>
      </w:r>
      <w:r w:rsidR="00500754">
        <w:t>widely held</w:t>
      </w:r>
      <w:r w:rsidR="00045097">
        <w:t xml:space="preserve">, yet </w:t>
      </w:r>
      <w:r w:rsidR="00EB1054">
        <w:t>problematic</w:t>
      </w:r>
      <w:r w:rsidR="00045097">
        <w:t>,</w:t>
      </w:r>
      <w:r w:rsidR="00500754">
        <w:t xml:space="preserve"> </w:t>
      </w:r>
      <w:r w:rsidR="00496AF1">
        <w:t>beliefs</w:t>
      </w:r>
      <w:r w:rsidR="00EB1054">
        <w:t xml:space="preserve"> </w:t>
      </w:r>
      <w:r w:rsidR="00500754">
        <w:t xml:space="preserve">that gray zone conflict is </w:t>
      </w:r>
      <w:r w:rsidR="00496AF1">
        <w:t xml:space="preserve">either </w:t>
      </w:r>
      <w:r w:rsidR="00500754">
        <w:t xml:space="preserve">a </w:t>
      </w:r>
      <w:r w:rsidR="00EB1054">
        <w:t>thoroughly novel</w:t>
      </w:r>
      <w:r w:rsidR="00496AF1">
        <w:t>,</w:t>
      </w:r>
      <w:r w:rsidR="00EB1054">
        <w:t xml:space="preserve"> or</w:t>
      </w:r>
      <w:r w:rsidR="006E0C06">
        <w:t xml:space="preserve"> </w:t>
      </w:r>
      <w:r w:rsidR="00EB1054">
        <w:t xml:space="preserve">especially </w:t>
      </w:r>
      <w:r w:rsidR="006E0C06">
        <w:t>potent</w:t>
      </w:r>
      <w:r w:rsidR="00496AF1">
        <w:t>,</w:t>
      </w:r>
      <w:r w:rsidR="00500754">
        <w:t xml:space="preserve"> </w:t>
      </w:r>
      <w:r w:rsidR="006E0C06">
        <w:t>form</w:t>
      </w:r>
      <w:r w:rsidR="00500754">
        <w:t xml:space="preserve"> of war</w:t>
      </w:r>
      <w:r w:rsidR="00496AF1">
        <w:t>fare</w:t>
      </w:r>
      <w:r w:rsidR="00500754">
        <w:t>.</w:t>
      </w:r>
      <w:r w:rsidR="00045097">
        <w:t xml:space="preserve"> Limited war is an old problem, even as most attention has focused on irregular actors limited by means rather than capable actors </w:t>
      </w:r>
      <w:r w:rsidR="00256856">
        <w:t>pursuing</w:t>
      </w:r>
      <w:r w:rsidR="00045097">
        <w:t xml:space="preserve"> limited ends.</w:t>
      </w:r>
      <w:r w:rsidR="00500754">
        <w:t xml:space="preserve"> Russia and other</w:t>
      </w:r>
      <w:r w:rsidR="00256856">
        <w:t xml:space="preserve"> countries</w:t>
      </w:r>
      <w:r w:rsidR="00500754">
        <w:t xml:space="preserve"> </w:t>
      </w:r>
      <w:r>
        <w:t>appear to be</w:t>
      </w:r>
      <w:r w:rsidR="00500754">
        <w:t xml:space="preserve"> outsmarting the West by utilizing new technologies</w:t>
      </w:r>
      <w:r w:rsidR="00BB16CC">
        <w:t>, or combinations of capabilities in different domains,</w:t>
      </w:r>
      <w:r w:rsidR="00500754">
        <w:t xml:space="preserve"> to </w:t>
      </w:r>
      <w:r w:rsidR="00BB16CC">
        <w:t xml:space="preserve">undermine </w:t>
      </w:r>
      <w:r>
        <w:t xml:space="preserve">traditional defenses </w:t>
      </w:r>
      <w:r w:rsidR="00BB16CC">
        <w:t>and revise the balance of power</w:t>
      </w:r>
      <w:r w:rsidR="00500754">
        <w:t xml:space="preserve">. </w:t>
      </w:r>
      <w:r>
        <w:t>C</w:t>
      </w:r>
      <w:r w:rsidR="00500754">
        <w:t>hallengers</w:t>
      </w:r>
      <w:r w:rsidR="00256856">
        <w:t xml:space="preserve"> seem to be </w:t>
      </w:r>
      <w:r w:rsidR="00500754">
        <w:t xml:space="preserve">undeterred from using </w:t>
      </w:r>
      <w:r w:rsidR="005B374C">
        <w:t>cyber</w:t>
      </w:r>
      <w:r w:rsidR="00E73336">
        <w:t xml:space="preserve">-enabled aggression </w:t>
      </w:r>
      <w:r w:rsidR="00500754">
        <w:t xml:space="preserve">as an efficient way to pursue their interests. We </w:t>
      </w:r>
      <w:r>
        <w:t xml:space="preserve">argue, by contrast, that </w:t>
      </w:r>
      <w:r w:rsidR="00500754">
        <w:t xml:space="preserve">gray zone conflict </w:t>
      </w:r>
      <w:r>
        <w:t>is</w:t>
      </w:r>
      <w:r w:rsidR="00500754">
        <w:t xml:space="preserve"> a symptom of Western success. The explicit declaratory statements and implicit relative power of the stronger coalition </w:t>
      </w:r>
      <w:r w:rsidR="0059382B">
        <w:t>limit</w:t>
      </w:r>
      <w:r w:rsidR="00500754">
        <w:t xml:space="preserve"> maneuver </w:t>
      </w:r>
      <w:r w:rsidR="0059382B">
        <w:t xml:space="preserve">room for </w:t>
      </w:r>
      <w:r w:rsidR="00500754">
        <w:t xml:space="preserve">the </w:t>
      </w:r>
      <w:r>
        <w:t xml:space="preserve">weaker </w:t>
      </w:r>
      <w:r w:rsidR="00500754">
        <w:t xml:space="preserve">revisionist. Covert intervention and cyber campaigns </w:t>
      </w:r>
      <w:r>
        <w:t>are better understood as</w:t>
      </w:r>
      <w:r w:rsidR="00500754">
        <w:t xml:space="preserve"> sub-optimal</w:t>
      </w:r>
      <w:r w:rsidR="00A62E0C">
        <w:t>,</w:t>
      </w:r>
      <w:r w:rsidR="00500754">
        <w:t xml:space="preserve"> </w:t>
      </w:r>
      <w:r w:rsidR="00A62E0C">
        <w:t>“</w:t>
      </w:r>
      <w:r w:rsidR="00500754">
        <w:t>second-best</w:t>
      </w:r>
      <w:r w:rsidR="00A62E0C">
        <w:t>”</w:t>
      </w:r>
      <w:r w:rsidR="00500754">
        <w:t xml:space="preserve"> strategies </w:t>
      </w:r>
      <w:r w:rsidR="00721491">
        <w:t>for</w:t>
      </w:r>
      <w:r w:rsidR="00500754">
        <w:t xml:space="preserve"> maximizing political-military influence</w:t>
      </w:r>
      <w:r>
        <w:t>, which would be more effectively achieved through overt intervention</w:t>
      </w:r>
      <w:r w:rsidR="00721491">
        <w:t xml:space="preserve">, </w:t>
      </w:r>
      <w:r w:rsidR="006E0C06">
        <w:t xml:space="preserve">although </w:t>
      </w:r>
      <w:r w:rsidR="0059382B">
        <w:t>at</w:t>
      </w:r>
      <w:r w:rsidR="00A62E0C">
        <w:t xml:space="preserve"> </w:t>
      </w:r>
      <w:r w:rsidR="0059382B">
        <w:t>increased</w:t>
      </w:r>
      <w:r w:rsidR="00721491">
        <w:t xml:space="preserve"> cost and risk</w:t>
      </w:r>
      <w:r w:rsidR="00256856">
        <w:t>. In sum, g</w:t>
      </w:r>
      <w:r w:rsidR="00500754">
        <w:t>ray zone actors do not care enough to send the very best.</w:t>
      </w:r>
    </w:p>
    <w:p w14:paraId="355CE0DA" w14:textId="30E4CBE8" w:rsidR="00256856" w:rsidRDefault="00FB38B5">
      <w:pPr>
        <w:spacing w:after="200" w:line="276" w:lineRule="auto"/>
        <w:ind w:left="-15" w:right="0" w:firstLine="0"/>
      </w:pPr>
      <w:r>
        <w:t>T</w:t>
      </w:r>
      <w:r w:rsidR="00553D55">
        <w:t>he good news</w:t>
      </w:r>
      <w:r w:rsidR="00F14579">
        <w:t xml:space="preserve"> in our version of events</w:t>
      </w:r>
      <w:r w:rsidR="00553D55">
        <w:t xml:space="preserve"> is that </w:t>
      </w:r>
      <w:r w:rsidR="00681E3E">
        <w:t>gray zone conflict</w:t>
      </w:r>
      <w:r w:rsidR="00553D55">
        <w:t xml:space="preserve"> is a response to deterrence</w:t>
      </w:r>
      <w:r w:rsidR="00F14579">
        <w:t xml:space="preserve"> success. T</w:t>
      </w:r>
      <w:r w:rsidR="00553D55">
        <w:t xml:space="preserve">he severity of </w:t>
      </w:r>
      <w:r w:rsidR="00F14579">
        <w:t xml:space="preserve">gray zone </w:t>
      </w:r>
      <w:r w:rsidR="00553D55">
        <w:t xml:space="preserve">conflict should </w:t>
      </w:r>
      <w:r w:rsidR="00F14579">
        <w:t xml:space="preserve">then </w:t>
      </w:r>
      <w:r w:rsidR="00553D55">
        <w:t>be attenuated where</w:t>
      </w:r>
      <w:r w:rsidR="00721491">
        <w:t>ver</w:t>
      </w:r>
      <w:r w:rsidR="00553D55">
        <w:t xml:space="preserve"> the defender’s power and resolve are higher. </w:t>
      </w:r>
      <w:r>
        <w:t>T</w:t>
      </w:r>
      <w:r w:rsidR="00553D55">
        <w:t xml:space="preserve">he bad news </w:t>
      </w:r>
      <w:r w:rsidR="00F14579">
        <w:t xml:space="preserve">in this conception </w:t>
      </w:r>
      <w:r w:rsidR="00553D55">
        <w:t xml:space="preserve">is that </w:t>
      </w:r>
      <w:r w:rsidR="00F14579">
        <w:t xml:space="preserve">gray zone conflict </w:t>
      </w:r>
      <w:r w:rsidR="00553D55">
        <w:t xml:space="preserve">probes the threshold of </w:t>
      </w:r>
      <w:r w:rsidR="006E0C06">
        <w:t>deterrence effectiveness</w:t>
      </w:r>
      <w:r w:rsidR="00F14579">
        <w:t xml:space="preserve">. </w:t>
      </w:r>
      <w:r w:rsidR="006C2BC2">
        <w:t>Thus,</w:t>
      </w:r>
      <w:r w:rsidR="00553D55">
        <w:t xml:space="preserve"> </w:t>
      </w:r>
      <w:r w:rsidR="00721491">
        <w:t>conflict</w:t>
      </w:r>
      <w:r w:rsidR="00553D55">
        <w:t xml:space="preserve"> severity should be greater where defender power and resolve is more questionable. </w:t>
      </w:r>
      <w:r w:rsidR="00681E3E">
        <w:t xml:space="preserve">A nation’s interests will vary across different issue areas, as will its ability to project military power to back up deterrent threats. </w:t>
      </w:r>
      <w:r>
        <w:t>Therefore, we expect the</w:t>
      </w:r>
      <w:r w:rsidR="00553D55">
        <w:t xml:space="preserve"> intensity and lethality of conflict </w:t>
      </w:r>
      <w:r>
        <w:t>to</w:t>
      </w:r>
      <w:r w:rsidR="00553D55">
        <w:t xml:space="preserve"> </w:t>
      </w:r>
      <w:r>
        <w:t>vary</w:t>
      </w:r>
      <w:r w:rsidR="00553D55">
        <w:t xml:space="preserve"> along a gradient of deterrence credibility, analogous to the military loss of strength gradient across geographical distance.</w:t>
      </w:r>
      <w:r w:rsidR="00AB2B8A">
        <w:rPr>
          <w:rStyle w:val="FootnoteReference"/>
        </w:rPr>
        <w:footnoteReference w:id="7"/>
      </w:r>
      <w:r w:rsidR="00553D55">
        <w:t xml:space="preserve"> We test this </w:t>
      </w:r>
      <w:r w:rsidR="00045097">
        <w:t>hypothesis</w:t>
      </w:r>
      <w:r w:rsidR="00553D55">
        <w:t xml:space="preserve"> </w:t>
      </w:r>
      <w:r w:rsidR="00256856">
        <w:t xml:space="preserve">by </w:t>
      </w:r>
      <w:r w:rsidR="00045097">
        <w:t>drawing on a new dataset of Russian interventions since the end of the Cold War and qualitative studies of Russia’s major cyber campaigns,</w:t>
      </w:r>
      <w:r w:rsidR="00553D55">
        <w:t xml:space="preserve"> which </w:t>
      </w:r>
      <w:r w:rsidR="00256856">
        <w:t xml:space="preserve">vary </w:t>
      </w:r>
      <w:r w:rsidR="00553D55">
        <w:t xml:space="preserve">in the additional types of </w:t>
      </w:r>
      <w:r w:rsidR="00721491">
        <w:t>force</w:t>
      </w:r>
      <w:r w:rsidR="00553D55">
        <w:t xml:space="preserve"> </w:t>
      </w:r>
      <w:r w:rsidR="00256856">
        <w:t xml:space="preserve">that </w:t>
      </w:r>
      <w:r w:rsidR="00553D55">
        <w:t xml:space="preserve">Russia has </w:t>
      </w:r>
      <w:r w:rsidR="00721491">
        <w:t>mobilized.</w:t>
      </w:r>
      <w:r w:rsidR="00553D55">
        <w:t xml:space="preserve"> We find that Russia systematically limit</w:t>
      </w:r>
      <w:r w:rsidR="00721491">
        <w:t>s</w:t>
      </w:r>
      <w:r w:rsidR="00553D55">
        <w:t xml:space="preserve"> its choice of military means along a</w:t>
      </w:r>
      <w:r>
        <w:t>n East-West</w:t>
      </w:r>
      <w:r w:rsidR="00553D55">
        <w:t xml:space="preserve"> gradient</w:t>
      </w:r>
      <w:r w:rsidR="00F14579">
        <w:t xml:space="preserve">, behaving more furtively </w:t>
      </w:r>
      <w:r w:rsidR="00721491">
        <w:t>as Western credibility increases</w:t>
      </w:r>
      <w:r w:rsidR="00553D55">
        <w:t>.</w:t>
      </w:r>
      <w:r>
        <w:t xml:space="preserve"> </w:t>
      </w:r>
    </w:p>
    <w:p w14:paraId="22744E45" w14:textId="6416A17B" w:rsidR="00657E08" w:rsidRDefault="00256856" w:rsidP="00BF58C4">
      <w:pPr>
        <w:spacing w:after="200" w:line="276" w:lineRule="auto"/>
        <w:ind w:right="0" w:firstLine="0"/>
      </w:pPr>
      <w:r>
        <w:t>Deterrence shape</w:t>
      </w:r>
      <w:r w:rsidR="00A83B5E">
        <w:t>s</w:t>
      </w:r>
      <w:r>
        <w:t xml:space="preserve"> the way </w:t>
      </w:r>
      <w:r w:rsidR="00A83B5E">
        <w:t>that</w:t>
      </w:r>
      <w:r>
        <w:t xml:space="preserve"> conflict emerges, but it cannot suppress </w:t>
      </w:r>
      <w:r w:rsidR="00A83B5E">
        <w:t xml:space="preserve">conflict </w:t>
      </w:r>
      <w:r>
        <w:t xml:space="preserve">altogether. </w:t>
      </w:r>
      <w:r w:rsidR="00A83B5E">
        <w:t xml:space="preserve">An adversary is seldom passive. There </w:t>
      </w:r>
      <w:r>
        <w:t xml:space="preserve">will always be </w:t>
      </w:r>
      <w:r w:rsidR="00A83B5E">
        <w:t xml:space="preserve">attempts at end-runs or push-back, even when </w:t>
      </w:r>
      <w:r>
        <w:t>deterrence is credible. It is also important to avoid overextending commitments where credibility is in doubt. Policymakers should be sensitive to the deterrence gradient, seeking to reinforce success and respect weakness. We make our argument i</w:t>
      </w:r>
      <w:r w:rsidR="00721491">
        <w:t xml:space="preserve">n four parts. </w:t>
      </w:r>
      <w:r w:rsidR="006C2BC2">
        <w:lastRenderedPageBreak/>
        <w:t>First,</w:t>
      </w:r>
      <w:r w:rsidR="00721491">
        <w:t xml:space="preserve"> we locate gray zone conflict in the broader literature on limited war. Second</w:t>
      </w:r>
      <w:r w:rsidR="006C2BC2">
        <w:t>,</w:t>
      </w:r>
      <w:r w:rsidR="00721491">
        <w:t xml:space="preserve"> we analyze </w:t>
      </w:r>
      <w:r w:rsidR="00681E3E">
        <w:t xml:space="preserve">limited conflict </w:t>
      </w:r>
      <w:r w:rsidR="00483D1B">
        <w:t>through the lens of deterrence theory</w:t>
      </w:r>
      <w:r w:rsidR="00721491">
        <w:t>. Third we conduct a plausibility probe</w:t>
      </w:r>
      <w:r w:rsidR="00681E3E">
        <w:t xml:space="preserve"> of our argument</w:t>
      </w:r>
      <w:r w:rsidR="00721491">
        <w:t xml:space="preserve"> using recent Russian cases. </w:t>
      </w:r>
      <w:r w:rsidR="00681E3E">
        <w:t>W</w:t>
      </w:r>
      <w:r w:rsidR="00483D1B">
        <w:t xml:space="preserve">e conclude </w:t>
      </w:r>
      <w:r w:rsidR="00681E3E">
        <w:t>with</w:t>
      </w:r>
      <w:r w:rsidR="00721491">
        <w:t xml:space="preserve"> </w:t>
      </w:r>
      <w:r w:rsidR="00483D1B">
        <w:t>implications of our argument.</w:t>
      </w:r>
    </w:p>
    <w:p w14:paraId="62EB6B41" w14:textId="77777777" w:rsidR="00657E08" w:rsidRDefault="00483D1B">
      <w:pPr>
        <w:pStyle w:val="Heading1"/>
        <w:spacing w:after="200" w:line="276" w:lineRule="auto"/>
        <w:ind w:left="-5" w:firstLine="0"/>
      </w:pPr>
      <w:r>
        <w:t>Between Peace and War</w:t>
      </w:r>
    </w:p>
    <w:p w14:paraId="21B57A2A" w14:textId="0862FC69" w:rsidR="00F76B0D" w:rsidRDefault="00045097" w:rsidP="00045097">
      <w:pPr>
        <w:spacing w:after="200" w:line="276" w:lineRule="auto"/>
        <w:ind w:left="-15" w:right="0" w:firstLine="0"/>
      </w:pPr>
      <w:r>
        <w:t>There is nothing new about conflict that falls ambiguously between peace and war.</w:t>
      </w:r>
      <w:r w:rsidR="00AB2B8A">
        <w:rPr>
          <w:rStyle w:val="FootnoteReference"/>
        </w:rPr>
        <w:footnoteReference w:id="8"/>
      </w:r>
      <w:r>
        <w:t xml:space="preserve"> There is a long history of, and a vast literature on, limited conflict, salami tactics, low intensity conflict, revolutionary war, military operations other than war, covert operations, small wars, and proxy wars.</w:t>
      </w:r>
      <w:r w:rsidR="000526D8">
        <w:rPr>
          <w:rStyle w:val="FootnoteReference"/>
        </w:rPr>
        <w:footnoteReference w:id="9"/>
      </w:r>
      <w:r>
        <w:t xml:space="preserve"> Many (but not all) of these concepts emphasize asymmetric struggles with </w:t>
      </w:r>
      <w:r>
        <w:lastRenderedPageBreak/>
        <w:t xml:space="preserve">combatants that are </w:t>
      </w:r>
      <w:r>
        <w:rPr>
          <w:i/>
        </w:rPr>
        <w:t xml:space="preserve">unable </w:t>
      </w:r>
      <w:r>
        <w:t xml:space="preserve">in material terms to fight on a larger scale or with higher intensity. </w:t>
      </w:r>
    </w:p>
    <w:p w14:paraId="7C7E93AC" w14:textId="0F4F1949" w:rsidR="00657E08" w:rsidRDefault="00045097">
      <w:pPr>
        <w:spacing w:after="200" w:line="276" w:lineRule="auto"/>
        <w:ind w:left="-15" w:right="0" w:firstLine="0"/>
      </w:pPr>
      <w:r>
        <w:t xml:space="preserve">The </w:t>
      </w:r>
      <w:r w:rsidR="00F76B0D">
        <w:t>interesting</w:t>
      </w:r>
      <w:r>
        <w:t xml:space="preserve"> puzzle about gray zone conflict, as we will use the term here, is that adversaries are </w:t>
      </w:r>
      <w:r>
        <w:rPr>
          <w:i/>
        </w:rPr>
        <w:t xml:space="preserve">unwilling </w:t>
      </w:r>
      <w:r>
        <w:t>to broaden the scope or intensity of a military engagement, despite being able to do so.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r w:rsidR="000526D8">
        <w:rPr>
          <w:rStyle w:val="FootnoteReference"/>
        </w:rPr>
        <w:footnoteReference w:id="10"/>
      </w:r>
      <w:r>
        <w:t xml:space="preserve"> General Joseph </w:t>
      </w:r>
      <w:proofErr w:type="spellStart"/>
      <w:r>
        <w:t>Votel</w:t>
      </w:r>
      <w:proofErr w:type="spellEnd"/>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sidR="00B8629E">
        <w:rPr>
          <w:rStyle w:val="FootnoteReference"/>
        </w:rPr>
        <w:footnoteReference w:id="11"/>
      </w:r>
      <w:r>
        <w:t xml:space="preserve">. </w:t>
      </w:r>
      <w:r w:rsidR="00F76B0D">
        <w:t>Today many are concerned about an</w:t>
      </w:r>
      <w:r w:rsidR="00256856">
        <w:t xml:space="preserve"> emerging manifestation of limited </w:t>
      </w:r>
      <w:r w:rsidR="00483D1B">
        <w:t xml:space="preserve">war, often called </w:t>
      </w:r>
      <w:r w:rsidR="00E73336">
        <w:t>“</w:t>
      </w:r>
      <w:r w:rsidR="00483D1B">
        <w:t>gray zone conflict.</w:t>
      </w:r>
      <w:r w:rsidR="00E73336">
        <w:t>”</w:t>
      </w:r>
      <w:r w:rsidR="00483D1B">
        <w:t xml:space="preserve"> United States Special Operations Command (SOCOM) </w:t>
      </w:r>
      <w:r w:rsidR="00990F92">
        <w:t>has defined</w:t>
      </w:r>
      <w:r w:rsidR="00CD46B2">
        <w:t xml:space="preserve"> </w:t>
      </w:r>
      <w:r w:rsidR="008A1863">
        <w:t>it</w:t>
      </w:r>
      <w:r w:rsidR="00CD46B2">
        <w:t xml:space="preserve"> as</w:t>
      </w:r>
      <w:r w:rsidR="00483D1B">
        <w:t>:</w:t>
      </w:r>
    </w:p>
    <w:p w14:paraId="1EF41F61" w14:textId="0676C138" w:rsidR="00657E08" w:rsidRDefault="00483D1B">
      <w:pPr>
        <w:pBdr>
          <w:top w:val="nil"/>
          <w:left w:val="nil"/>
          <w:bottom w:val="nil"/>
          <w:right w:val="nil"/>
          <w:between w:val="nil"/>
        </w:pBd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00B8629E">
        <w:rPr>
          <w:rStyle w:val="FootnoteReference"/>
        </w:rPr>
        <w:footnoteReference w:id="12"/>
      </w:r>
    </w:p>
    <w:p w14:paraId="400EBBE8" w14:textId="507BDF29" w:rsidR="00657E08" w:rsidRDefault="00F76B0D">
      <w:pPr>
        <w:spacing w:after="200" w:line="276" w:lineRule="auto"/>
        <w:ind w:left="-15" w:right="0" w:firstLine="0"/>
      </w:pPr>
      <w:r>
        <w:t>Again, t</w:t>
      </w:r>
      <w:r w:rsidR="005B374C">
        <w:t xml:space="preserve">his is not a new problem. </w:t>
      </w:r>
      <w:bookmarkStart w:id="0" w:name="_kr66excyhdrs" w:colFirst="0" w:colLast="0"/>
      <w:bookmarkEnd w:id="0"/>
      <w:r w:rsidR="00483D1B">
        <w:t xml:space="preserve">While it is convenient to think of peace and war as dichotomous, discrete outcomes, observers have long recognized that tension and violence exist on a spectrum, even as the language </w:t>
      </w:r>
      <w:r w:rsidR="00E73336">
        <w:t xml:space="preserve">used to describe it </w:t>
      </w:r>
      <w:r w:rsidR="005C2BF4">
        <w:t>evolves</w:t>
      </w:r>
      <w:r w:rsidR="00483D1B">
        <w:t>.</w:t>
      </w:r>
      <w:r w:rsidR="00B8629E">
        <w:rPr>
          <w:rStyle w:val="FootnoteReference"/>
        </w:rPr>
        <w:footnoteReference w:id="13"/>
      </w:r>
      <w:r w:rsidR="00483D1B">
        <w:t xml:space="preserve"> The Cold War featured three distinct threads of thought dealing with limited war: aggressive peacetime competition and intelligence operations vis-a-vis the Soviet Union (war limited by ends), conventional war in the shadow of nuclear weapons (war limited by </w:t>
      </w:r>
      <w:r w:rsidR="00E73336">
        <w:t>risks</w:t>
      </w:r>
      <w:r w:rsidR="00483D1B">
        <w:t xml:space="preserve">), and low-intensity conflict with irregular forces (war limited by means). </w:t>
      </w:r>
    </w:p>
    <w:p w14:paraId="104B95D1" w14:textId="77777777" w:rsidR="00657E08" w:rsidRDefault="00483D1B" w:rsidP="00BF58C4">
      <w:pPr>
        <w:pStyle w:val="Heading2"/>
      </w:pPr>
      <w:bookmarkStart w:id="1" w:name="_qmjz1equ8oin" w:colFirst="0" w:colLast="0"/>
      <w:bookmarkEnd w:id="1"/>
      <w:r>
        <w:lastRenderedPageBreak/>
        <w:t>Wars Limited by Ends</w:t>
      </w:r>
    </w:p>
    <w:p w14:paraId="3EBF20EF" w14:textId="4A3DA8BC" w:rsidR="00657E08" w:rsidRDefault="008A1863">
      <w:pPr>
        <w:spacing w:after="200" w:line="276" w:lineRule="auto"/>
        <w:ind w:firstLine="0"/>
      </w:pPr>
      <w:r>
        <w:t>In the early days of the Cold War</w:t>
      </w:r>
      <w:r w:rsidR="00483D1B">
        <w:t>, George Kennan emphasized that both overt and covert political warfare could play a role in long-term strategic competition with the Soviet Union.</w:t>
      </w:r>
    </w:p>
    <w:p w14:paraId="455F3888" w14:textId="366550DD" w:rsidR="00657E08" w:rsidRDefault="00483D1B">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sidR="00B8629E">
        <w:rPr>
          <w:rStyle w:val="FootnoteReference"/>
        </w:rPr>
        <w:footnoteReference w:id="14"/>
      </w:r>
    </w:p>
    <w:p w14:paraId="71088CB9" w14:textId="685BCCE4" w:rsidR="00657E08" w:rsidRDefault="00483D1B">
      <w:pPr>
        <w:spacing w:after="200" w:line="276" w:lineRule="auto"/>
        <w:ind w:firstLine="0"/>
      </w:pPr>
      <w:r>
        <w:t xml:space="preserve">The emphasis on limited political objectives over military operations represented </w:t>
      </w:r>
      <w:r w:rsidR="004B1A61">
        <w:t xml:space="preserve">an important </w:t>
      </w:r>
      <w:r>
        <w:t>shift in thinking. The Korean War exemplified an underappreciated type of war fought to achieve political ends short of traditional military victory despite having the capability to do so.</w:t>
      </w:r>
      <w:r w:rsidR="00B8629E">
        <w:rPr>
          <w:rStyle w:val="FootnoteReference"/>
        </w:rPr>
        <w:footnoteReference w:id="15"/>
      </w:r>
      <w:r>
        <w:t xml:space="preserve"> </w:t>
      </w:r>
      <w:r w:rsidR="004B1A61">
        <w:t>Contemporary treatment understood</w:t>
      </w:r>
      <w:r>
        <w:t xml:space="preserve"> limited war as </w:t>
      </w:r>
      <w:r w:rsidR="004B1A61">
        <w:t xml:space="preserve">a conflict between </w:t>
      </w:r>
      <w:r>
        <w:t xml:space="preserve">actors </w:t>
      </w:r>
      <w:r w:rsidR="004B1A61">
        <w:t xml:space="preserve">who </w:t>
      </w:r>
      <w:r>
        <w:t xml:space="preserve">had the capacity to increase </w:t>
      </w:r>
      <w:r w:rsidR="004B1A61">
        <w:t xml:space="preserve">battlefield </w:t>
      </w:r>
      <w:r>
        <w:t xml:space="preserve">commitment but did not want to do so, creating a third option short of major war </w:t>
      </w:r>
      <w:r w:rsidR="004B1A61">
        <w:t xml:space="preserve">yet </w:t>
      </w:r>
      <w:r>
        <w:t>beyond acquiescence.</w:t>
      </w:r>
      <w:r w:rsidR="00B8629E">
        <w:rPr>
          <w:rStyle w:val="FootnoteReference"/>
        </w:rPr>
        <w:footnoteReference w:id="16"/>
      </w:r>
      <w:r>
        <w:t xml:space="preserve"> Kissinger and Osgood tried to figure out ways to conduct limited war and avoid escalation by restricting targets and weapons systems </w:t>
      </w:r>
      <w:r w:rsidR="004B1A61">
        <w:t>or limiting</w:t>
      </w:r>
      <w:r>
        <w:t xml:space="preserve"> the geographic scope of conflict.</w:t>
      </w:r>
      <w:r w:rsidR="00B8629E">
        <w:rPr>
          <w:rStyle w:val="FootnoteReference"/>
        </w:rPr>
        <w:footnoteReference w:id="17"/>
      </w:r>
      <w:r>
        <w:t xml:space="preserve"> </w:t>
      </w:r>
      <w:r w:rsidR="004B1A61">
        <w:t>This form of war, ironically, and challengingly, required some tacit agreement or common conjecture among adversaries to limit the scope of war</w:t>
      </w:r>
      <w:r>
        <w:t>.</w:t>
      </w:r>
      <w:r w:rsidR="00B8629E">
        <w:rPr>
          <w:rStyle w:val="FootnoteReference"/>
        </w:rPr>
        <w:footnoteReference w:id="18"/>
      </w:r>
      <w:r>
        <w:t xml:space="preserve"> During the Vietnam war,</w:t>
      </w:r>
      <w:r w:rsidR="004B1A61">
        <w:t xml:space="preserve"> for instance,</w:t>
      </w:r>
      <w:r>
        <w:t xml:space="preserve"> the North Vietnamese leadership was prepared to escalate conflict </w:t>
      </w:r>
      <w:r w:rsidR="004B1A61">
        <w:t>even as</w:t>
      </w:r>
      <w:r>
        <w:t xml:space="preserve"> China and the Soviet Union</w:t>
      </w:r>
      <w:r w:rsidR="004B1A61">
        <w:t xml:space="preserve"> worked</w:t>
      </w:r>
      <w:r>
        <w:t xml:space="preserve"> to restrain their ally.</w:t>
      </w:r>
      <w:r w:rsidR="00B8629E">
        <w:rPr>
          <w:rStyle w:val="FootnoteReference"/>
        </w:rPr>
        <w:footnoteReference w:id="19"/>
      </w:r>
    </w:p>
    <w:p w14:paraId="700B94CF" w14:textId="3C3A7865" w:rsidR="00657E08" w:rsidRDefault="00483D1B" w:rsidP="00BF58C4">
      <w:pPr>
        <w:pStyle w:val="Heading2"/>
      </w:pPr>
      <w:bookmarkStart w:id="2" w:name="_6br7v1wizhuh" w:colFirst="0" w:colLast="0"/>
      <w:bookmarkEnd w:id="2"/>
      <w:r>
        <w:t xml:space="preserve">Wars Limited by </w:t>
      </w:r>
      <w:commentRangeStart w:id="3"/>
      <w:r w:rsidR="004B1A61">
        <w:t>Risk</w:t>
      </w:r>
      <w:commentRangeEnd w:id="3"/>
      <w:r w:rsidR="004B1A61">
        <w:rPr>
          <w:rStyle w:val="CommentReference"/>
          <w:b w:val="0"/>
          <w:color w:val="auto"/>
        </w:rPr>
        <w:commentReference w:id="3"/>
      </w:r>
    </w:p>
    <w:p w14:paraId="6961AFB3" w14:textId="4339E412" w:rsidR="00C07CF2" w:rsidRDefault="00483D1B" w:rsidP="00BF58C4">
      <w:pPr>
        <w:spacing w:after="200" w:line="276" w:lineRule="auto"/>
        <w:ind w:left="-15" w:right="0" w:firstLine="0"/>
      </w:pPr>
      <w:r>
        <w:t xml:space="preserve">Cold War strategists advanced the notion of “the stability-instability paradox” to explain how incentives for engaging in conflict at lower levels of intensity or in peripheral theaters arise </w:t>
      </w:r>
      <w:r>
        <w:lastRenderedPageBreak/>
        <w:t>out of disincentives for initiating nuclear war (or even major conventional war).</w:t>
      </w:r>
      <w:r w:rsidR="00B8629E">
        <w:rPr>
          <w:rStyle w:val="FootnoteReference"/>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sidR="00B8629E">
        <w:rPr>
          <w:rStyle w:val="FootnoteReference"/>
        </w:rPr>
        <w:footnoteReference w:id="21"/>
      </w:r>
      <w:r>
        <w:t xml:space="preserve"> The presence of nuclear weapons might prevent world war, but it could simultaneously encourage localized aggression or smaller, more limited conflicts.</w:t>
      </w:r>
      <w:r w:rsidR="00B8629E">
        <w:rPr>
          <w:rStyle w:val="FootnoteReference"/>
        </w:rPr>
        <w:footnoteReference w:id="22"/>
      </w:r>
      <w:r>
        <w:t xml:space="preserve"> </w:t>
      </w:r>
      <w:r w:rsidR="00B20265">
        <w:t>At the same time, the feasibility of “weakening the enemy with</w:t>
      </w:r>
      <w:commentRangeStart w:id="4"/>
      <w:r w:rsidR="00B20265">
        <w:t xml:space="preserve"> pricks instead of blows</w:t>
      </w:r>
      <w:commentRangeEnd w:id="4"/>
      <w:r w:rsidR="00B20265">
        <w:rPr>
          <w:rStyle w:val="CommentReference"/>
        </w:rPr>
        <w:commentReference w:id="4"/>
      </w:r>
      <w:r w:rsidR="00B20265">
        <w:t>” is limited by the implicit risk of nuclear escalation.</w:t>
      </w:r>
      <w:r w:rsidR="00B8629E">
        <w:rPr>
          <w:rStyle w:val="FootnoteReference"/>
        </w:rPr>
        <w:footnoteReference w:id="23"/>
      </w:r>
      <w:r w:rsidR="00B20265">
        <w:t xml:space="preserve"> </w:t>
      </w:r>
      <w:r>
        <w:t xml:space="preserve">Modern </w:t>
      </w:r>
      <w:r w:rsidR="00C34591">
        <w:t xml:space="preserve">studies evaluate </w:t>
      </w:r>
      <w:r>
        <w:t>stability-instability</w:t>
      </w:r>
      <w:r w:rsidR="00412897">
        <w:t xml:space="preserve"> </w:t>
      </w:r>
      <w:r>
        <w:t xml:space="preserve">quantitatively or in specific </w:t>
      </w:r>
      <w:r w:rsidR="00412897">
        <w:t>region</w:t>
      </w:r>
      <w:r>
        <w:t>s.</w:t>
      </w:r>
      <w:r w:rsidR="00B8629E">
        <w:rPr>
          <w:rStyle w:val="FootnoteReference"/>
        </w:rPr>
        <w:footnoteReference w:id="24"/>
      </w:r>
    </w:p>
    <w:p w14:paraId="5344CE02" w14:textId="47317457" w:rsidR="00C07CF2" w:rsidRDefault="00412897" w:rsidP="00BF58C4">
      <w:pPr>
        <w:spacing w:after="200" w:line="276" w:lineRule="auto"/>
        <w:ind w:left="-15" w:right="0" w:firstLine="0"/>
      </w:pPr>
      <w:r>
        <w:t>Recent formalizations</w:t>
      </w:r>
      <w:r w:rsidR="00C07CF2">
        <w:t xml:space="preserve"> of limited conflict in the shadow of major war</w:t>
      </w:r>
      <w:r>
        <w:t xml:space="preserve"> point</w:t>
      </w:r>
      <w:r w:rsidR="005C2BF4">
        <w:t xml:space="preserve"> to the need for updated</w:t>
      </w:r>
      <w:r w:rsidR="00483D1B">
        <w:t xml:space="preserve"> </w:t>
      </w:r>
      <w:r w:rsidR="005C2BF4">
        <w:t>conceptions of deterrence</w:t>
      </w:r>
      <w:r w:rsidR="00483D1B">
        <w:t>.</w:t>
      </w:r>
      <w:r w:rsidR="00C07CF2">
        <w:t xml:space="preserve"> Schelling argued that “the main consequence of limited war, and potentially a main purpose for engaging in it, is to raise the risk of larger war.”</w:t>
      </w:r>
      <w:r w:rsidR="00B8629E">
        <w:rPr>
          <w:rStyle w:val="FootnoteReference"/>
        </w:rPr>
        <w:footnoteReference w:id="25"/>
      </w:r>
      <w:r w:rsidR="00C07CF2">
        <w:t xml:space="preserve"> Gray zone conflict poses a different relationship in which a capable actor may choose to engage in limited war precisely to </w:t>
      </w:r>
      <w:r w:rsidR="00C07CF2">
        <w:rPr>
          <w:i/>
        </w:rPr>
        <w:t xml:space="preserve">lower </w:t>
      </w:r>
      <w:r w:rsidR="00C07CF2">
        <w:t>the risk of larger war.</w:t>
      </w:r>
      <w:r w:rsidR="00B8629E">
        <w:rPr>
          <w:rStyle w:val="FootnoteReference"/>
        </w:rPr>
        <w:footnoteReference w:id="26"/>
      </w:r>
      <w:r w:rsidR="00C07CF2">
        <w:t xml:space="preserve"> As Powell states, “the amount of power the challenger brings to bear affects the stability of the conflict. More specifically, how much power the challenger brings to bear limits how much risk the defender can generate”.</w:t>
      </w:r>
      <w:r w:rsidR="00B8629E">
        <w:rPr>
          <w:rStyle w:val="FootnoteReference"/>
        </w:rPr>
        <w:footnoteReference w:id="27"/>
      </w:r>
      <w:r w:rsidR="00C07CF2">
        <w:t xml:space="preserve"> Mutually constrained actors pursue (and resist) aggression furtively, </w:t>
      </w:r>
      <w:proofErr w:type="gramStart"/>
      <w:r w:rsidR="00C07CF2">
        <w:t>so as to</w:t>
      </w:r>
      <w:proofErr w:type="gramEnd"/>
      <w:r w:rsidR="00C07CF2">
        <w:t xml:space="preserve"> protect broader cooperative or compatible goals.</w:t>
      </w:r>
    </w:p>
    <w:p w14:paraId="0758AFEE" w14:textId="6950D59E" w:rsidR="00657E08" w:rsidRDefault="00406F52">
      <w:pPr>
        <w:spacing w:after="200" w:line="276" w:lineRule="auto"/>
        <w:ind w:left="-15" w:firstLine="0"/>
      </w:pPr>
      <w:r>
        <w:t>D</w:t>
      </w:r>
      <w:r w:rsidR="00C07CF2">
        <w:t xml:space="preserve">eterrence is </w:t>
      </w:r>
      <w:r>
        <w:t xml:space="preserve">really </w:t>
      </w:r>
      <w:r w:rsidR="00C07CF2">
        <w:t xml:space="preserve">a strategy </w:t>
      </w:r>
      <w:r>
        <w:t xml:space="preserve">designed </w:t>
      </w:r>
      <w:r w:rsidR="00C07CF2">
        <w:t xml:space="preserve">to buy time against an adversary committed to changing the status quo. George and Smoke raise the issue of “designing around” deterrence as adversaries </w:t>
      </w:r>
      <w:r>
        <w:t xml:space="preserve">seek out </w:t>
      </w:r>
      <w:r w:rsidR="00C07CF2">
        <w:t xml:space="preserve">options that “offers an opportunity for gain while minimizing the risk </w:t>
      </w:r>
      <w:r w:rsidR="00C07CF2">
        <w:lastRenderedPageBreak/>
        <w:t>of an unwanted response by the defender”.</w:t>
      </w:r>
      <w:r w:rsidR="00B8629E">
        <w:rPr>
          <w:rStyle w:val="FootnoteReference"/>
        </w:rPr>
        <w:footnoteReference w:id="28"/>
      </w:r>
      <w:r w:rsidR="00C07CF2">
        <w:t xml:space="preserve"> Sometimes this can result in serious fighting as when Egypt “designed around” Israel’s deterrent in 1973.</w:t>
      </w:r>
      <w:r w:rsidR="00B8629E">
        <w:rPr>
          <w:rStyle w:val="FootnoteReference"/>
        </w:rPr>
        <w:footnoteReference w:id="29"/>
      </w:r>
      <w:r w:rsidR="00C07CF2">
        <w:t xml:space="preserve"> Even so, “designing around” deterrence </w:t>
      </w:r>
      <w:r>
        <w:t xml:space="preserve">remains </w:t>
      </w:r>
      <w:r w:rsidR="00C07CF2">
        <w:t xml:space="preserve">a perverse symptom of its success if the adversary limits its means and aims, even in cases where the target panics </w:t>
      </w:r>
      <w:r>
        <w:t xml:space="preserve">or </w:t>
      </w:r>
      <w:r w:rsidR="00C07CF2">
        <w:t xml:space="preserve">fears that the attacker’s aims are not limited (as Israel did). Others share this perspective. Lieberman argues that “designing around” is a sign of </w:t>
      </w:r>
      <w:r w:rsidR="00A157C9">
        <w:t xml:space="preserve">deterrence </w:t>
      </w:r>
      <w:r w:rsidR="00C07CF2">
        <w:t xml:space="preserve">success </w:t>
      </w:r>
      <w:r>
        <w:t xml:space="preserve">if </w:t>
      </w:r>
      <w:r w:rsidR="00C07CF2">
        <w:t>an adversary shape</w:t>
      </w:r>
      <w:r w:rsidR="00A157C9">
        <w:t>s</w:t>
      </w:r>
      <w:r w:rsidR="00C07CF2">
        <w:t xml:space="preserve"> its challenge in response to the anticipated reaction of the defender.</w:t>
      </w:r>
      <w:r w:rsidR="00B8629E">
        <w:rPr>
          <w:rStyle w:val="FootnoteReference"/>
        </w:rPr>
        <w:footnoteReference w:id="30"/>
      </w:r>
    </w:p>
    <w:p w14:paraId="7061F222" w14:textId="77777777" w:rsidR="00657E08" w:rsidRDefault="00483D1B" w:rsidP="00BF58C4">
      <w:pPr>
        <w:pStyle w:val="Heading2"/>
      </w:pPr>
      <w:bookmarkStart w:id="5" w:name="_h9izm43h2a15" w:colFirst="0" w:colLast="0"/>
      <w:bookmarkEnd w:id="5"/>
      <w:r>
        <w:t>Wars Limited by Means</w:t>
      </w:r>
    </w:p>
    <w:p w14:paraId="4EE985A9" w14:textId="5993F27E" w:rsidR="00FB0630" w:rsidRDefault="00C07CF2" w:rsidP="00BF58C4">
      <w:pPr>
        <w:spacing w:after="200" w:line="276" w:lineRule="auto"/>
        <w:ind w:left="-15" w:firstLine="0"/>
      </w:pPr>
      <w:r>
        <w:t xml:space="preserve">The </w:t>
      </w:r>
      <w:r w:rsidR="00483D1B" w:rsidRPr="00721491">
        <w:t xml:space="preserve">Cold War </w:t>
      </w:r>
      <w:r>
        <w:t>witnessed numerous</w:t>
      </w:r>
      <w:r w:rsidRPr="00721491">
        <w:t xml:space="preserve"> </w:t>
      </w:r>
      <w:r w:rsidR="00483D1B" w:rsidRPr="00721491">
        <w:t>decolonization struggles and proxy w</w:t>
      </w:r>
      <w:r w:rsidR="00483D1B" w:rsidRPr="00990F92">
        <w:t xml:space="preserve">ars in the Third World. Limited war with irregular forces </w:t>
      </w:r>
      <w:r w:rsidR="00412897">
        <w:t>rather than</w:t>
      </w:r>
      <w:r w:rsidR="00483D1B" w:rsidRPr="00990F92">
        <w:t xml:space="preserve"> </w:t>
      </w:r>
      <w:r w:rsidR="00412897">
        <w:t xml:space="preserve">a </w:t>
      </w:r>
      <w:r w:rsidR="00483D1B" w:rsidRPr="00990F92">
        <w:t xml:space="preserve">peer </w:t>
      </w:r>
      <w:r w:rsidR="00412897" w:rsidRPr="00990F92">
        <w:t>competitor</w:t>
      </w:r>
      <w:r w:rsidR="00412897">
        <w:t xml:space="preserve"> directly</w:t>
      </w:r>
      <w:r w:rsidR="00412897" w:rsidRPr="00990F92">
        <w:t xml:space="preserve"> </w:t>
      </w:r>
      <w:r w:rsidR="00483D1B" w:rsidRPr="00990F92">
        <w:t>garnered much attention in the 1970s under the rubric of “low intensity conflict” or LIC.</w:t>
      </w:r>
      <w:r w:rsidR="00B8629E">
        <w:rPr>
          <w:rStyle w:val="FootnoteReference"/>
        </w:rPr>
        <w:footnoteReference w:id="31"/>
      </w:r>
      <w:r w:rsidR="00483D1B" w:rsidRPr="00990F92">
        <w:t xml:space="preserve"> </w:t>
      </w:r>
      <w:r w:rsidR="00483D1B" w:rsidRPr="004038A0">
        <w:t xml:space="preserve">Some </w:t>
      </w:r>
      <w:r w:rsidR="00412897">
        <w:t>treatments of LIC</w:t>
      </w:r>
      <w:r w:rsidR="00412897" w:rsidRPr="004038A0">
        <w:t xml:space="preserve"> </w:t>
      </w:r>
      <w:r w:rsidR="00483D1B" w:rsidRPr="004038A0">
        <w:t xml:space="preserve">focus on </w:t>
      </w:r>
      <w:r w:rsidR="00412897">
        <w:t>the use of light weapons and ambush tactics</w:t>
      </w:r>
      <w:r w:rsidR="00412897" w:rsidRPr="004038A0">
        <w:t xml:space="preserve"> </w:t>
      </w:r>
      <w:r w:rsidR="00483D1B" w:rsidRPr="004038A0">
        <w:t xml:space="preserve">while others identify the phenomenon </w:t>
      </w:r>
      <w:r w:rsidR="00412897">
        <w:t>in terms of non-state</w:t>
      </w:r>
      <w:r w:rsidR="00412897" w:rsidRPr="004038A0">
        <w:t xml:space="preserve"> </w:t>
      </w:r>
      <w:r w:rsidR="00483D1B" w:rsidRPr="004038A0">
        <w:t>actor</w:t>
      </w:r>
      <w:r w:rsidR="00412897">
        <w:t>s</w:t>
      </w:r>
      <w:r w:rsidR="00483D1B" w:rsidRPr="004038A0">
        <w:t>.</w:t>
      </w:r>
      <w:r w:rsidR="00B8629E">
        <w:rPr>
          <w:rStyle w:val="FootnoteReference"/>
        </w:rPr>
        <w:footnoteReference w:id="32"/>
      </w:r>
      <w:r w:rsidR="00483D1B" w:rsidRPr="004038A0">
        <w:t xml:space="preserve"> </w:t>
      </w:r>
      <w:r w:rsidR="00412897">
        <w:t>The</w:t>
      </w:r>
      <w:r w:rsidR="00412897" w:rsidRPr="004038A0">
        <w:t xml:space="preserve"> </w:t>
      </w:r>
      <w:r w:rsidR="00483D1B" w:rsidRPr="004038A0">
        <w:t xml:space="preserve">common focus </w:t>
      </w:r>
      <w:r w:rsidR="00870449">
        <w:t xml:space="preserve">is </w:t>
      </w:r>
      <w:r w:rsidR="00483D1B" w:rsidRPr="004038A0">
        <w:t xml:space="preserve">on strategies of the weak. Unsurprisingly LIC is more prevalent in </w:t>
      </w:r>
      <w:r w:rsidR="00412897">
        <w:t>under-developed or</w:t>
      </w:r>
      <w:r w:rsidR="00412897" w:rsidRPr="004038A0">
        <w:t xml:space="preserve"> </w:t>
      </w:r>
      <w:r w:rsidR="00483D1B" w:rsidRPr="004038A0">
        <w:t>poorly institutionalized regions.</w:t>
      </w:r>
      <w:r w:rsidR="00B8629E">
        <w:rPr>
          <w:rStyle w:val="FootnoteReference"/>
        </w:rPr>
        <w:footnoteReference w:id="33"/>
      </w:r>
      <w:r w:rsidR="00483D1B" w:rsidRPr="004038A0">
        <w:t xml:space="preserve"> The classical literature on counterinsurgency and its modern </w:t>
      </w:r>
      <w:r w:rsidR="00870449">
        <w:t>variant</w:t>
      </w:r>
      <w:r w:rsidR="00870449" w:rsidRPr="004038A0">
        <w:t>s</w:t>
      </w:r>
      <w:r w:rsidR="00483D1B" w:rsidRPr="004038A0">
        <w:t xml:space="preserve"> fall into this category.</w:t>
      </w:r>
      <w:r w:rsidR="00B8629E">
        <w:rPr>
          <w:rStyle w:val="FootnoteReference"/>
        </w:rPr>
        <w:footnoteReference w:id="34"/>
      </w:r>
    </w:p>
    <w:p w14:paraId="0F4E5274" w14:textId="6FC8FCCB" w:rsidR="008A087B" w:rsidRDefault="00FB0630" w:rsidP="006C2BC2">
      <w:pPr>
        <w:spacing w:after="200" w:line="276" w:lineRule="auto"/>
        <w:ind w:left="-15" w:firstLine="0"/>
      </w:pPr>
      <w:r>
        <w:lastRenderedPageBreak/>
        <w:t xml:space="preserve">Wars with means-limited actors have received most of the attention after the Cold War as the United States has been involved in a long series of peacekeeping operations and grueling counterinsurgencies. </w:t>
      </w:r>
      <w:r w:rsidR="00483D1B" w:rsidRPr="004038A0">
        <w:t xml:space="preserve">A vast academic literature on civil war </w:t>
      </w:r>
      <w:r w:rsidR="00412897">
        <w:t>has emerged</w:t>
      </w:r>
      <w:r>
        <w:t xml:space="preserve"> in recent years</w:t>
      </w:r>
      <w:r w:rsidR="00412897">
        <w:t xml:space="preserve"> to explain</w:t>
      </w:r>
      <w:r w:rsidR="00412897" w:rsidRPr="004038A0">
        <w:t xml:space="preserve"> </w:t>
      </w:r>
      <w:r w:rsidR="00483D1B" w:rsidRPr="004038A0">
        <w:t>the beha</w:t>
      </w:r>
      <w:r w:rsidR="00483D1B" w:rsidRPr="005B374C">
        <w:t xml:space="preserve">vior, motives and organizational structure of </w:t>
      </w:r>
      <w:r w:rsidR="00412897">
        <w:t>irregular</w:t>
      </w:r>
      <w:r w:rsidR="00483D1B" w:rsidRPr="005B374C">
        <w:t xml:space="preserve"> actors </w:t>
      </w:r>
      <w:r w:rsidR="00412897">
        <w:t>and the militaries that fight them</w:t>
      </w:r>
      <w:r w:rsidR="00483D1B" w:rsidRPr="005B374C">
        <w:t>.</w:t>
      </w:r>
      <w:r w:rsidR="00354AA2">
        <w:rPr>
          <w:rStyle w:val="FootnoteReference"/>
        </w:rPr>
        <w:footnoteReference w:id="35"/>
      </w:r>
      <w:r>
        <w:t xml:space="preserve"> The recent renewal of interest in low-intensity conflict between more capable competitors in many ways represents a return to the two earlier themes—wars limited by ends and risk-sensitivity.</w:t>
      </w:r>
      <w:bookmarkStart w:id="6" w:name="_xv2zo47pbnrc" w:colFirst="0" w:colLast="0"/>
      <w:bookmarkEnd w:id="6"/>
    </w:p>
    <w:p w14:paraId="391287B6" w14:textId="03B9E3A2" w:rsidR="00657E08" w:rsidRDefault="00CD46B2">
      <w:pPr>
        <w:pStyle w:val="Heading2"/>
        <w:spacing w:after="200" w:line="276" w:lineRule="auto"/>
        <w:ind w:left="-15" w:firstLine="0"/>
      </w:pPr>
      <w:r>
        <w:t xml:space="preserve">Modern </w:t>
      </w:r>
      <w:r w:rsidR="00483D1B">
        <w:t>Gray Zone</w:t>
      </w:r>
      <w:r>
        <w:t xml:space="preserve"> Conflict</w:t>
      </w:r>
    </w:p>
    <w:p w14:paraId="4F600435" w14:textId="11298F15" w:rsidR="00B34FC7" w:rsidRDefault="00B34FC7">
      <w:pPr>
        <w:spacing w:after="200" w:line="276" w:lineRule="auto"/>
        <w:ind w:left="-15" w:right="0"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r w:rsidR="00354AA2">
        <w:rPr>
          <w:rStyle w:val="FootnoteReference"/>
        </w:rPr>
        <w:footnoteReference w:id="36"/>
      </w:r>
      <w:r>
        <w:t xml:space="preserve"> This pessimism has even led some to advocate revamping deterrence to focus on threats from the gray zone.</w:t>
      </w:r>
      <w:r w:rsidR="00354AA2">
        <w:rPr>
          <w:rStyle w:val="FootnoteReference"/>
        </w:rPr>
        <w:footnoteReference w:id="37"/>
      </w:r>
      <w:r>
        <w:t xml:space="preserve"> Russia</w:t>
      </w:r>
      <w:r w:rsidR="00FC438C">
        <w:t>, and its intervention in Ukraine in particular,</w:t>
      </w:r>
      <w:r>
        <w:t xml:space="preserve"> is the paradigmatic exemplar.</w:t>
      </w:r>
      <w:r w:rsidR="00354AA2">
        <w:rPr>
          <w:rStyle w:val="FootnoteReference"/>
        </w:rPr>
        <w:footnoteReference w:id="38"/>
      </w:r>
      <w:r>
        <w:t xml:space="preserve"> </w:t>
      </w:r>
      <w:r w:rsidR="00FC438C">
        <w:t>Russia uses novel</w:t>
      </w:r>
      <w:r>
        <w:t xml:space="preserve"> forms of “hybrid warfare” and cyber operations </w:t>
      </w:r>
      <w:r w:rsidR="00870449">
        <w:t xml:space="preserve">to </w:t>
      </w:r>
      <w:r>
        <w:t>facilitate increased aggression against NATO and the West.</w:t>
      </w:r>
      <w:r w:rsidR="00354AA2">
        <w:rPr>
          <w:rStyle w:val="FootnoteReference"/>
        </w:rPr>
        <w:footnoteReference w:id="39"/>
      </w:r>
      <w:r>
        <w:t xml:space="preserve"> This view holds that </w:t>
      </w:r>
      <w:r w:rsidR="00FC438C">
        <w:t>aggressors can work</w:t>
      </w:r>
      <w:r>
        <w:t xml:space="preserve"> around adversaries’ red lines to achieve coercive bargaining success without triggering </w:t>
      </w:r>
      <w:r>
        <w:lastRenderedPageBreak/>
        <w:t>escalation</w:t>
      </w:r>
      <w:r w:rsidR="00FC438C">
        <w:t>.</w:t>
      </w:r>
      <w:r w:rsidR="00354AA2">
        <w:rPr>
          <w:rStyle w:val="FootnoteReference"/>
        </w:rPr>
        <w:footnoteReference w:id="40"/>
      </w:r>
      <w:r w:rsidR="00FC438C">
        <w:t xml:space="preserve"> If so, we might expect to see Russia engaging in gray zone conflict in as many situations as possible; there is little reason to avoid undertaking an efficient form of warfare that provides significant gains at low cost. </w:t>
      </w:r>
      <w:r w:rsidR="00870449">
        <w:t xml:space="preserve">Yet, as </w:t>
      </w:r>
      <w:r w:rsidR="00FC438C">
        <w:t xml:space="preserve">we </w:t>
      </w:r>
      <w:r w:rsidR="00870449">
        <w:t>show</w:t>
      </w:r>
      <w:r w:rsidR="00FC438C">
        <w:t>, Russia regularly pulls its punches.</w:t>
      </w:r>
    </w:p>
    <w:p w14:paraId="16ED335A" w14:textId="5FF8CE23" w:rsidR="00657E08" w:rsidRDefault="008B448E" w:rsidP="00FC438C">
      <w:pPr>
        <w:spacing w:after="200" w:line="276" w:lineRule="auto"/>
        <w:ind w:left="-15" w:right="0" w:firstLine="0"/>
      </w:pPr>
      <w:r>
        <w:t>T</w:t>
      </w:r>
      <w:r w:rsidR="00483D1B">
        <w:t xml:space="preserve">he familiar </w:t>
      </w:r>
      <w:r>
        <w:t xml:space="preserve">logic </w:t>
      </w:r>
      <w:r w:rsidR="00C07CF2">
        <w:t xml:space="preserve">of the </w:t>
      </w:r>
      <w:r w:rsidR="00483D1B">
        <w:t>stability-instability paradox</w:t>
      </w:r>
      <w:r>
        <w:t xml:space="preserve"> plays out today </w:t>
      </w:r>
      <w:r w:rsidR="00483D1B">
        <w:t xml:space="preserve">with different, usually lower, thresholds. Deterrence now results as much from the risk of escalation to major conventional war, or even economic disruption, as </w:t>
      </w:r>
      <w:r w:rsidR="0027207F">
        <w:t xml:space="preserve">from </w:t>
      </w:r>
      <w:r w:rsidR="00483D1B">
        <w:t xml:space="preserve">the threat of nuclear conflagration. </w:t>
      </w:r>
      <w:r>
        <w:t xml:space="preserve">One potential </w:t>
      </w:r>
      <w:r w:rsidR="00483D1B">
        <w:t xml:space="preserve">novelty, however, </w:t>
      </w:r>
      <w:r w:rsidR="008A7CDF">
        <w:t xml:space="preserve">exists </w:t>
      </w:r>
      <w:r w:rsidR="00483D1B">
        <w:t>in the growing diversity of ways</w:t>
      </w:r>
      <w:r>
        <w:t xml:space="preserve"> </w:t>
      </w:r>
      <w:r w:rsidR="008A7CDF">
        <w:t>(</w:t>
      </w:r>
      <w:r>
        <w:t>means</w:t>
      </w:r>
      <w:r w:rsidR="008A7CDF">
        <w:t xml:space="preserve">) available through which </w:t>
      </w:r>
      <w:r w:rsidR="00483D1B">
        <w:t>low intensity conflict can be practiced. The emergence of new, cheaper implements of coercion</w:t>
      </w:r>
      <w:r w:rsidR="0027207F">
        <w:t>, largely but not exclusively</w:t>
      </w:r>
      <w:r w:rsidR="00483D1B">
        <w:t xml:space="preserve"> </w:t>
      </w:r>
      <w:proofErr w:type="gramStart"/>
      <w:r w:rsidR="0027207F">
        <w:t>as a result of</w:t>
      </w:r>
      <w:proofErr w:type="gramEnd"/>
      <w:r w:rsidR="0027207F">
        <w:t xml:space="preserve"> the information revolution, </w:t>
      </w:r>
      <w:r w:rsidR="00483D1B">
        <w:t xml:space="preserve">have made it easier </w:t>
      </w:r>
      <w:r w:rsidR="008A7CDF">
        <w:t xml:space="preserve">than before </w:t>
      </w:r>
      <w:r w:rsidR="00483D1B">
        <w:t>to fight circumspect contests.</w:t>
      </w:r>
      <w:r w:rsidR="00354AA2">
        <w:rPr>
          <w:rStyle w:val="FootnoteReference"/>
        </w:rPr>
        <w:footnoteReference w:id="41"/>
      </w:r>
    </w:p>
    <w:p w14:paraId="6D641612" w14:textId="5EA8B8C1" w:rsidR="004D409C" w:rsidRDefault="008B448E" w:rsidP="004D409C">
      <w:pPr>
        <w:spacing w:after="200" w:line="276" w:lineRule="auto"/>
        <w:ind w:left="-15" w:right="0" w:firstLine="0"/>
      </w:pPr>
      <w:r>
        <w:t>Even those who are skeptical of the potency of new information technologies</w:t>
      </w:r>
      <w:r w:rsidR="004D409C">
        <w:t xml:space="preserve"> </w:t>
      </w:r>
      <w:r>
        <w:t xml:space="preserve">still </w:t>
      </w:r>
      <w:r w:rsidR="004D409C">
        <w:t xml:space="preserve">tend to highlight </w:t>
      </w:r>
      <w:r>
        <w:t>the</w:t>
      </w:r>
      <w:r w:rsidR="004D409C">
        <w:t xml:space="preserve"> expanded repertoire of military strategies available</w:t>
      </w:r>
      <w:r>
        <w:t xml:space="preserve"> for low intensity conflict</w:t>
      </w:r>
      <w:r w:rsidR="004D409C">
        <w:t>, especially emphasizing online subversion</w:t>
      </w:r>
      <w:r>
        <w:t>, espionage,</w:t>
      </w:r>
      <w:r w:rsidR="004D409C">
        <w:t xml:space="preserve"> and cyber disruption.</w:t>
      </w:r>
      <w:r w:rsidR="00354AA2">
        <w:rPr>
          <w:rStyle w:val="FootnoteReference"/>
        </w:rPr>
        <w:footnoteReference w:id="42"/>
      </w:r>
      <w:r w:rsidR="004D409C">
        <w:t xml:space="preserve"> </w:t>
      </w:r>
      <w:r>
        <w:t xml:space="preserve">Compared to historical instances of subversion this is certainly true. </w:t>
      </w:r>
      <w:r w:rsidR="004D409C">
        <w:t xml:space="preserve">Yet there are </w:t>
      </w:r>
      <w:r>
        <w:t xml:space="preserve">also </w:t>
      </w:r>
      <w:r w:rsidR="004D409C">
        <w:t xml:space="preserve">more, and more technologically sophisticated, means available for all types of warfare, to include anti-satellite weapons, hypersonic munitions, and anti-ship ballistic missiles that are only likely to be used in major war. The apparent expansion of the number and type of means </w:t>
      </w:r>
      <w:r w:rsidR="00B70C5D">
        <w:t>observed in many</w:t>
      </w:r>
      <w:r w:rsidR="004D409C">
        <w:t xml:space="preserve"> conflict</w:t>
      </w:r>
      <w:r w:rsidR="00B70C5D">
        <w:t xml:space="preserve">s </w:t>
      </w:r>
      <w:r>
        <w:t>in fact reflects</w:t>
      </w:r>
      <w:r w:rsidR="004D409C">
        <w:t xml:space="preserve"> a reduction of the range of possible means</w:t>
      </w:r>
      <w:r>
        <w:t xml:space="preserve"> that </w:t>
      </w:r>
      <w:r w:rsidR="00B70C5D">
        <w:t>belligerents</w:t>
      </w:r>
      <w:r>
        <w:t xml:space="preserve"> </w:t>
      </w:r>
      <w:r w:rsidR="00B70C5D">
        <w:t>might</w:t>
      </w:r>
      <w:r>
        <w:t xml:space="preserve"> employ for deterrence and war.</w:t>
      </w:r>
      <w:r w:rsidR="004D409C">
        <w:t xml:space="preserve"> </w:t>
      </w:r>
      <w:r w:rsidR="00B70C5D">
        <w:t xml:space="preserve">It is important not to conflate the increasing variety of tools available for conflicts of all types with the use of a subset in </w:t>
      </w:r>
      <w:r w:rsidR="00CD3F72">
        <w:t>limited conflict</w:t>
      </w:r>
      <w:r w:rsidR="00B70C5D">
        <w:t>.</w:t>
      </w:r>
      <w:r w:rsidR="00CD3F72">
        <w:t xml:space="preserve"> Cyber operations may be prevalent in the gray zone, but they will be prevalent in every war of the 21</w:t>
      </w:r>
      <w:r w:rsidR="00CD3F72" w:rsidRPr="00BF58C4">
        <w:rPr>
          <w:vertAlign w:val="superscript"/>
        </w:rPr>
        <w:t>st</w:t>
      </w:r>
      <w:r w:rsidR="00CD3F72">
        <w:t xml:space="preserve"> century.</w:t>
      </w:r>
    </w:p>
    <w:p w14:paraId="24D7BC31" w14:textId="0D553AC8" w:rsidR="00657E08" w:rsidRDefault="004D409C">
      <w:pPr>
        <w:spacing w:after="200" w:line="276" w:lineRule="auto"/>
        <w:ind w:left="-15" w:right="0" w:firstLine="0"/>
      </w:pPr>
      <w:r>
        <w:t xml:space="preserve">The silver lining to </w:t>
      </w:r>
      <w:r w:rsidR="00483D1B">
        <w:t xml:space="preserve">gray zone conflict </w:t>
      </w:r>
      <w:r>
        <w:t>is</w:t>
      </w:r>
      <w:r w:rsidR="008B448E">
        <w:t>, and always has been,</w:t>
      </w:r>
      <w:r>
        <w:t xml:space="preserve"> that </w:t>
      </w:r>
      <w:r w:rsidR="008B448E">
        <w:t>it</w:t>
      </w:r>
      <w:r>
        <w:t xml:space="preserve"> could </w:t>
      </w:r>
      <w:r w:rsidR="00483D1B">
        <w:t>be worse.</w:t>
      </w:r>
      <w:r w:rsidR="008B448E">
        <w:t xml:space="preserve"> The bad news about persistent conflict is good news about restraint.</w:t>
      </w:r>
      <w:r>
        <w:t xml:space="preserve"> </w:t>
      </w:r>
      <w:r w:rsidR="008B448E">
        <w:t>In the last decade of the Cold War, Secretary of State George Schultz expressed a</w:t>
      </w:r>
      <w:r w:rsidR="00483D1B">
        <w:t xml:space="preserve"> note of cautious optimism in this regard:</w:t>
      </w:r>
    </w:p>
    <w:p w14:paraId="035B7BFF" w14:textId="09C4A958" w:rsidR="00657E08" w:rsidRDefault="00483D1B">
      <w:pPr>
        <w:spacing w:after="200" w:line="276" w:lineRule="auto"/>
        <w:ind w:left="360" w:right="360" w:firstLine="0"/>
      </w:pPr>
      <w:r>
        <w:t xml:space="preserve">The ironic fact is, these new and elusive challenges have proliferated, in part, because of our success in deterring nuclear and conventional war. Our adversaries know they cannot prevail against us in either type of war. </w:t>
      </w:r>
      <w:proofErr w:type="gramStart"/>
      <w:r>
        <w:t>So</w:t>
      </w:r>
      <w:proofErr w:type="gramEnd"/>
      <w:r>
        <w:t xml:space="preserve"> they have done the logical thing: </w:t>
      </w:r>
      <w:r>
        <w:lastRenderedPageBreak/>
        <w:t>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sidR="00354AA2">
        <w:rPr>
          <w:rStyle w:val="FootnoteReference"/>
        </w:rPr>
        <w:footnoteReference w:id="43"/>
      </w:r>
    </w:p>
    <w:p w14:paraId="7BBB2D0B" w14:textId="77777777" w:rsidR="00657E08" w:rsidRDefault="00483D1B">
      <w:pPr>
        <w:pStyle w:val="Heading1"/>
        <w:spacing w:after="200" w:line="276" w:lineRule="auto"/>
        <w:ind w:left="-5" w:firstLine="0"/>
      </w:pPr>
      <w:r>
        <w:t>A Theory of Gray Zone Conflict</w:t>
      </w:r>
    </w:p>
    <w:p w14:paraId="02547AF2" w14:textId="357797B2" w:rsidR="005C2BF4" w:rsidRDefault="005C2BF4" w:rsidP="005C2BF4">
      <w:pPr>
        <w:spacing w:after="200" w:line="276" w:lineRule="auto"/>
        <w:ind w:left="-15" w:right="-15" w:firstLine="0"/>
      </w:pPr>
      <w:bookmarkStart w:id="7" w:name="_o5zyiueyr7r" w:colFirst="0" w:colLast="0"/>
      <w:bookmarkEnd w:id="7"/>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w:t>
      </w:r>
      <w:r w:rsidR="00B70C5D">
        <w:t xml:space="preserve"> conceptual and</w:t>
      </w:r>
      <w:r>
        <w:t xml:space="preserve"> empirical reality of an overlap with other concepts, such as low intensity conflict and </w:t>
      </w:r>
      <w:r w:rsidR="004D392E">
        <w:t>small wars</w:t>
      </w:r>
      <w:r>
        <w:t xml:space="preserve">, while at the same time emphasizing </w:t>
      </w:r>
      <w:r w:rsidR="00B70C5D">
        <w:t xml:space="preserve">three </w:t>
      </w:r>
      <w:r>
        <w:t xml:space="preserve">unique attributes of conflict in the gray zone. </w:t>
      </w:r>
    </w:p>
    <w:p w14:paraId="7A07B5A1" w14:textId="45A1DCBD" w:rsidR="00657E08" w:rsidRDefault="00483D1B">
      <w:pPr>
        <w:spacing w:after="200" w:line="276" w:lineRule="auto"/>
        <w:ind w:left="-15" w:right="0" w:firstLine="0"/>
      </w:pPr>
      <w:r>
        <w:t xml:space="preserve">First, gray zone conflict results from agency rather than necessity. It is </w:t>
      </w:r>
      <w:r>
        <w:rPr>
          <w:i/>
        </w:rPr>
        <w:t>limitation by choice</w:t>
      </w:r>
      <w:r>
        <w:t xml:space="preserve">. </w:t>
      </w:r>
      <w:r w:rsidR="004D392E">
        <w:t>If limited war were distinguished only by</w:t>
      </w:r>
      <w:r w:rsidR="00780106">
        <w:t xml:space="preserve"> limited ends</w:t>
      </w:r>
      <w:r w:rsidR="004D392E">
        <w:t>, why wouldn’t actors use the most effective means for the job</w:t>
      </w:r>
      <w:r w:rsidR="00780106">
        <w:t>?</w:t>
      </w:r>
      <w:r>
        <w:t xml:space="preserve"> </w:t>
      </w:r>
      <w:r w:rsidR="00780106">
        <w:t>G</w:t>
      </w:r>
      <w:r>
        <w:t>ray zone conflict</w:t>
      </w:r>
      <w:r w:rsidR="004D392E">
        <w:t xml:space="preserve"> further</w:t>
      </w:r>
      <w:r>
        <w:t xml:space="preserve"> </w:t>
      </w:r>
      <w:r w:rsidR="00780106">
        <w:t xml:space="preserve">involves </w:t>
      </w:r>
      <w:r>
        <w:t>“pulling punches”</w:t>
      </w:r>
      <w:r w:rsidR="00780106">
        <w:t xml:space="preserve"> or refraining from using </w:t>
      </w:r>
      <w:r w:rsidR="004D392E">
        <w:t>one’s</w:t>
      </w:r>
      <w:r w:rsidR="00780106">
        <w:t xml:space="preserve"> most potent military capabilities</w:t>
      </w:r>
      <w:r>
        <w:t xml:space="preserve">. </w:t>
      </w:r>
    </w:p>
    <w:p w14:paraId="14CFDDA6" w14:textId="731E1ABB" w:rsidR="00657E08" w:rsidRDefault="00483D1B" w:rsidP="004275F3">
      <w:pPr>
        <w:spacing w:after="200" w:line="276" w:lineRule="auto"/>
        <w:ind w:left="-15" w:right="0" w:firstLine="0"/>
      </w:pPr>
      <w:r>
        <w:t xml:space="preserve">Second, gray zone conflict involves </w:t>
      </w:r>
      <w:r>
        <w:rPr>
          <w:i/>
        </w:rPr>
        <w:t>capable initiators</w:t>
      </w:r>
      <w:r>
        <w:t xml:space="preserve">. </w:t>
      </w:r>
      <w:proofErr w:type="gramStart"/>
      <w:r w:rsidR="004275F3">
        <w:t>In order to</w:t>
      </w:r>
      <w:proofErr w:type="gramEnd"/>
      <w:r w:rsidR="004275F3">
        <w:t xml:space="preserve"> choose to limit means, an actor must have a portfolio of means to choose from. </w:t>
      </w:r>
      <w:r>
        <w:t xml:space="preserve">This differentiates </w:t>
      </w:r>
      <w:r w:rsidR="00780106">
        <w:t xml:space="preserve">the </w:t>
      </w:r>
      <w:r>
        <w:t xml:space="preserve">activities </w:t>
      </w:r>
      <w:r w:rsidR="00780106">
        <w:t>of Russian or American special operations forces from insurgents</w:t>
      </w:r>
      <w:r>
        <w:t xml:space="preserve">, even in cases where </w:t>
      </w:r>
      <w:r w:rsidR="00780106">
        <w:t xml:space="preserve">their actual </w:t>
      </w:r>
      <w:r>
        <w:t>operations appear similar.</w:t>
      </w:r>
      <w:r w:rsidR="00780106">
        <w:t xml:space="preserve"> Even weaker states and powerful rebel groups </w:t>
      </w:r>
      <w:r w:rsidR="004275F3">
        <w:t xml:space="preserve">may </w:t>
      </w:r>
      <w:r w:rsidR="00780106">
        <w:t>vary considerably in their war aims a</w:t>
      </w:r>
      <w:r w:rsidR="004275F3">
        <w:t>nd thus may refrain from</w:t>
      </w:r>
      <w:r w:rsidR="009F32D5">
        <w:t xml:space="preserve"> maximum </w:t>
      </w:r>
      <w:r w:rsidR="004275F3">
        <w:t>effort</w:t>
      </w:r>
      <w:r w:rsidR="00780106">
        <w:t>.</w:t>
      </w:r>
      <w:r w:rsidR="00354AA2">
        <w:rPr>
          <w:rStyle w:val="FootnoteReference"/>
        </w:rPr>
        <w:footnoteReference w:id="44"/>
      </w:r>
    </w:p>
    <w:p w14:paraId="38965667" w14:textId="543C35BB" w:rsidR="004275F3" w:rsidRDefault="00483D1B">
      <w:pPr>
        <w:spacing w:after="200" w:line="276" w:lineRule="auto"/>
        <w:ind w:left="-15" w:right="0" w:firstLine="0"/>
      </w:pPr>
      <w:r>
        <w:t xml:space="preserve">Third, gray zone conflict </w:t>
      </w:r>
      <w:r w:rsidR="007D70B3">
        <w:t xml:space="preserve">must </w:t>
      </w:r>
      <w:r w:rsidR="007D70B3" w:rsidRPr="007D70B3">
        <w:t>be</w:t>
      </w:r>
      <w:r w:rsidRPr="006C2BC2">
        <w:t xml:space="preserve"> preferred</w:t>
      </w:r>
      <w:r>
        <w:t xml:space="preserve"> </w:t>
      </w:r>
      <w:r w:rsidRPr="006C2BC2">
        <w:rPr>
          <w:i/>
        </w:rPr>
        <w:t>by both sides</w:t>
      </w:r>
      <w:r>
        <w:t xml:space="preserve"> in a contest. </w:t>
      </w:r>
      <w:r w:rsidR="004D392E">
        <w:t>Capable belligerents have the capability to escalate but they choose not to</w:t>
      </w:r>
      <w:r>
        <w:t xml:space="preserve">. Although consistent with the assumptions behind theories of wars limited by </w:t>
      </w:r>
      <w:r w:rsidR="004275F3">
        <w:t xml:space="preserve">risk </w:t>
      </w:r>
      <w:r>
        <w:t xml:space="preserve">(i.e., stability-instability paradox), this theory is based on dyadic preferences, not monadic ones. The target would rather have the opponent engage in gray zone conflict than engage in overt warfare </w:t>
      </w:r>
      <w:proofErr w:type="gramStart"/>
      <w:r>
        <w:t>as a result of</w:t>
      </w:r>
      <w:proofErr w:type="gramEnd"/>
      <w:r>
        <w:t xml:space="preserve">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w:t>
      </w:r>
      <w:r w:rsidR="004275F3">
        <w:t>Tacit c</w:t>
      </w:r>
      <w:r>
        <w:t xml:space="preserve">ollusion between adversaries </w:t>
      </w:r>
      <w:r w:rsidR="004275F3">
        <w:t xml:space="preserve">enables them to </w:t>
      </w:r>
      <w:r>
        <w:t>avoid mutually harmful escalation.</w:t>
      </w:r>
      <w:r w:rsidR="00153F31">
        <w:rPr>
          <w:rStyle w:val="FootnoteReference"/>
        </w:rPr>
        <w:footnoteReference w:id="45"/>
      </w:r>
      <w:r>
        <w:t xml:space="preserve"> </w:t>
      </w:r>
    </w:p>
    <w:p w14:paraId="07741762" w14:textId="437005CC" w:rsidR="00372C6F" w:rsidRDefault="005A43F8" w:rsidP="00BF58C4">
      <w:pPr>
        <w:pStyle w:val="Heading2"/>
      </w:pPr>
      <w:r>
        <w:lastRenderedPageBreak/>
        <w:t xml:space="preserve">A </w:t>
      </w:r>
      <w:r w:rsidR="00372C6F">
        <w:t>Typology of Limited Conflict</w:t>
      </w:r>
    </w:p>
    <w:p w14:paraId="38BE4E8F" w14:textId="04FE35C2" w:rsidR="004275F3" w:rsidRDefault="004275F3" w:rsidP="004275F3">
      <w:pPr>
        <w:keepNext/>
        <w:keepLines/>
        <w:spacing w:after="200" w:line="276" w:lineRule="auto"/>
        <w:ind w:left="10" w:right="0" w:hanging="10"/>
        <w:jc w:val="center"/>
      </w:pPr>
      <w:r>
        <w:rPr>
          <w:b/>
        </w:rPr>
        <w:t>Table 1</w:t>
      </w:r>
      <w:r>
        <w:t xml:space="preserve">: A Typology of Limited </w:t>
      </w:r>
      <w:r w:rsidR="00475E07">
        <w:t>Conflict</w:t>
      </w:r>
    </w:p>
    <w:tbl>
      <w:tblPr>
        <w:tblStyle w:val="a"/>
        <w:tblW w:w="7586" w:type="dxa"/>
        <w:tblInd w:w="604" w:type="dxa"/>
        <w:tblLayout w:type="fixed"/>
        <w:tblLook w:val="0400" w:firstRow="0" w:lastRow="0" w:firstColumn="0" w:lastColumn="0" w:noHBand="0" w:noVBand="1"/>
      </w:tblPr>
      <w:tblGrid>
        <w:gridCol w:w="1305"/>
        <w:gridCol w:w="2115"/>
        <w:gridCol w:w="1826"/>
        <w:gridCol w:w="2340"/>
      </w:tblGrid>
      <w:tr w:rsidR="004275F3" w14:paraId="32AC1203" w14:textId="77777777" w:rsidTr="003A511B">
        <w:trPr>
          <w:trHeight w:val="280"/>
        </w:trPr>
        <w:tc>
          <w:tcPr>
            <w:tcW w:w="1305" w:type="dxa"/>
            <w:tcBorders>
              <w:top w:val="nil"/>
              <w:left w:val="nil"/>
              <w:bottom w:val="nil"/>
              <w:right w:val="nil"/>
            </w:tcBorders>
          </w:tcPr>
          <w:p w14:paraId="77D8A295" w14:textId="77777777" w:rsidR="004275F3" w:rsidRDefault="004275F3" w:rsidP="003A511B">
            <w:pPr>
              <w:keepNext/>
              <w:keepLines/>
              <w:spacing w:after="200" w:line="276" w:lineRule="auto"/>
              <w:ind w:right="0" w:firstLine="0"/>
              <w:jc w:val="left"/>
            </w:pPr>
          </w:p>
        </w:tc>
        <w:tc>
          <w:tcPr>
            <w:tcW w:w="2115" w:type="dxa"/>
            <w:tcBorders>
              <w:top w:val="nil"/>
              <w:left w:val="nil"/>
              <w:bottom w:val="nil"/>
              <w:right w:val="single" w:sz="4" w:space="0" w:color="000000"/>
            </w:tcBorders>
          </w:tcPr>
          <w:p w14:paraId="4CE217C7" w14:textId="77777777" w:rsidR="004275F3" w:rsidRDefault="004275F3" w:rsidP="003A511B">
            <w:pPr>
              <w:keepNext/>
              <w:keepLines/>
              <w:spacing w:after="200" w:line="276" w:lineRule="auto"/>
              <w:ind w:right="0" w:firstLine="0"/>
              <w:jc w:val="left"/>
            </w:pPr>
          </w:p>
        </w:tc>
        <w:tc>
          <w:tcPr>
            <w:tcW w:w="1826" w:type="dxa"/>
            <w:tcBorders>
              <w:top w:val="single" w:sz="4" w:space="0" w:color="000000"/>
              <w:left w:val="single" w:sz="4" w:space="0" w:color="000000"/>
              <w:bottom w:val="nil"/>
              <w:right w:val="nil"/>
            </w:tcBorders>
          </w:tcPr>
          <w:p w14:paraId="18B70BA1" w14:textId="77777777" w:rsidR="004275F3" w:rsidRDefault="004275F3" w:rsidP="003A511B">
            <w:pPr>
              <w:keepNext/>
              <w:keepLines/>
              <w:spacing w:after="200" w:line="276" w:lineRule="auto"/>
              <w:ind w:right="0" w:firstLine="0"/>
              <w:jc w:val="left"/>
            </w:pPr>
          </w:p>
        </w:tc>
        <w:tc>
          <w:tcPr>
            <w:tcW w:w="2340" w:type="dxa"/>
            <w:tcBorders>
              <w:top w:val="single" w:sz="4" w:space="0" w:color="000000"/>
              <w:left w:val="nil"/>
              <w:bottom w:val="nil"/>
              <w:right w:val="single" w:sz="4" w:space="0" w:color="000000"/>
            </w:tcBorders>
          </w:tcPr>
          <w:p w14:paraId="4145ED44" w14:textId="77777777" w:rsidR="004275F3" w:rsidRDefault="004275F3" w:rsidP="003A511B">
            <w:pPr>
              <w:keepNext/>
              <w:keepLines/>
              <w:spacing w:after="200" w:line="276" w:lineRule="auto"/>
              <w:ind w:right="0" w:firstLine="0"/>
              <w:jc w:val="left"/>
            </w:pPr>
            <w:r>
              <w:rPr>
                <w:b/>
              </w:rPr>
              <w:t>Ends</w:t>
            </w:r>
          </w:p>
        </w:tc>
      </w:tr>
      <w:tr w:rsidR="004275F3" w14:paraId="76D3C894" w14:textId="77777777" w:rsidTr="00BF58C4">
        <w:trPr>
          <w:trHeight w:val="280"/>
        </w:trPr>
        <w:tc>
          <w:tcPr>
            <w:tcW w:w="1305" w:type="dxa"/>
            <w:tcBorders>
              <w:top w:val="nil"/>
              <w:left w:val="nil"/>
              <w:bottom w:val="single" w:sz="4" w:space="0" w:color="auto"/>
              <w:right w:val="nil"/>
            </w:tcBorders>
          </w:tcPr>
          <w:p w14:paraId="0E3BBB6F" w14:textId="77777777" w:rsidR="004275F3" w:rsidRDefault="004275F3" w:rsidP="003A511B">
            <w:pPr>
              <w:keepNext/>
              <w:keepLines/>
              <w:spacing w:after="200" w:line="276" w:lineRule="auto"/>
              <w:ind w:right="0" w:firstLine="0"/>
              <w:jc w:val="left"/>
            </w:pPr>
          </w:p>
        </w:tc>
        <w:tc>
          <w:tcPr>
            <w:tcW w:w="2115" w:type="dxa"/>
            <w:tcBorders>
              <w:top w:val="nil"/>
              <w:left w:val="nil"/>
              <w:bottom w:val="single" w:sz="4" w:space="0" w:color="auto"/>
              <w:right w:val="single" w:sz="4" w:space="0" w:color="000000"/>
            </w:tcBorders>
          </w:tcPr>
          <w:p w14:paraId="24924999" w14:textId="77777777" w:rsidR="004275F3" w:rsidRDefault="004275F3" w:rsidP="003A511B">
            <w:pPr>
              <w:keepNext/>
              <w:keepLines/>
              <w:spacing w:after="200" w:line="276" w:lineRule="auto"/>
              <w:ind w:right="0" w:firstLine="0"/>
              <w:jc w:val="left"/>
            </w:pPr>
          </w:p>
        </w:tc>
        <w:tc>
          <w:tcPr>
            <w:tcW w:w="1826" w:type="dxa"/>
            <w:tcBorders>
              <w:top w:val="nil"/>
              <w:left w:val="single" w:sz="4" w:space="0" w:color="000000"/>
              <w:bottom w:val="single" w:sz="4" w:space="0" w:color="auto"/>
              <w:right w:val="nil"/>
            </w:tcBorders>
          </w:tcPr>
          <w:p w14:paraId="1B1E35DF" w14:textId="77777777" w:rsidR="004275F3" w:rsidRDefault="004275F3" w:rsidP="003A511B">
            <w:pPr>
              <w:keepNext/>
              <w:keepLines/>
              <w:spacing w:after="200" w:line="276" w:lineRule="auto"/>
              <w:ind w:left="51" w:right="0" w:firstLine="0"/>
              <w:jc w:val="center"/>
            </w:pPr>
            <w:r>
              <w:t>Concessions</w:t>
            </w:r>
          </w:p>
        </w:tc>
        <w:tc>
          <w:tcPr>
            <w:tcW w:w="2340" w:type="dxa"/>
            <w:tcBorders>
              <w:top w:val="nil"/>
              <w:left w:val="nil"/>
              <w:bottom w:val="single" w:sz="4" w:space="0" w:color="auto"/>
              <w:right w:val="single" w:sz="4" w:space="0" w:color="000000"/>
            </w:tcBorders>
          </w:tcPr>
          <w:p w14:paraId="710563D5" w14:textId="77777777" w:rsidR="004275F3" w:rsidRDefault="004275F3" w:rsidP="003A511B">
            <w:pPr>
              <w:keepNext/>
              <w:keepLines/>
              <w:spacing w:after="200" w:line="276" w:lineRule="auto"/>
              <w:ind w:left="43" w:right="0" w:firstLine="0"/>
              <w:jc w:val="center"/>
            </w:pPr>
            <w:r>
              <w:t>Conquest</w:t>
            </w:r>
          </w:p>
        </w:tc>
      </w:tr>
      <w:tr w:rsidR="004D392E" w14:paraId="1C2DE6FB" w14:textId="77777777" w:rsidTr="00BF58C4">
        <w:trPr>
          <w:trHeight w:val="848"/>
        </w:trPr>
        <w:tc>
          <w:tcPr>
            <w:tcW w:w="1305" w:type="dxa"/>
            <w:vMerge w:val="restart"/>
            <w:tcBorders>
              <w:top w:val="single" w:sz="4" w:space="0" w:color="auto"/>
              <w:left w:val="single" w:sz="4" w:space="0" w:color="auto"/>
              <w:bottom w:val="single" w:sz="4" w:space="0" w:color="auto"/>
            </w:tcBorders>
            <w:vAlign w:val="center"/>
          </w:tcPr>
          <w:p w14:paraId="35C2CCAE" w14:textId="77777777" w:rsidR="004275F3" w:rsidRDefault="004275F3" w:rsidP="003A511B">
            <w:pPr>
              <w:keepNext/>
              <w:keepLines/>
              <w:spacing w:after="200" w:line="276" w:lineRule="auto"/>
              <w:ind w:left="124" w:right="0" w:firstLine="0"/>
              <w:jc w:val="center"/>
            </w:pPr>
            <w:r>
              <w:rPr>
                <w:b/>
              </w:rPr>
              <w:t>Means</w:t>
            </w:r>
          </w:p>
        </w:tc>
        <w:tc>
          <w:tcPr>
            <w:tcW w:w="2115" w:type="dxa"/>
            <w:tcBorders>
              <w:top w:val="single" w:sz="4" w:space="0" w:color="auto"/>
              <w:right w:val="single" w:sz="4" w:space="0" w:color="auto"/>
            </w:tcBorders>
          </w:tcPr>
          <w:p w14:paraId="75B63A05" w14:textId="6ED404C0" w:rsidR="004275F3" w:rsidRDefault="004275F3" w:rsidP="004D392E">
            <w:pPr>
              <w:keepNext/>
              <w:keepLines/>
              <w:spacing w:after="200" w:line="276" w:lineRule="auto"/>
              <w:ind w:right="0" w:firstLine="0"/>
              <w:jc w:val="center"/>
            </w:pPr>
            <w:r>
              <w:t>Smaller and less diverse forces</w:t>
            </w:r>
          </w:p>
        </w:tc>
        <w:tc>
          <w:tcPr>
            <w:tcW w:w="1826" w:type="dxa"/>
            <w:tcBorders>
              <w:top w:val="single" w:sz="4" w:space="0" w:color="auto"/>
              <w:left w:val="single" w:sz="4" w:space="0" w:color="auto"/>
              <w:bottom w:val="single" w:sz="4" w:space="0" w:color="auto"/>
              <w:right w:val="single" w:sz="4" w:space="0" w:color="auto"/>
            </w:tcBorders>
          </w:tcPr>
          <w:p w14:paraId="6ADCBA30" w14:textId="7E40617D" w:rsidR="004275F3" w:rsidRDefault="004275F3" w:rsidP="00BF58C4">
            <w:pPr>
              <w:keepNext/>
              <w:keepLines/>
              <w:spacing w:after="200" w:line="276" w:lineRule="auto"/>
              <w:ind w:left="235" w:right="0" w:firstLine="0"/>
              <w:jc w:val="center"/>
            </w:pPr>
            <w:r>
              <w:t>Small War</w:t>
            </w:r>
            <w:r w:rsidR="00BC69D6">
              <w:t>s</w:t>
            </w:r>
          </w:p>
        </w:tc>
        <w:tc>
          <w:tcPr>
            <w:tcW w:w="2340" w:type="dxa"/>
            <w:tcBorders>
              <w:top w:val="single" w:sz="4" w:space="0" w:color="auto"/>
              <w:left w:val="single" w:sz="4" w:space="0" w:color="auto"/>
              <w:bottom w:val="single" w:sz="4" w:space="0" w:color="auto"/>
              <w:right w:val="single" w:sz="4" w:space="0" w:color="auto"/>
            </w:tcBorders>
          </w:tcPr>
          <w:p w14:paraId="13897A84" w14:textId="06E90727" w:rsidR="004275F3" w:rsidRDefault="00FA1EDF" w:rsidP="00BF58C4">
            <w:pPr>
              <w:keepNext/>
              <w:keepLines/>
              <w:spacing w:after="200" w:line="276" w:lineRule="auto"/>
              <w:ind w:left="51" w:right="0" w:firstLine="37"/>
              <w:jc w:val="center"/>
            </w:pPr>
            <w:r>
              <w:t>Revolutionary War</w:t>
            </w:r>
            <w:r w:rsidR="00BC69D6">
              <w:t>s</w:t>
            </w:r>
          </w:p>
        </w:tc>
      </w:tr>
      <w:tr w:rsidR="004D392E" w14:paraId="159B0AF1" w14:textId="77777777" w:rsidTr="00BF58C4">
        <w:trPr>
          <w:trHeight w:val="847"/>
        </w:trPr>
        <w:tc>
          <w:tcPr>
            <w:tcW w:w="1305" w:type="dxa"/>
            <w:vMerge/>
            <w:tcBorders>
              <w:top w:val="single" w:sz="4" w:space="0" w:color="auto"/>
              <w:left w:val="single" w:sz="4" w:space="0" w:color="auto"/>
              <w:bottom w:val="single" w:sz="4" w:space="0" w:color="auto"/>
            </w:tcBorders>
            <w:vAlign w:val="center"/>
          </w:tcPr>
          <w:p w14:paraId="2802FA89" w14:textId="77777777" w:rsidR="004275F3" w:rsidRDefault="004275F3" w:rsidP="003A511B">
            <w:pPr>
              <w:keepNext/>
              <w:keepLines/>
              <w:spacing w:after="200" w:line="276" w:lineRule="auto"/>
              <w:ind w:left="124" w:right="0" w:firstLine="0"/>
              <w:jc w:val="center"/>
              <w:rPr>
                <w:b/>
              </w:rPr>
            </w:pPr>
          </w:p>
        </w:tc>
        <w:tc>
          <w:tcPr>
            <w:tcW w:w="2115" w:type="dxa"/>
            <w:tcBorders>
              <w:bottom w:val="single" w:sz="4" w:space="0" w:color="auto"/>
              <w:right w:val="single" w:sz="4" w:space="0" w:color="auto"/>
            </w:tcBorders>
          </w:tcPr>
          <w:p w14:paraId="15521AF6" w14:textId="7F40AA59" w:rsidR="004275F3" w:rsidRDefault="004D392E" w:rsidP="003A511B">
            <w:pPr>
              <w:keepNext/>
              <w:keepLines/>
              <w:spacing w:after="200" w:line="276" w:lineRule="auto"/>
              <w:ind w:right="0" w:firstLine="0"/>
              <w:jc w:val="center"/>
            </w:pPr>
            <w:r>
              <w:t>Larger and more diverse forces</w:t>
            </w:r>
          </w:p>
        </w:tc>
        <w:tc>
          <w:tcPr>
            <w:tcW w:w="1826" w:type="dxa"/>
            <w:tcBorders>
              <w:top w:val="single" w:sz="4" w:space="0" w:color="auto"/>
              <w:left w:val="single" w:sz="4" w:space="0" w:color="auto"/>
              <w:bottom w:val="single" w:sz="4" w:space="0" w:color="auto"/>
              <w:right w:val="single" w:sz="4" w:space="0" w:color="auto"/>
            </w:tcBorders>
          </w:tcPr>
          <w:p w14:paraId="09E103E5" w14:textId="34C417B2" w:rsidR="004275F3" w:rsidRDefault="004275F3" w:rsidP="00BF58C4">
            <w:pPr>
              <w:keepNext/>
              <w:keepLines/>
              <w:spacing w:after="200" w:line="276" w:lineRule="auto"/>
              <w:ind w:left="124" w:right="0" w:firstLine="0"/>
              <w:jc w:val="center"/>
            </w:pPr>
            <w:r>
              <w:t>Gray Zone Conflict</w:t>
            </w:r>
            <w:r w:rsidR="00BC69D6">
              <w:t>s</w:t>
            </w:r>
          </w:p>
        </w:tc>
        <w:tc>
          <w:tcPr>
            <w:tcW w:w="2340" w:type="dxa"/>
            <w:tcBorders>
              <w:top w:val="single" w:sz="4" w:space="0" w:color="auto"/>
              <w:left w:val="single" w:sz="4" w:space="0" w:color="auto"/>
              <w:bottom w:val="single" w:sz="4" w:space="0" w:color="auto"/>
              <w:right w:val="single" w:sz="4" w:space="0" w:color="auto"/>
            </w:tcBorders>
          </w:tcPr>
          <w:p w14:paraId="185F2855" w14:textId="523BFB08" w:rsidR="004275F3" w:rsidRDefault="004D392E" w:rsidP="00BF58C4">
            <w:pPr>
              <w:keepNext/>
              <w:keepLines/>
              <w:spacing w:after="200" w:line="276" w:lineRule="auto"/>
              <w:ind w:left="51" w:right="0" w:firstLine="37"/>
              <w:jc w:val="center"/>
            </w:pPr>
            <w:r>
              <w:t>Major Combat Operations</w:t>
            </w:r>
          </w:p>
        </w:tc>
      </w:tr>
    </w:tbl>
    <w:p w14:paraId="77FF6CA8" w14:textId="77777777" w:rsidR="004275F3" w:rsidRDefault="004275F3" w:rsidP="004275F3">
      <w:pPr>
        <w:spacing w:after="200" w:line="276" w:lineRule="auto"/>
        <w:ind w:left="-15" w:right="0" w:firstLine="0"/>
      </w:pPr>
    </w:p>
    <w:p w14:paraId="669E4B3D" w14:textId="5425D1F0" w:rsidR="00D74245" w:rsidRDefault="004275F3" w:rsidP="00D74245">
      <w:pPr>
        <w:spacing w:after="200" w:line="276" w:lineRule="auto"/>
        <w:ind w:left="-15" w:right="0" w:firstLine="0"/>
      </w:pPr>
      <w:r>
        <w:t>Table 1 provides a typology of limited war that distinguishes</w:t>
      </w:r>
      <w:r w:rsidR="004D392E">
        <w:t xml:space="preserve"> </w:t>
      </w:r>
      <w:r w:rsidR="00E925E9">
        <w:t>means and ends</w:t>
      </w:r>
      <w:r w:rsidR="00D20F33">
        <w:t xml:space="preserve">. </w:t>
      </w:r>
      <w:r>
        <w:t xml:space="preserve">Less capable actors </w:t>
      </w:r>
      <w:r w:rsidR="00D20F33">
        <w:t xml:space="preserve">are limited in both the quality and quantity of force they can bring to bear. Insurgents or criminal networks may engage in small wars to extract a few concessions from the government, such as control over a </w:t>
      </w:r>
      <w:proofErr w:type="gramStart"/>
      <w:r w:rsidR="00D20F33">
        <w:t>particular region</w:t>
      </w:r>
      <w:proofErr w:type="gramEnd"/>
      <w:r w:rsidR="00D20F33">
        <w:t xml:space="preserve"> or smuggling routes. </w:t>
      </w:r>
      <w:r w:rsidR="00E925E9">
        <w:t>If the</w:t>
      </w:r>
      <w:r w:rsidR="007D70B3">
        <w:t>y</w:t>
      </w:r>
      <w:r w:rsidR="00E925E9">
        <w:t xml:space="preserve"> aspire to </w:t>
      </w:r>
      <w:r w:rsidR="00D20F33">
        <w:t xml:space="preserve">overthrow the government, </w:t>
      </w:r>
      <w:r w:rsidR="00E925E9">
        <w:t xml:space="preserve">however, they may embrace </w:t>
      </w:r>
      <w:r w:rsidR="00D20F33">
        <w:t xml:space="preserve">Maoist </w:t>
      </w:r>
      <w:r w:rsidR="00E07ADC">
        <w:t xml:space="preserve">or jihadist </w:t>
      </w:r>
      <w:r w:rsidR="00D20F33">
        <w:t xml:space="preserve">strategies </w:t>
      </w:r>
      <w:r w:rsidR="00E925E9">
        <w:t>in pursuit of political</w:t>
      </w:r>
      <w:r w:rsidR="00D20F33">
        <w:t xml:space="preserve"> </w:t>
      </w:r>
      <w:r w:rsidR="00E07ADC">
        <w:t xml:space="preserve">or ideological </w:t>
      </w:r>
      <w:r w:rsidR="00D20F33">
        <w:t>revolution</w:t>
      </w:r>
      <w:r w:rsidR="00E925E9">
        <w:t>.</w:t>
      </w:r>
      <w:r w:rsidR="00D20F33">
        <w:t xml:space="preserve"> </w:t>
      </w:r>
      <w:r w:rsidR="003D7CD5">
        <w:t xml:space="preserve">Our first two points </w:t>
      </w:r>
      <w:r w:rsidR="009150B0">
        <w:t xml:space="preserve">above </w:t>
      </w:r>
      <w:r w:rsidR="003D7CD5">
        <w:t>(</w:t>
      </w:r>
      <w:r w:rsidR="009150B0">
        <w:t xml:space="preserve">voluntary limitation by </w:t>
      </w:r>
      <w:r w:rsidR="003D7CD5">
        <w:t xml:space="preserve">capable actors) exclude these two categories of limited war. </w:t>
      </w:r>
      <w:r w:rsidR="00E2547B">
        <w:t>Our</w:t>
      </w:r>
      <w:r w:rsidR="003D7CD5">
        <w:t xml:space="preserve"> third</w:t>
      </w:r>
      <w:r w:rsidR="009150B0">
        <w:t xml:space="preserve"> point</w:t>
      </w:r>
      <w:r w:rsidR="003D7CD5">
        <w:t xml:space="preserve"> </w:t>
      </w:r>
      <w:r w:rsidR="00372C6F">
        <w:t xml:space="preserve">further </w:t>
      </w:r>
      <w:r w:rsidR="00E2547B">
        <w:t>distinguishes</w:t>
      </w:r>
      <w:r w:rsidR="00D74245">
        <w:t xml:space="preserve"> </w:t>
      </w:r>
      <w:r w:rsidR="007D70B3">
        <w:t>types</w:t>
      </w:r>
      <w:r w:rsidR="00E2547B">
        <w:t xml:space="preserve"> of limited war </w:t>
      </w:r>
      <w:r w:rsidR="009150B0">
        <w:t>that involve</w:t>
      </w:r>
      <w:r w:rsidR="003D7CD5">
        <w:t xml:space="preserve"> </w:t>
      </w:r>
      <w:r w:rsidR="00E2547B">
        <w:t>actors with</w:t>
      </w:r>
      <w:r w:rsidR="003D7CD5">
        <w:t xml:space="preserve"> </w:t>
      </w:r>
      <w:r w:rsidR="00D20F33">
        <w:t>more and better</w:t>
      </w:r>
      <w:r w:rsidR="00E925E9">
        <w:t xml:space="preserve"> military</w:t>
      </w:r>
      <w:r w:rsidR="00D20F33">
        <w:t xml:space="preserve"> forces. </w:t>
      </w:r>
    </w:p>
    <w:p w14:paraId="6B3A9C4F" w14:textId="5656CC93" w:rsidR="00475602" w:rsidRDefault="00E2547B" w:rsidP="00D74245">
      <w:pPr>
        <w:spacing w:after="200" w:line="276" w:lineRule="auto"/>
        <w:ind w:left="-15" w:right="0" w:firstLine="0"/>
      </w:pPr>
      <w:r>
        <w:t>Powerful actors</w:t>
      </w:r>
      <w:r w:rsidR="00D20F33">
        <w:t xml:space="preserve"> that are highly resolved to </w:t>
      </w:r>
      <w:r w:rsidR="00E925E9">
        <w:t>revise the status quo</w:t>
      </w:r>
      <w:r w:rsidR="003D7CD5">
        <w:t xml:space="preserve"> </w:t>
      </w:r>
      <w:r w:rsidR="00D20F33">
        <w:t xml:space="preserve">will tend to use as much </w:t>
      </w:r>
      <w:r w:rsidR="00E925E9">
        <w:t xml:space="preserve">force </w:t>
      </w:r>
      <w:r w:rsidR="00D20F33">
        <w:t>as they need to get the job done</w:t>
      </w:r>
      <w:r w:rsidR="002D1A75">
        <w:t xml:space="preserve">. </w:t>
      </w:r>
      <w:r w:rsidR="003D7CD5">
        <w:t xml:space="preserve">A unilateral preference for conquest makes major combat operations attractive, </w:t>
      </w:r>
      <w:r>
        <w:t xml:space="preserve">where force is limited simply as </w:t>
      </w:r>
      <w:r w:rsidR="003D7CD5">
        <w:t xml:space="preserve">a function of the </w:t>
      </w:r>
      <w:r>
        <w:t xml:space="preserve">local </w:t>
      </w:r>
      <w:r w:rsidR="003D7CD5">
        <w:t>balance of power. More resistance can always be met with more force, but overkill wastes resources unnecessarily. If c</w:t>
      </w:r>
      <w:r w:rsidR="00D20F33">
        <w:t xml:space="preserve">apable actors </w:t>
      </w:r>
      <w:r w:rsidR="003D7CD5">
        <w:t>only have</w:t>
      </w:r>
      <w:r w:rsidR="002D1A75">
        <w:t xml:space="preserve"> modest ambitions</w:t>
      </w:r>
      <w:r w:rsidR="00D20F33">
        <w:t xml:space="preserve">, however, </w:t>
      </w:r>
      <w:r w:rsidR="003D7CD5">
        <w:t>they will be more willing to</w:t>
      </w:r>
      <w:r w:rsidR="005324C0">
        <w:t xml:space="preserve"> settle</w:t>
      </w:r>
      <w:r w:rsidR="003D7CD5">
        <w:t xml:space="preserve"> for less</w:t>
      </w:r>
      <w:r>
        <w:t xml:space="preserve"> and to employ </w:t>
      </w:r>
      <w:proofErr w:type="gramStart"/>
      <w:r>
        <w:t>less</w:t>
      </w:r>
      <w:proofErr w:type="gramEnd"/>
      <w:r w:rsidR="003D7CD5">
        <w:t xml:space="preserve"> effective modes of operation</w:t>
      </w:r>
      <w:r w:rsidR="004275F3">
        <w:t>.</w:t>
      </w:r>
      <w:r>
        <w:t xml:space="preserve"> </w:t>
      </w:r>
      <w:r w:rsidR="00BA600B">
        <w:t>V</w:t>
      </w:r>
      <w:r>
        <w:t>oluntary limitation of m</w:t>
      </w:r>
      <w:r w:rsidR="00EA5EBE">
        <w:t xml:space="preserve">eans </w:t>
      </w:r>
      <w:r w:rsidR="00BA600B">
        <w:t>enables an</w:t>
      </w:r>
      <w:r w:rsidR="00EA5EBE">
        <w:t xml:space="preserve"> aggressor </w:t>
      </w:r>
      <w:r w:rsidR="00BA600B">
        <w:t xml:space="preserve">to </w:t>
      </w:r>
      <w:r w:rsidR="00EA5EBE">
        <w:t xml:space="preserve">minimize both costs and risk exposure. </w:t>
      </w:r>
      <w:r>
        <w:t>The voluntary</w:t>
      </w:r>
      <w:r w:rsidR="00EA5EBE">
        <w:t xml:space="preserve"> limitation </w:t>
      </w:r>
      <w:r>
        <w:t xml:space="preserve">of ends </w:t>
      </w:r>
      <w:r w:rsidR="00BA600B">
        <w:t xml:space="preserve">allows </w:t>
      </w:r>
      <w:r w:rsidR="00EA5EBE">
        <w:t>the target to keep more of what it already has. Escalation in this situation is thus mutually undesirable.</w:t>
      </w:r>
      <w:r w:rsidR="002D1A75">
        <w:t xml:space="preserve"> </w:t>
      </w:r>
      <w:proofErr w:type="gramStart"/>
      <w:r w:rsidR="00EA5EBE">
        <w:t>In order to</w:t>
      </w:r>
      <w:proofErr w:type="gramEnd"/>
      <w:r w:rsidR="00EA5EBE">
        <w:t xml:space="preserve"> limit the risk of escalation, gray zone actors voluntarily limit the means they use to pursue their limited ends. </w:t>
      </w:r>
    </w:p>
    <w:p w14:paraId="1B90ED39" w14:textId="27E4F6F6" w:rsidR="00D74245" w:rsidRDefault="009150B0" w:rsidP="009150B0">
      <w:pPr>
        <w:spacing w:after="200" w:line="276" w:lineRule="auto"/>
        <w:ind w:left="-15" w:right="0" w:firstLine="0"/>
        <w:rPr>
          <w:lang w:val="en-CA"/>
        </w:rPr>
      </w:pPr>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 xml:space="preserve">As subsequent events made clear, </w:t>
      </w:r>
      <w:r>
        <w:rPr>
          <w:lang w:val="en-CA"/>
        </w:rPr>
        <w:lastRenderedPageBreak/>
        <w:t>American politicians ignored the significant and arguably foreseeable costs of occupation</w:t>
      </w:r>
      <w:r w:rsidR="00354AA2">
        <w:rPr>
          <w:lang w:val="en-CA"/>
        </w:rPr>
        <w:t>.</w:t>
      </w:r>
      <w:r w:rsidR="00CE2918">
        <w:rPr>
          <w:rStyle w:val="FootnoteReference"/>
          <w:lang w:val="en-CA"/>
        </w:rPr>
        <w:footnoteReference w:id="46"/>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w:t>
      </w:r>
      <w:r w:rsidR="00BA600B">
        <w:rPr>
          <w:lang w:val="en-CA"/>
        </w:rPr>
        <w:t xml:space="preserve">o </w:t>
      </w:r>
      <w:r>
        <w:rPr>
          <w:lang w:val="en-CA"/>
        </w:rPr>
        <w:t xml:space="preserve">control local areas and economies. </w:t>
      </w:r>
      <w:r w:rsidR="00D74245">
        <w:rPr>
          <w:lang w:val="en-CA"/>
        </w:rPr>
        <w:t xml:space="preserve">Coalition Forces struggled with both </w:t>
      </w:r>
      <w:r w:rsidR="00BA600B">
        <w:rPr>
          <w:lang w:val="en-CA"/>
        </w:rPr>
        <w:t>groups</w:t>
      </w:r>
      <w:r w:rsidR="00D74245">
        <w:rPr>
          <w:lang w:val="en-CA"/>
        </w:rPr>
        <w:t xml:space="preserve"> before learning how to defeat the former (with the counterterrorism methods of Joint Special Operations Command) and to coopt the latter (by striking deals with the Anbar Awakening and similar movements)</w:t>
      </w:r>
      <w:r w:rsidR="00354AA2">
        <w:rPr>
          <w:lang w:val="en-CA"/>
        </w:rPr>
        <w:t>.</w:t>
      </w:r>
      <w:r w:rsidR="00CE2918">
        <w:rPr>
          <w:rStyle w:val="FootnoteReference"/>
          <w:lang w:val="en-CA"/>
        </w:rPr>
        <w:footnoteReference w:id="47"/>
      </w:r>
    </w:p>
    <w:p w14:paraId="654FDAC8" w14:textId="79E3FAEE" w:rsidR="009150B0" w:rsidRDefault="009150B0" w:rsidP="009150B0">
      <w:pPr>
        <w:spacing w:after="200" w:line="276" w:lineRule="auto"/>
        <w:ind w:left="-15" w:right="0" w:firstLine="0"/>
      </w:pPr>
      <w:r>
        <w:rPr>
          <w:lang w:val="en-CA"/>
        </w:rPr>
        <w:t xml:space="preserve">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w:t>
      </w:r>
      <w:proofErr w:type="gramStart"/>
      <w:r>
        <w:rPr>
          <w:lang w:val="en-CA"/>
        </w:rPr>
        <w:t>in an attempt to</w:t>
      </w:r>
      <w:proofErr w:type="gramEnd"/>
      <w:r>
        <w:rPr>
          <w:lang w:val="en-CA"/>
        </w:rPr>
        <w:t xml:space="preserve"> transform Iraq into a stable liberal society. If, however, policymaker</w:t>
      </w:r>
      <w:r w:rsidR="00D74245">
        <w:rPr>
          <w:lang w:val="en-CA"/>
        </w:rPr>
        <w:t>s’</w:t>
      </w:r>
      <w:r>
        <w:rPr>
          <w:lang w:val="en-CA"/>
        </w:rPr>
        <w:t xml:space="preserve"> war aims were more limited, as they arguably should have been, they might</w:t>
      </w:r>
      <w:r w:rsidR="00D74245">
        <w:rPr>
          <w:lang w:val="en-CA"/>
        </w:rPr>
        <w:t xml:space="preserve"> have</w:t>
      </w:r>
      <w:r>
        <w:rPr>
          <w:lang w:val="en-CA"/>
        </w:rPr>
        <w:t xml:space="preserve"> sought an alternative to invasion</w:t>
      </w:r>
      <w:r w:rsidR="00D74245">
        <w:rPr>
          <w:lang w:val="en-CA"/>
        </w:rPr>
        <w:t>, such as maintenance of the existing containment regime</w:t>
      </w:r>
      <w:r>
        <w:rPr>
          <w:lang w:val="en-CA"/>
        </w:rPr>
        <w:t>. Indeed, between 1991 and 2003, the United States engaged in a continuous gray zone contest to contain Saddam Hussein with air policing, economic sanctions, covert intelligence, and occasional air strikes.</w:t>
      </w:r>
      <w:r w:rsidDel="004275F3">
        <w:t xml:space="preserve"> </w:t>
      </w:r>
      <w:r>
        <w:t>The Baath</w:t>
      </w:r>
      <w:r w:rsidR="009B3867">
        <w:t>ist</w:t>
      </w:r>
      <w:r>
        <w:t xml:space="preserve"> regime survived while the United States avoided a costly ground war, outcomes that were mutually preferable for both sides compared to the</w:t>
      </w:r>
      <w:r w:rsidR="009B3867">
        <w:t xml:space="preserve">, at that time anticipated </w:t>
      </w:r>
      <w:r>
        <w:t xml:space="preserve">outcome of the war. </w:t>
      </w:r>
      <w:r w:rsidR="00372C6F">
        <w:t xml:space="preserve">Intelligence assessment and rational decision making are </w:t>
      </w:r>
      <w:r w:rsidR="009B3867">
        <w:t>each</w:t>
      </w:r>
      <w:r w:rsidR="00372C6F">
        <w:t xml:space="preserve"> important for assessing the parameters of deterrence, and both </w:t>
      </w:r>
      <w:r w:rsidR="009B3867">
        <w:t>proved</w:t>
      </w:r>
      <w:r w:rsidR="00372C6F">
        <w:t xml:space="preserve"> defective in this case.</w:t>
      </w:r>
      <w:r w:rsidR="009B3867">
        <w:rPr>
          <w:rStyle w:val="FootnoteReference"/>
        </w:rPr>
        <w:footnoteReference w:id="48"/>
      </w:r>
    </w:p>
    <w:p w14:paraId="0E306385" w14:textId="1DEA11C3" w:rsidR="005A43F8" w:rsidRDefault="009B3867" w:rsidP="00B61712">
      <w:pPr>
        <w:spacing w:after="200" w:line="276" w:lineRule="auto"/>
        <w:ind w:left="-15" w:right="0" w:firstLine="0"/>
      </w:pPr>
      <w:r>
        <w:t xml:space="preserve">As the </w:t>
      </w:r>
      <w:r w:rsidR="005A43F8">
        <w:t xml:space="preserve">Iraq case </w:t>
      </w:r>
      <w:r>
        <w:t>highlights,</w:t>
      </w:r>
      <w:r w:rsidR="005A43F8">
        <w:t xml:space="preserve"> the distinction </w:t>
      </w:r>
      <w:r>
        <w:t xml:space="preserve">we </w:t>
      </w:r>
      <w:r w:rsidR="005A43F8">
        <w:t>present above (a</w:t>
      </w:r>
      <w:r>
        <w:t>s</w:t>
      </w:r>
      <w:r w:rsidR="005A43F8">
        <w:t xml:space="preserve"> depicted in Table 1) </w:t>
      </w:r>
      <w:r>
        <w:t>is</w:t>
      </w:r>
      <w:r w:rsidR="005A43F8">
        <w:t xml:space="preserve"> </w:t>
      </w:r>
      <w:r>
        <w:t xml:space="preserve">often less </w:t>
      </w:r>
      <w:r w:rsidR="005A43F8">
        <w:t>stark</w:t>
      </w:r>
      <w:r>
        <w:t xml:space="preserve"> in practice</w:t>
      </w:r>
      <w:r w:rsidR="005A43F8">
        <w:t xml:space="preserve">. Gray zone conflict is not just a matter of limited ends but also, and primarily, of risk-sensitivity. In both categories of limited conflict (gray zone </w:t>
      </w:r>
      <w:r w:rsidR="006B52F5">
        <w:t>and major combat), strong actors</w:t>
      </w:r>
      <w:r w:rsidR="00B657DA">
        <w:t xml:space="preserve"> </w:t>
      </w:r>
      <w:r w:rsidR="005A43F8">
        <w:t xml:space="preserve">choose to limit means, but they do so for different reasons. A resolved actor </w:t>
      </w:r>
      <w:r w:rsidR="00B657DA">
        <w:t xml:space="preserve">that </w:t>
      </w:r>
      <w:r w:rsidR="005A43F8">
        <w:t>values the stakes of the conflict may be willing to pay more to get a better outcome</w:t>
      </w:r>
      <w:r w:rsidR="00B657DA">
        <w:t>.</w:t>
      </w:r>
      <w:r w:rsidR="005A43F8">
        <w:t xml:space="preserve"> </w:t>
      </w:r>
      <w:r w:rsidR="00B657DA">
        <w:t xml:space="preserve">But </w:t>
      </w:r>
      <w:r w:rsidR="005A43F8">
        <w:t xml:space="preserve">it does not necessarily have to </w:t>
      </w:r>
      <w:r w:rsidR="00B657DA">
        <w:t xml:space="preserve">have </w:t>
      </w:r>
      <w:r w:rsidR="005A43F8">
        <w:t xml:space="preserve">a favorable balance of power; it may want to spend its surplus on other domestic projects, for instance. A less resolved actor, however, will not </w:t>
      </w:r>
      <w:r w:rsidR="005A43F8">
        <w:lastRenderedPageBreak/>
        <w:t xml:space="preserve">want to risk paying more and will be willing to compromise to avoid doing so. The fact that both types pull their punches creates </w:t>
      </w:r>
      <w:commentRangeStart w:id="8"/>
      <w:r w:rsidR="005A43F8">
        <w:t>something of a “gray zone” between our two categories.</w:t>
      </w:r>
      <w:r w:rsidR="005A43F8" w:rsidRPr="00372C6F">
        <w:t xml:space="preserve"> </w:t>
      </w:r>
      <w:commentRangeEnd w:id="8"/>
      <w:r w:rsidR="005A43F8">
        <w:rPr>
          <w:rStyle w:val="CommentReference"/>
        </w:rPr>
        <w:commentReference w:id="8"/>
      </w:r>
      <w:r w:rsidR="005A43F8">
        <w:t xml:space="preserve"> </w:t>
      </w:r>
    </w:p>
    <w:p w14:paraId="06808501" w14:textId="31991758" w:rsidR="00657E08" w:rsidRDefault="00A12C1D">
      <w:pPr>
        <w:pStyle w:val="Heading2"/>
        <w:spacing w:after="200" w:line="276" w:lineRule="auto"/>
      </w:pPr>
      <w:bookmarkStart w:id="9" w:name="_6i5vhzgv1wh" w:colFirst="0" w:colLast="0"/>
      <w:bookmarkEnd w:id="9"/>
      <w:r>
        <w:t xml:space="preserve">The </w:t>
      </w:r>
      <w:r w:rsidR="008B7FCE">
        <w:t xml:space="preserve">Escalation Dilemma </w:t>
      </w:r>
    </w:p>
    <w:p w14:paraId="2944DC43" w14:textId="7F5A26D1" w:rsidR="001B35A0" w:rsidRDefault="00E654F1" w:rsidP="00BF58C4">
      <w:pPr>
        <w:spacing w:after="200" w:line="276" w:lineRule="auto"/>
        <w:ind w:left="-15" w:right="0" w:firstLine="0"/>
      </w:pPr>
      <w:r>
        <w:t xml:space="preserve">Given that capable actors may use limited means for limited ends for quite different reasons, </w:t>
      </w:r>
      <w:r w:rsidR="00161322">
        <w:t>the</w:t>
      </w:r>
      <w:r w:rsidR="001B35A0">
        <w:t xml:space="preserve"> label of “major combat</w:t>
      </w:r>
      <w:r w:rsidR="00F76B0D">
        <w:t xml:space="preserve"> operations</w:t>
      </w:r>
      <w:r w:rsidR="001B35A0">
        <w:t xml:space="preserve">” </w:t>
      </w:r>
      <w:r>
        <w:t xml:space="preserve">is a </w:t>
      </w:r>
      <w:r w:rsidR="00F76B0D">
        <w:t xml:space="preserve">rather misleading </w:t>
      </w:r>
      <w:r>
        <w:t>way to describe conflict motivated by efficiency</w:t>
      </w:r>
      <w:r w:rsidR="001B35A0">
        <w:t>.</w:t>
      </w:r>
      <w:r w:rsidR="00690E52" w:rsidRPr="00BF58C4">
        <w:rPr>
          <w:rStyle w:val="FootnoteReference"/>
        </w:rPr>
        <w:footnoteReference w:id="49"/>
      </w:r>
      <w:r w:rsidR="001B35A0">
        <w:t xml:space="preserve"> A challenger </w:t>
      </w:r>
      <w:r w:rsidR="00690E52">
        <w:t>who</w:t>
      </w:r>
      <w:r w:rsidR="001B35A0">
        <w:t xml:space="preserve">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w:t>
      </w:r>
      <w:r w:rsidR="00354AA2">
        <w:rPr>
          <w:rStyle w:val="FootnoteReference"/>
        </w:rPr>
        <w:footnoteReference w:id="50"/>
      </w:r>
      <w:r w:rsidR="001B35A0">
        <w:t xml:space="preserve"> If the local balance of power greatly favors the initiator, then it may only need</w:t>
      </w:r>
      <w:r w:rsidR="00690E52">
        <w:t xml:space="preserve"> </w:t>
      </w:r>
      <w:r w:rsidR="005879B5">
        <w:t xml:space="preserve">to </w:t>
      </w:r>
      <w:r w:rsidR="00690E52">
        <w:t>employ</w:t>
      </w:r>
      <w:r w:rsidR="001B35A0">
        <w:t xml:space="preserve"> </w:t>
      </w:r>
      <w:r w:rsidR="00690E52">
        <w:t xml:space="preserve">modest </w:t>
      </w:r>
      <w:r w:rsidR="001B35A0">
        <w:t xml:space="preserve">resources to get all that it </w:t>
      </w:r>
      <w:r w:rsidR="005879B5">
        <w:t xml:space="preserve">seeks </w:t>
      </w:r>
      <w:r w:rsidR="001B35A0">
        <w:t>in a reasonable timeframe. If the aggressor only needs a few special operations units and some cyber effects to overwhelm the enemy, then</w:t>
      </w:r>
      <w:r w:rsidR="005879B5">
        <w:t xml:space="preserve"> a contest</w:t>
      </w:r>
      <w:r w:rsidR="001B35A0">
        <w:t xml:space="preserve"> </w:t>
      </w:r>
      <w:r w:rsidR="005879B5">
        <w:t xml:space="preserve">may </w:t>
      </w:r>
      <w:r w:rsidR="001B35A0">
        <w:t>be observably indistinguishable from the prototypical gray zone conflict. This sort of indistinguishability is most likely in cases where the revisionist act</w:t>
      </w:r>
      <w:r w:rsidR="005879B5">
        <w:t>or</w:t>
      </w:r>
      <w:r w:rsidR="001B35A0">
        <w:t xml:space="preserve"> has limited aims but values them greatly, i.e., it desires something well short of total conquest and only needs to mobilize a small number of forces to compel the other side to make concessions. </w:t>
      </w:r>
    </w:p>
    <w:p w14:paraId="32975937" w14:textId="7133A614" w:rsidR="00F00A03" w:rsidRDefault="00F00A03" w:rsidP="00BF58C4">
      <w:pPr>
        <w:spacing w:after="200" w:line="276" w:lineRule="auto"/>
        <w:ind w:left="-15" w:right="0" w:firstLine="0"/>
      </w:pPr>
      <w:r>
        <w:t xml:space="preserve">Escalation becomes the distinguishing test that separates gray zone conflict and major combat operations. </w:t>
      </w:r>
      <w:r w:rsidR="008B7FCE">
        <w:t xml:space="preserve">By raising the cost of gray zone conflict, defenders can force the initiator into fighting less efficiently, </w:t>
      </w:r>
      <w:r w:rsidR="008B7FCE" w:rsidRPr="00BF58C4">
        <w:t>but only by also accepting higher costs/risks themselves, something that may be mutually unappealing</w:t>
      </w:r>
      <w:r w:rsidR="008B7FCE" w:rsidRPr="008B7FCE">
        <w:t xml:space="preserve">. </w:t>
      </w:r>
      <w:r w:rsidR="00475E07">
        <w:t>T</w:t>
      </w:r>
      <w:r>
        <w:t>hreats</w:t>
      </w:r>
      <w:r w:rsidR="00475E07">
        <w:t xml:space="preserve"> of retaliation or actual military resistance </w:t>
      </w:r>
      <w:r w:rsidR="008B7FCE">
        <w:t>may cause an</w:t>
      </w:r>
      <w:r>
        <w:t xml:space="preserve"> influence-maximizing combatant</w:t>
      </w:r>
      <w:r w:rsidR="00475E07">
        <w:t xml:space="preserve"> </w:t>
      </w:r>
      <w:r>
        <w:t xml:space="preserve">to </w:t>
      </w:r>
      <w:r w:rsidR="008B7FCE">
        <w:t>switch to a more efficient, and more intense, form of combat</w:t>
      </w:r>
      <w:r>
        <w:t>.</w:t>
      </w:r>
      <w:r w:rsidR="00475E07">
        <w:t xml:space="preserve"> This</w:t>
      </w:r>
      <w:r w:rsidR="008B7FCE">
        <w:t xml:space="preserve"> type of</w:t>
      </w:r>
      <w:r w:rsidR="00475E07">
        <w:t xml:space="preserve"> actor prefers high intensity warfare to ordinary peacetime competition. The risk-sensitive gray zone actor, </w:t>
      </w:r>
      <w:r w:rsidR="008B7FCE">
        <w:t>by contrast</w:t>
      </w:r>
      <w:r w:rsidR="00475E07">
        <w:t xml:space="preserve">, will back down in the face of </w:t>
      </w:r>
      <w:r w:rsidR="005879B5">
        <w:t xml:space="preserve">robust </w:t>
      </w:r>
      <w:r w:rsidR="00475E07">
        <w:t>resistance</w:t>
      </w:r>
      <w:r w:rsidR="008B7FCE">
        <w:t>, accepting both inefficiency and ineffectiveness</w:t>
      </w:r>
      <w:r w:rsidR="00475E07">
        <w:t>. This actor prefers peacetime competition to major war. These preference orderings can be summarized thus:</w:t>
      </w:r>
    </w:p>
    <w:p w14:paraId="6EDABA95" w14:textId="1DD3F830" w:rsidR="00475E07" w:rsidRDefault="00475E07" w:rsidP="00475E07">
      <w:pPr>
        <w:spacing w:after="200" w:line="276" w:lineRule="auto"/>
        <w:ind w:left="10" w:right="0" w:hanging="10"/>
        <w:jc w:val="center"/>
      </w:pPr>
      <w:r>
        <w:t>Limited conflict ≿</w:t>
      </w:r>
      <w:r>
        <w:rPr>
          <w:i/>
        </w:rPr>
        <w:t xml:space="preserve"> </w:t>
      </w:r>
      <w:r>
        <w:t>Ordinary competition ≿</w:t>
      </w:r>
      <w:r>
        <w:rPr>
          <w:i/>
        </w:rPr>
        <w:t xml:space="preserve"> </w:t>
      </w:r>
      <w:r>
        <w:t>High intensity warfare</w:t>
      </w:r>
    </w:p>
    <w:p w14:paraId="5834E3B5" w14:textId="356B1745" w:rsidR="00475E07" w:rsidRDefault="00475E07" w:rsidP="00475E07">
      <w:pPr>
        <w:spacing w:after="200" w:line="276" w:lineRule="auto"/>
        <w:ind w:left="10" w:right="40" w:hanging="10"/>
        <w:jc w:val="center"/>
      </w:pPr>
      <w:r>
        <w:t>Limited conflict ≿</w:t>
      </w:r>
      <w:r>
        <w:rPr>
          <w:i/>
        </w:rPr>
        <w:t xml:space="preserve"> </w:t>
      </w:r>
      <w:r>
        <w:t>High intensity warfare ≿</w:t>
      </w:r>
      <w:r>
        <w:rPr>
          <w:i/>
        </w:rPr>
        <w:t xml:space="preserve"> </w:t>
      </w:r>
      <w:r>
        <w:t>Ordinary competition</w:t>
      </w:r>
    </w:p>
    <w:p w14:paraId="6498D782" w14:textId="5F66EBA7" w:rsidR="001B35A0" w:rsidRDefault="00475E07" w:rsidP="00BF58C4">
      <w:pPr>
        <w:spacing w:after="200" w:line="276" w:lineRule="auto"/>
        <w:ind w:left="-15" w:right="0" w:firstLine="0"/>
      </w:pPr>
      <w:r>
        <w:t xml:space="preserve">Behaviorally </w:t>
      </w:r>
      <w:r w:rsidR="001B35A0">
        <w:t xml:space="preserve">both </w:t>
      </w:r>
      <w:r w:rsidR="00F90F86">
        <w:t xml:space="preserve">types of conflict </w:t>
      </w:r>
      <w:r w:rsidR="001B35A0">
        <w:t xml:space="preserve">look like </w:t>
      </w:r>
      <w:r w:rsidR="00F90F86">
        <w:t xml:space="preserve">they are in the </w:t>
      </w:r>
      <w:r>
        <w:t xml:space="preserve">gray zone. However, </w:t>
      </w:r>
      <w:r w:rsidR="00F90F86">
        <w:t>each</w:t>
      </w:r>
      <w:r>
        <w:t xml:space="preserve"> display</w:t>
      </w:r>
      <w:r w:rsidR="00F90F86">
        <w:t>s</w:t>
      </w:r>
      <w:r>
        <w:t xml:space="preserve"> different escalation dynamics.</w:t>
      </w:r>
      <w:r w:rsidR="00372C6F">
        <w:t xml:space="preserve"> An actor with the first set of preferences should escalate if opposed, preferring war to peace, while an actor with the second </w:t>
      </w:r>
      <w:r w:rsidR="00F90F86">
        <w:t xml:space="preserve">preference ordering </w:t>
      </w:r>
      <w:r w:rsidR="00372C6F">
        <w:t>will</w:t>
      </w:r>
      <w:r w:rsidR="00F90F86">
        <w:t xml:space="preserve"> tend to</w:t>
      </w:r>
      <w:r w:rsidR="00372C6F">
        <w:t xml:space="preserve"> back down, preferring peace to war.</w:t>
      </w:r>
      <w:r>
        <w:t xml:space="preserve"> </w:t>
      </w:r>
      <w:r w:rsidR="00D73D8D">
        <w:t xml:space="preserve">The first </w:t>
      </w:r>
      <w:r w:rsidR="00372C6F">
        <w:t>type of actor is</w:t>
      </w:r>
      <w:r w:rsidR="00D73D8D">
        <w:t xml:space="preserve"> motivated by </w:t>
      </w:r>
      <w:r w:rsidR="00D73D8D" w:rsidRPr="00BF58C4">
        <w:t>efficiency</w:t>
      </w:r>
      <w:r w:rsidR="00D73D8D">
        <w:t xml:space="preserve">. </w:t>
      </w:r>
      <w:r w:rsidR="00690E52">
        <w:t>It</w:t>
      </w:r>
      <w:r w:rsidR="00D73D8D">
        <w:t xml:space="preserve"> is willing to go to war to achieve its objective, but </w:t>
      </w:r>
      <w:r w:rsidR="001B35A0">
        <w:t>limited</w:t>
      </w:r>
      <w:r w:rsidR="00D73D8D">
        <w:t xml:space="preserve"> conflict is easier </w:t>
      </w:r>
      <w:r w:rsidR="00F90F86">
        <w:t>and/or</w:t>
      </w:r>
      <w:r w:rsidR="00D73D8D">
        <w:t xml:space="preserve"> lower cost. The second </w:t>
      </w:r>
      <w:r w:rsidR="00372C6F">
        <w:t>type is constrained</w:t>
      </w:r>
      <w:r w:rsidR="00D73D8D">
        <w:t xml:space="preserve"> by </w:t>
      </w:r>
      <w:r w:rsidR="00D73D8D" w:rsidRPr="00BF58C4">
        <w:t>deterrence</w:t>
      </w:r>
      <w:r w:rsidR="00D73D8D">
        <w:t xml:space="preserve">. </w:t>
      </w:r>
      <w:r w:rsidR="00B1378E">
        <w:t>R</w:t>
      </w:r>
      <w:r w:rsidR="00D73D8D">
        <w:t xml:space="preserve">etaliation or related consequences </w:t>
      </w:r>
      <w:r w:rsidR="00D73D8D">
        <w:lastRenderedPageBreak/>
        <w:t>(</w:t>
      </w:r>
      <w:r w:rsidR="00372C6F">
        <w:t xml:space="preserve">incursions, </w:t>
      </w:r>
      <w:r w:rsidR="00D73D8D">
        <w:t xml:space="preserve">sanctions, etc.) </w:t>
      </w:r>
      <w:r w:rsidR="00372C6F">
        <w:t>that result from its ambiguous use</w:t>
      </w:r>
      <w:r w:rsidR="00D73D8D">
        <w:t xml:space="preserve"> of force </w:t>
      </w:r>
      <w:r w:rsidR="00B1378E">
        <w:t>are</w:t>
      </w:r>
      <w:r w:rsidR="00D73D8D">
        <w:t xml:space="preserve"> </w:t>
      </w:r>
      <w:r w:rsidR="00B1378E">
        <w:t xml:space="preserve">seen as </w:t>
      </w:r>
      <w:r w:rsidR="00D73D8D">
        <w:t xml:space="preserve">sufficiently costly that the initiator refrains from pursuing </w:t>
      </w:r>
      <w:proofErr w:type="gramStart"/>
      <w:r w:rsidR="00372C6F">
        <w:t>them, or</w:t>
      </w:r>
      <w:proofErr w:type="gramEnd"/>
      <w:r w:rsidR="00372C6F">
        <w:t xml:space="preserve"> conducts them more ineffectively simply to save face</w:t>
      </w:r>
      <w:r w:rsidR="00D73D8D">
        <w:t xml:space="preserve">. </w:t>
      </w:r>
      <w:r w:rsidR="00372C6F">
        <w:t>This situation might be described as</w:t>
      </w:r>
      <w:r w:rsidR="00D73D8D">
        <w:t xml:space="preserve"> pure gray zone conflict as discussed above in the typology of Table 1</w:t>
      </w:r>
      <w:r w:rsidR="00372C6F">
        <w:t xml:space="preserve">. The </w:t>
      </w:r>
      <w:r w:rsidR="00D73D8D">
        <w:t>former</w:t>
      </w:r>
      <w:r w:rsidR="00372C6F">
        <w:t xml:space="preserve"> situation, by contrast,</w:t>
      </w:r>
      <w:r w:rsidR="00D73D8D">
        <w:t xml:space="preserve"> is </w:t>
      </w:r>
      <w:r w:rsidR="00372C6F">
        <w:t xml:space="preserve">a mixed or behavioral form of gray zone conflict. </w:t>
      </w:r>
      <w:r w:rsidR="00690E52">
        <w:t>A pressing challenge for the target of limited aggression is</w:t>
      </w:r>
      <w:r w:rsidR="00B1378E">
        <w:t xml:space="preserve"> how</w:t>
      </w:r>
      <w:r w:rsidR="00690E52">
        <w:t xml:space="preserve"> to glean the aggressor’s valuation of the stakes and willingness to run risks to achieve them.</w:t>
      </w:r>
    </w:p>
    <w:p w14:paraId="7D12B861" w14:textId="6B056ED6" w:rsidR="003E13AF" w:rsidRDefault="000C61EA" w:rsidP="00BF58C4">
      <w:pPr>
        <w:spacing w:after="200" w:line="276" w:lineRule="auto"/>
        <w:ind w:left="-15" w:right="0" w:firstLine="0"/>
      </w:pPr>
      <w:r>
        <w:t xml:space="preserve">This </w:t>
      </w:r>
      <w:r w:rsidR="009647DC">
        <w:t xml:space="preserve">situation </w:t>
      </w:r>
      <w:r>
        <w:t xml:space="preserve">recapitulates the basic logic of the </w:t>
      </w:r>
      <w:r w:rsidR="003E13AF">
        <w:t>security dilemma</w:t>
      </w:r>
      <w:r w:rsidR="00161322">
        <w:t xml:space="preserve"> </w:t>
      </w:r>
      <w:r w:rsidR="00CE2918">
        <w:rPr>
          <w:rStyle w:val="FootnoteReference"/>
        </w:rPr>
        <w:footnoteReference w:id="51"/>
      </w:r>
      <w:r w:rsidR="003E13AF">
        <w:t xml:space="preserve">. The classic problem is to divine whether a state is satisfied with the status quo or </w:t>
      </w:r>
      <w:r>
        <w:t>has</w:t>
      </w:r>
      <w:r w:rsidR="003E13AF">
        <w:t xml:space="preserve"> revisionist</w:t>
      </w:r>
      <w:r>
        <w:t xml:space="preserve"> intentions</w:t>
      </w:r>
      <w:r w:rsidR="003E13AF">
        <w:t xml:space="preserve">. The spiral model applies to the former </w:t>
      </w:r>
      <w:r w:rsidR="00C87DE4">
        <w:t>while</w:t>
      </w:r>
      <w:r w:rsidR="003E13AF">
        <w:t xml:space="preserve"> the deterrence model </w:t>
      </w:r>
      <w:r w:rsidR="00C87DE4">
        <w:t xml:space="preserve">applies </w:t>
      </w:r>
      <w:r w:rsidR="003E13AF">
        <w:t xml:space="preserve">to the latter; applying the wrong model leads to </w:t>
      </w:r>
      <w:r w:rsidR="00C87DE4">
        <w:t xml:space="preserve">tragic </w:t>
      </w:r>
      <w:r w:rsidR="003E13AF">
        <w:t>escalation</w:t>
      </w:r>
      <w:r>
        <w:t xml:space="preserve"> (threatening status quo seekers)</w:t>
      </w:r>
      <w:r w:rsidR="00C87DE4">
        <w:t xml:space="preserve"> or preventable exploitation</w:t>
      </w:r>
      <w:r>
        <w:t xml:space="preserve"> (appeasing revisionists)</w:t>
      </w:r>
      <w:r w:rsidR="003E13AF">
        <w:t xml:space="preserve">. The difference here is that the gray zone actor is already known to be revisionist; the uncertainty is </w:t>
      </w:r>
      <w:r w:rsidR="00C87DE4">
        <w:t xml:space="preserve">thus </w:t>
      </w:r>
      <w:r w:rsidR="003E13AF">
        <w:t xml:space="preserve">more about </w:t>
      </w:r>
      <w:r w:rsidR="00C87DE4">
        <w:t xml:space="preserve">its </w:t>
      </w:r>
      <w:r w:rsidR="003E13AF">
        <w:t xml:space="preserve">resolve </w:t>
      </w:r>
      <w:r w:rsidR="00C87DE4">
        <w:t>t</w:t>
      </w:r>
      <w:r w:rsidR="003E13AF">
        <w:t>han</w:t>
      </w:r>
      <w:r w:rsidR="00C87DE4">
        <w:t xml:space="preserve"> its</w:t>
      </w:r>
      <w:r w:rsidR="003E13AF">
        <w:t xml:space="preserve">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w:t>
      </w:r>
      <w:r w:rsidR="00C87DE4">
        <w:t xml:space="preserve"> aggressor</w:t>
      </w:r>
      <w:r w:rsidR="003E13AF">
        <w:t xml:space="preserve">). If the problem of the security dilemma is to decide </w:t>
      </w:r>
      <w:r w:rsidR="003E13AF">
        <w:rPr>
          <w:i/>
        </w:rPr>
        <w:t xml:space="preserve">whether </w:t>
      </w:r>
      <w:r w:rsidR="003E13AF">
        <w:t xml:space="preserve">to deter, the problem of the gray zone is to decide </w:t>
      </w:r>
      <w:r w:rsidR="003E13AF">
        <w:rPr>
          <w:i/>
        </w:rPr>
        <w:t>how much</w:t>
      </w:r>
      <w:r w:rsidR="003E13AF">
        <w:t>.</w:t>
      </w:r>
      <w:r w:rsidR="00FC438C">
        <w:t xml:space="preserve"> </w:t>
      </w:r>
      <w:r w:rsidR="00AE0BFF">
        <w:t>Even</w:t>
      </w:r>
      <w:r w:rsidR="00FC438C">
        <w:t xml:space="preserve"> if all actors are assumed to harbor revisionist ambitions </w:t>
      </w:r>
      <w:r w:rsidR="00CE2918">
        <w:rPr>
          <w:rStyle w:val="FootnoteReference"/>
        </w:rPr>
        <w:footnoteReference w:id="52"/>
      </w:r>
      <w:r w:rsidR="00FC438C">
        <w:t xml:space="preserve">, security </w:t>
      </w:r>
      <w:r w:rsidR="00EC55FB">
        <w:t>dilemma-</w:t>
      </w:r>
      <w:r w:rsidR="009647DC">
        <w:t xml:space="preserve">like dynamics </w:t>
      </w:r>
      <w:r w:rsidR="00FC438C">
        <w:t>still appl</w:t>
      </w:r>
      <w:r w:rsidR="009647DC">
        <w:t>y in</w:t>
      </w:r>
      <w:r w:rsidR="00AE0BFF">
        <w:t xml:space="preserve"> determining</w:t>
      </w:r>
      <w:r w:rsidR="00FC438C">
        <w:t xml:space="preserve"> the ways in which they are deterred from </w:t>
      </w:r>
      <w:r w:rsidR="00EC55FB">
        <w:t>given behavior</w:t>
      </w:r>
      <w:r w:rsidR="00FC438C">
        <w:t>.</w:t>
      </w:r>
      <w:r w:rsidR="003E13AF">
        <w:t xml:space="preserve"> </w:t>
      </w:r>
    </w:p>
    <w:p w14:paraId="1FB0C49B" w14:textId="77777777" w:rsidR="0099449B" w:rsidRDefault="0099449B" w:rsidP="0099449B">
      <w:pPr>
        <w:pStyle w:val="Heading2"/>
        <w:spacing w:after="200"/>
        <w:ind w:firstLine="0"/>
      </w:pPr>
      <w:bookmarkStart w:id="10" w:name="_mtpq2ba65iue" w:colFirst="0" w:colLast="0"/>
      <w:bookmarkEnd w:id="10"/>
      <w:r>
        <w:t>The Deterrence Gradient</w:t>
      </w:r>
    </w:p>
    <w:p w14:paraId="436BDCB9" w14:textId="22B6ADCC" w:rsidR="001F771E" w:rsidRDefault="00AE0BFF" w:rsidP="0099449B">
      <w:pPr>
        <w:spacing w:after="200"/>
        <w:ind w:firstLine="0"/>
      </w:pPr>
      <w:r>
        <w:t xml:space="preserve">If conflict varies continuously between peace and war, then if might be explained by treating deterrence success and failure as </w:t>
      </w:r>
      <w:r w:rsidR="003D2C41">
        <w:t xml:space="preserve">also </w:t>
      </w:r>
      <w:r>
        <w:t xml:space="preserve">variable. </w:t>
      </w:r>
      <w:r w:rsidR="0099449B">
        <w:t xml:space="preserve">If gray zone conflict is a second-best reaction to successful deterrence, then </w:t>
      </w:r>
      <w:r w:rsidR="001F771E">
        <w:t>conflict severity should be inversely proportional to the</w:t>
      </w:r>
      <w:r w:rsidR="0099449B">
        <w:t xml:space="preserve"> </w:t>
      </w:r>
      <w:r w:rsidR="001F771E">
        <w:t>credibility</w:t>
      </w:r>
      <w:r w:rsidR="0099449B">
        <w:t xml:space="preserve"> of deterrence.</w:t>
      </w:r>
      <w:r w:rsidR="001F771E">
        <w:t xml:space="preserve"> Conflict motivated by efficiency should not be so correlated.</w:t>
      </w:r>
      <w:r w:rsidR="0099449B">
        <w:t xml:space="preserve"> </w:t>
      </w:r>
      <w:r w:rsidR="00A403C9">
        <w:t>Furthermore, conflict at the weaker end of the deterrence gradient should be more motivated by efficiency concerns than fears about retaliatory consequences.</w:t>
      </w:r>
    </w:p>
    <w:p w14:paraId="5B732B26" w14:textId="61C9A17E" w:rsidR="0099449B" w:rsidRDefault="001F771E" w:rsidP="0099449B">
      <w:pPr>
        <w:spacing w:after="200"/>
        <w:ind w:firstLine="0"/>
      </w:pPr>
      <w:r>
        <w:t>To operationalize this hypothesis, we</w:t>
      </w:r>
      <w:r w:rsidR="0099449B">
        <w:t xml:space="preserve"> posit a deterrence analogue to the military loss of strength gradient.</w:t>
      </w:r>
      <w:r w:rsidR="00354AA2">
        <w:rPr>
          <w:rStyle w:val="FootnoteReference"/>
        </w:rPr>
        <w:footnoteReference w:id="53"/>
      </w:r>
      <w:r w:rsidR="0099449B">
        <w:t xml:space="preserve"> </w:t>
      </w:r>
      <w:r w:rsidR="0099449B" w:rsidRPr="0099449B">
        <w:t xml:space="preserve">All things being equal, a state requires more supplies and troops to achieve the same concentration of force further from its border. Distant deployments involve extended supply lines and exposed flanks. An army </w:t>
      </w:r>
      <w:r w:rsidR="003D2C41">
        <w:t>may</w:t>
      </w:r>
      <w:r w:rsidR="003D2C41" w:rsidRPr="0099449B">
        <w:t xml:space="preserve"> </w:t>
      </w:r>
      <w:r w:rsidR="0099449B" w:rsidRPr="0099449B">
        <w:t>also lack sympathetic populations and local knowledge in “contested zones” far from home.</w:t>
      </w:r>
      <w:r w:rsidR="006C2BC2">
        <w:rPr>
          <w:rStyle w:val="FootnoteReference"/>
        </w:rPr>
        <w:footnoteReference w:id="54"/>
      </w:r>
      <w:r w:rsidR="0099449B" w:rsidRPr="0099449B">
        <w:t xml:space="preserve"> The loss of strength can be </w:t>
      </w:r>
      <w:r w:rsidR="0099449B" w:rsidRPr="0099449B">
        <w:lastRenderedPageBreak/>
        <w:t>partially offset by basing and mobility</w:t>
      </w:r>
      <w:r w:rsidR="0099449B">
        <w:t xml:space="preserve"> but not eliminated due to the enduring vulnerabilities of naval power and frictions with host nations.</w:t>
      </w:r>
      <w:r w:rsidR="00917743">
        <w:rPr>
          <w:rStyle w:val="FootnoteReference"/>
        </w:rPr>
        <w:footnoteReference w:id="55"/>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r w:rsidR="00FA7A4E">
        <w:t xml:space="preserve">an adequate and convenient </w:t>
      </w:r>
      <w:r>
        <w:t>proxy for other factors that do.</w:t>
      </w:r>
    </w:p>
    <w:p w14:paraId="6C4B3D86" w14:textId="5BE1C5FE" w:rsidR="0099449B" w:rsidRDefault="0099449B" w:rsidP="0099449B">
      <w:pPr>
        <w:spacing w:after="200"/>
        <w:ind w:firstLine="0"/>
      </w:pPr>
      <w:r>
        <w:t xml:space="preserve">Insofar as military power is affected by a loss of strength gradient, deterrence that relies on </w:t>
      </w:r>
      <w:r w:rsidR="00527057">
        <w:t xml:space="preserve">military </w:t>
      </w:r>
      <w:r>
        <w:t xml:space="preserve">power should </w:t>
      </w:r>
      <w:r w:rsidR="00527057">
        <w:t>also decay in distance</w:t>
      </w:r>
      <w:r>
        <w:t xml:space="preserve">. There are </w:t>
      </w:r>
      <w:r w:rsidR="0016229E">
        <w:t>other</w:t>
      </w:r>
      <w:r>
        <w:t xml:space="preserve"> reasons to expect resolve to </w:t>
      </w:r>
      <w:r w:rsidR="00527057">
        <w:t>be affected by</w:t>
      </w:r>
      <w:r>
        <w:t xml:space="preserve"> </w:t>
      </w:r>
      <w:r w:rsidR="00527057">
        <w:t>proximity</w:t>
      </w:r>
      <w:r>
        <w:t xml:space="preserve">. All things being equal, states likely care more about </w:t>
      </w:r>
      <w:r w:rsidR="0016229E">
        <w:t>regional issues that more directly affect their populations than about happenings</w:t>
      </w:r>
      <w:r>
        <w:t xml:space="preserve"> far from home. Defenders </w:t>
      </w:r>
      <w:r w:rsidR="0016229E">
        <w:t xml:space="preserve">will thus be </w:t>
      </w:r>
      <w:r>
        <w:t xml:space="preserve">more resolved to resist aggression on their borders, </w:t>
      </w:r>
      <w:r w:rsidR="0016229E">
        <w:t xml:space="preserve">while </w:t>
      </w:r>
      <w:r>
        <w:t>attackers</w:t>
      </w:r>
      <w:r w:rsidR="0016229E">
        <w:t xml:space="preserve"> campaigning from distant shores will</w:t>
      </w:r>
      <w:r>
        <w:t xml:space="preserve"> are less </w:t>
      </w:r>
      <w:r w:rsidR="0016229E">
        <w:t>so</w:t>
      </w:r>
      <w:r>
        <w:t xml:space="preserve">. Alliances </w:t>
      </w:r>
      <w:r w:rsidR="00527057">
        <w:t>with</w:t>
      </w:r>
      <w:r>
        <w:t xml:space="preserve"> ne</w:t>
      </w:r>
      <w:r w:rsidR="00527057">
        <w:t>ighboring</w:t>
      </w:r>
      <w:r>
        <w:t xml:space="preserve"> states should similarly be more credible since patrons </w:t>
      </w:r>
      <w:r w:rsidR="00527057">
        <w:t>are generally</w:t>
      </w:r>
      <w:r>
        <w:t xml:space="preserve"> more willing to defend a proximate client.</w:t>
      </w:r>
      <w:r w:rsidR="00917743">
        <w:rPr>
          <w:rStyle w:val="FootnoteReference"/>
        </w:rPr>
        <w:footnoteReference w:id="56"/>
      </w:r>
      <w:r>
        <w:t xml:space="preserve"> </w:t>
      </w:r>
      <w:r w:rsidR="0016229E">
        <w:t>Conversely,</w:t>
      </w:r>
      <w:r>
        <w:t xml:space="preserve"> commitments should be less credible with distance as well, as patrons will fear entrapment by distant allies</w:t>
      </w:r>
      <w:r w:rsidR="0016229E">
        <w:t xml:space="preserve"> with stronger local interests </w:t>
      </w:r>
      <w:r w:rsidR="00CE2918">
        <w:rPr>
          <w:rStyle w:val="FootnoteReference"/>
        </w:rPr>
        <w:footnoteReference w:id="57"/>
      </w:r>
      <w:r>
        <w:t xml:space="preserve">. </w:t>
      </w:r>
      <w:r w:rsidR="0016229E">
        <w:t>Extended deterrence—the use of threats to protect allies beyond a state’s borders—is thus widely believed to be less credible than homeland deterrence.</w:t>
      </w:r>
      <w:r w:rsidR="00917743">
        <w:rPr>
          <w:rStyle w:val="FootnoteReference"/>
        </w:rPr>
        <w:footnoteReference w:id="58"/>
      </w:r>
      <w:r w:rsidR="0016229E">
        <w:t xml:space="preserve"> The </w:t>
      </w:r>
      <w:r w:rsidR="00527057">
        <w:t>NATO</w:t>
      </w:r>
      <w:r w:rsidR="0016229E">
        <w:t xml:space="preserve"> solution to this problem </w:t>
      </w:r>
      <w:r w:rsidR="00527057">
        <w:t>has been</w:t>
      </w:r>
      <w:r w:rsidR="0016229E">
        <w:t xml:space="preserve"> forward deployment of </w:t>
      </w:r>
      <w:r w:rsidR="00527057">
        <w:t>U.S. forces</w:t>
      </w:r>
      <w:r w:rsidR="0016229E">
        <w:t>.</w:t>
      </w:r>
    </w:p>
    <w:p w14:paraId="638632DC" w14:textId="59085993" w:rsidR="00762838" w:rsidRDefault="00762838" w:rsidP="0099449B">
      <w:pPr>
        <w:spacing w:after="200"/>
        <w:ind w:firstLine="0"/>
      </w:pPr>
      <w:r>
        <w:t xml:space="preserve">Alliance commitments are to extended deterrence what forward basing is to the loss-of-strength gradient; both mechanisms seek to roll back the damaging effects of distance. Just as not all outposts are created equal, furthermore, some commitments are stronger than others. While NATO security guarantees nominally cover all </w:t>
      </w:r>
      <w:proofErr w:type="gramStart"/>
      <w:r>
        <w:t>29 member</w:t>
      </w:r>
      <w:proofErr w:type="gramEnd"/>
      <w:r w:rsidR="00527057">
        <w:t xml:space="preserve"> </w:t>
      </w:r>
      <w:r>
        <w:t>s</w:t>
      </w:r>
      <w:r w:rsidR="00527057">
        <w:t>tates</w:t>
      </w:r>
      <w:r>
        <w:t xml:space="preserve"> equally, the 12 founding members in Western Europe and North America are arguably more confident in this commitment.</w:t>
      </w:r>
      <w:r w:rsidR="00917743">
        <w:rPr>
          <w:rStyle w:val="FootnoteReference"/>
        </w:rPr>
        <w:footnoteReference w:id="59"/>
      </w:r>
      <w:r>
        <w:t xml:space="preserve"> Indeed, recent Eastern European entrants have questioned NATO resolve. </w:t>
      </w:r>
      <w:r w:rsidR="00527057">
        <w:t xml:space="preserve">Declarations </w:t>
      </w:r>
      <w:r>
        <w:t xml:space="preserve">that there </w:t>
      </w:r>
      <w:r w:rsidR="00527057">
        <w:t xml:space="preserve">is </w:t>
      </w:r>
      <w:r>
        <w:t xml:space="preserve">no second tier </w:t>
      </w:r>
      <w:r w:rsidR="00527057">
        <w:t xml:space="preserve">in NATO </w:t>
      </w:r>
      <w:r>
        <w:t>simply underscore this concern. Eastern European</w:t>
      </w:r>
      <w:r w:rsidR="00527057">
        <w:t xml:space="preserve"> </w:t>
      </w:r>
      <w:r>
        <w:t>members also appear to have greater need of</w:t>
      </w:r>
      <w:r w:rsidR="005925A4">
        <w:t xml:space="preserve"> protection,</w:t>
      </w:r>
      <w:r>
        <w:t xml:space="preserve"> given that Russia is both more interested in, and </w:t>
      </w:r>
      <w:r w:rsidR="005925A4">
        <w:t xml:space="preserve">better </w:t>
      </w:r>
      <w:r>
        <w:t xml:space="preserve">able to, control territory near </w:t>
      </w:r>
      <w:r w:rsidR="00527057">
        <w:t>its</w:t>
      </w:r>
      <w:r>
        <w:t xml:space="preserve"> borders.</w:t>
      </w:r>
      <w:r w:rsidR="00917743">
        <w:rPr>
          <w:rStyle w:val="FootnoteReference"/>
        </w:rPr>
        <w:footnoteReference w:id="60"/>
      </w:r>
      <w:r>
        <w:t xml:space="preserve"> In sum, </w:t>
      </w:r>
      <w:r>
        <w:lastRenderedPageBreak/>
        <w:t xml:space="preserve">Western resolve and capability decreases from West to East while Russian resolve and capability increases. </w:t>
      </w:r>
    </w:p>
    <w:p w14:paraId="5509B20C" w14:textId="5A495370" w:rsidR="00474772" w:rsidRDefault="0099449B" w:rsidP="00B61712">
      <w:pPr>
        <w:spacing w:after="200"/>
        <w:ind w:firstLine="0"/>
      </w:pPr>
      <w:r>
        <w:t xml:space="preserve">Technology conditions but does not eliminate geography. Cyberspace seems to </w:t>
      </w:r>
      <w:proofErr w:type="gramStart"/>
      <w:r>
        <w:t>open up</w:t>
      </w:r>
      <w:proofErr w:type="gramEnd"/>
      <w:r>
        <w:t xml:space="preserve"> the entire world to anyone with an internet connection. Yet most states can and do enforce their laws on the digital infrastructure within their borders</w:t>
      </w:r>
      <w:r w:rsidR="0077666F">
        <w:t>, which they connect across borders for good economic reasons</w:t>
      </w:r>
      <w:r>
        <w:t>.</w:t>
      </w:r>
      <w:r w:rsidR="00917743">
        <w:rPr>
          <w:rStyle w:val="FootnoteReference"/>
        </w:rPr>
        <w:footnoteReference w:id="61"/>
      </w:r>
      <w:r>
        <w:t xml:space="preserve"> The </w:t>
      </w:r>
      <w:r w:rsidR="0077666F">
        <w:t>terrestrial</w:t>
      </w:r>
      <w:r>
        <w:t xml:space="preserve"> metaphor of “cyberspace” </w:t>
      </w:r>
      <w:commentRangeStart w:id="11"/>
      <w:r w:rsidR="0077666F" w:rsidRPr="00917743">
        <w:t>elides</w:t>
      </w:r>
      <w:commentRangeEnd w:id="11"/>
      <w:r w:rsidR="00325572" w:rsidRPr="00917743">
        <w:rPr>
          <w:rStyle w:val="CommentReference"/>
        </w:rPr>
        <w:commentReference w:id="11"/>
      </w:r>
      <w:r w:rsidR="0077666F">
        <w:t xml:space="preserve"> the mutual </w:t>
      </w:r>
      <w:r w:rsidR="005A0F0C">
        <w:t>interests actors have in building and maintai</w:t>
      </w:r>
      <w:r w:rsidR="00490CBD">
        <w:t>n</w:t>
      </w:r>
      <w:r w:rsidR="005A0F0C">
        <w:t>ing</w:t>
      </w:r>
      <w:r w:rsidR="0077666F">
        <w:t xml:space="preserve"> the sociotechnical institutions that enabl</w:t>
      </w:r>
      <w:r>
        <w:t>e</w:t>
      </w:r>
      <w:r w:rsidR="0077666F">
        <w:t xml:space="preserve"> them to share</w:t>
      </w:r>
      <w:r>
        <w:t xml:space="preserve"> information </w:t>
      </w:r>
      <w:r w:rsidR="005A0F0C">
        <w:t>and make money</w:t>
      </w:r>
      <w:r w:rsidR="00917743">
        <w:t>.</w:t>
      </w:r>
      <w:r w:rsidR="00917743">
        <w:rPr>
          <w:rStyle w:val="FootnoteReference"/>
        </w:rPr>
        <w:footnoteReference w:id="62"/>
      </w:r>
      <w:r>
        <w:t xml:space="preserve"> What happens in the cyber domain is conditioned by </w:t>
      </w:r>
      <w:r w:rsidR="0077666F">
        <w:t>the power and interests of actors in other domains</w:t>
      </w:r>
      <w:r>
        <w:t xml:space="preserve">. </w:t>
      </w:r>
      <w:r w:rsidR="0077666F">
        <w:t>Indeed, cyber conflict appears to be concentrated along the fissures of traditional geographic rivalries</w:t>
      </w:r>
      <w:r w:rsidR="00917743">
        <w:t>.</w:t>
      </w:r>
      <w:r w:rsidR="00CE2918">
        <w:rPr>
          <w:rStyle w:val="FootnoteReference"/>
        </w:rPr>
        <w:footnoteReference w:id="63"/>
      </w:r>
      <w:r>
        <w:t xml:space="preserve"> </w:t>
      </w:r>
    </w:p>
    <w:p w14:paraId="7EB1D853" w14:textId="03A3ADDF" w:rsidR="0099449B" w:rsidRDefault="005A0F0C" w:rsidP="00BF58C4">
      <w:pPr>
        <w:spacing w:after="200"/>
        <w:ind w:firstLine="0"/>
      </w:pPr>
      <w:r>
        <w:t>To the extent that cyberspace does enable remote conflict, we should expect it to be used for limited aims operations that do not directly threaten vital interests.</w:t>
      </w:r>
      <w:r w:rsidR="00042B06">
        <w:t xml:space="preserve"> Because </w:t>
      </w:r>
      <w:r w:rsidR="00917743">
        <w:t>cyber-attacks</w:t>
      </w:r>
      <w:r w:rsidR="00042B06">
        <w:t xml:space="preserve"> rarely lead to escalation, the cyber domain is</w:t>
      </w:r>
      <w:r w:rsidR="00F76B0D">
        <w:t xml:space="preserve"> particularly</w:t>
      </w:r>
      <w:r w:rsidR="00042B06">
        <w:t xml:space="preserve"> attractive for risk-sensitive revisionists.</w:t>
      </w:r>
      <w:r w:rsidR="00917743">
        <w:rPr>
          <w:rStyle w:val="FootnoteReference"/>
        </w:rPr>
        <w:footnoteReference w:id="64"/>
      </w:r>
      <w:r>
        <w:t xml:space="preserve"> Similarly, navies </w:t>
      </w:r>
      <w:r w:rsidR="00F76B0D">
        <w:t>have traditionally been useful for</w:t>
      </w:r>
      <w:r>
        <w:t xml:space="preserve"> limited war because they </w:t>
      </w:r>
      <w:r w:rsidR="00F76B0D">
        <w:t>could</w:t>
      </w:r>
      <w:r>
        <w:t xml:space="preserve"> raid an adversary’s distant assets</w:t>
      </w:r>
      <w:r w:rsidR="0099449B">
        <w:t xml:space="preserve"> </w:t>
      </w:r>
      <w:r>
        <w:t xml:space="preserve">without </w:t>
      </w:r>
      <w:r w:rsidR="00F76B0D">
        <w:t xml:space="preserve">directly </w:t>
      </w:r>
      <w:r>
        <w:t>threatening its</w:t>
      </w:r>
      <w:r w:rsidR="00F76B0D">
        <w:t xml:space="preserve"> homeland</w:t>
      </w:r>
      <w:r w:rsidR="0099449B">
        <w:t>.</w:t>
      </w:r>
      <w:r w:rsidR="00917743">
        <w:rPr>
          <w:rStyle w:val="FootnoteReference"/>
        </w:rPr>
        <w:footnoteReference w:id="65"/>
      </w:r>
      <w:r w:rsidR="0099449B">
        <w:t xml:space="preserve"> The cybersecurity literature offers two logics for the </w:t>
      </w:r>
      <w:r w:rsidR="00474772">
        <w:t xml:space="preserve">empirical pattern of restraint </w:t>
      </w:r>
      <w:r w:rsidR="003179E9">
        <w:t xml:space="preserve">observed </w:t>
      </w:r>
      <w:r w:rsidR="00474772">
        <w:t>in the cyber domain</w:t>
      </w:r>
      <w:r w:rsidR="00F76B0D">
        <w:t>, and g</w:t>
      </w:r>
      <w:r w:rsidR="0099449B">
        <w:t>eography plays a tacit role in both.</w:t>
      </w:r>
      <w:r w:rsidR="00917743">
        <w:rPr>
          <w:rStyle w:val="FootnoteReference"/>
        </w:rPr>
        <w:footnoteReference w:id="66"/>
      </w:r>
      <w:r w:rsidR="0099449B">
        <w:t xml:space="preserve"> First, </w:t>
      </w:r>
      <w:r w:rsidR="00474772">
        <w:t>complex</w:t>
      </w:r>
      <w:r w:rsidR="0099449B">
        <w:t xml:space="preserve"> offensive cyber operations</w:t>
      </w:r>
      <w:r w:rsidR="00474772">
        <w:t xml:space="preserve"> require detailed intelligence preparation</w:t>
      </w:r>
      <w:r w:rsidR="00F76B0D">
        <w:t>, often including human intelligence.</w:t>
      </w:r>
      <w:r w:rsidR="00917743">
        <w:rPr>
          <w:rStyle w:val="FootnoteReference"/>
        </w:rPr>
        <w:footnoteReference w:id="67"/>
      </w:r>
      <w:r w:rsidR="00F76B0D">
        <w:t xml:space="preserve"> It is noteworthy that the United States relied on a regional partner (Israel) for the Stuxnet operation. Intelligence</w:t>
      </w:r>
      <w:r w:rsidR="00474772">
        <w:t xml:space="preserve"> is</w:t>
      </w:r>
      <w:r w:rsidR="0099449B">
        <w:t xml:space="preserve"> harder to </w:t>
      </w:r>
      <w:r w:rsidR="00474772">
        <w:t xml:space="preserve">collect and </w:t>
      </w:r>
      <w:r w:rsidR="00F76B0D">
        <w:t>understand</w:t>
      </w:r>
      <w:r w:rsidR="00474772">
        <w:t xml:space="preserve"> from a distance, and </w:t>
      </w:r>
      <w:r w:rsidR="00F76B0D">
        <w:t xml:space="preserve">poor </w:t>
      </w:r>
      <w:r w:rsidR="00F76B0D">
        <w:lastRenderedPageBreak/>
        <w:t>intelligence</w:t>
      </w:r>
      <w:r w:rsidR="00474772">
        <w:t xml:space="preserve"> enhances cyber deterrence-by-denial</w:t>
      </w:r>
      <w:r w:rsidR="0099449B">
        <w:t xml:space="preserve">. Second, </w:t>
      </w:r>
      <w:r w:rsidR="00474772">
        <w:t>attribution and retaliation depend on capabilities in more traditional domains</w:t>
      </w:r>
      <w:r w:rsidR="00F76B0D">
        <w:t>.</w:t>
      </w:r>
      <w:r w:rsidR="00917743">
        <w:rPr>
          <w:rStyle w:val="FootnoteReference"/>
        </w:rPr>
        <w:footnoteReference w:id="68"/>
      </w:r>
      <w:r w:rsidR="00F76B0D">
        <w:t xml:space="preserve"> Thus</w:t>
      </w:r>
      <w:r w:rsidR="00474772">
        <w:t xml:space="preserve"> deterrence-by-punishment </w:t>
      </w:r>
      <w:r w:rsidR="00F76B0D">
        <w:t xml:space="preserve">of cyber aggression </w:t>
      </w:r>
      <w:r w:rsidR="00474772">
        <w:t xml:space="preserve">will be affected by the same deterrence gradient that affects </w:t>
      </w:r>
      <w:r w:rsidR="00F76B0D">
        <w:t xml:space="preserve">cross-domain military capabilities in </w:t>
      </w:r>
      <w:r w:rsidR="001E21B6">
        <w:t>the terrestrial world</w:t>
      </w:r>
      <w:r w:rsidR="0099449B">
        <w:t xml:space="preserve">.  </w:t>
      </w:r>
    </w:p>
    <w:p w14:paraId="0B185F0E" w14:textId="06F05D57" w:rsidR="00657E08" w:rsidRDefault="0029769F">
      <w:pPr>
        <w:pStyle w:val="Heading2"/>
        <w:spacing w:after="200"/>
        <w:ind w:firstLine="0"/>
      </w:pPr>
      <w:r>
        <w:t>A Note on</w:t>
      </w:r>
      <w:r w:rsidR="00483D1B">
        <w:t xml:space="preserve"> Third Parties</w:t>
      </w:r>
    </w:p>
    <w:p w14:paraId="2BB377D9" w14:textId="6B7DEEAE" w:rsidR="0029769F" w:rsidRDefault="00483D1B" w:rsidP="0047062D">
      <w:pPr>
        <w:spacing w:after="200" w:line="276" w:lineRule="auto"/>
        <w:ind w:left="-15" w:right="0" w:firstLine="0"/>
      </w:pPr>
      <w:r>
        <w:t xml:space="preserve">As </w:t>
      </w:r>
      <w:r w:rsidR="001E21B6">
        <w:t xml:space="preserve">the </w:t>
      </w:r>
      <w:r>
        <w:t xml:space="preserve">logic </w:t>
      </w:r>
      <w:r w:rsidR="001E21B6">
        <w:t xml:space="preserve">of our argument </w:t>
      </w:r>
      <w:r>
        <w:t xml:space="preserve">is dyadic, the role of third parties deserves </w:t>
      </w:r>
      <w:r w:rsidR="0029769F">
        <w:t xml:space="preserve">a brief </w:t>
      </w:r>
      <w:r>
        <w:t xml:space="preserve">comment. Many treatments of covert warfare focus on military aid to local proxies from a powerful patron. </w:t>
      </w:r>
      <w:r w:rsidR="000C61EA">
        <w:t>As an analytical first cut, a</w:t>
      </w:r>
      <w:r w:rsidR="00AA506D">
        <w:t xml:space="preserve"> complex portfolio of actors can be </w:t>
      </w:r>
      <w:r w:rsidR="00FB500A">
        <w:t xml:space="preserve">simplified </w:t>
      </w:r>
      <w:r w:rsidR="00917743">
        <w:t>as a dyadic pairing in gray zone conflict.</w:t>
      </w:r>
      <w:r w:rsidR="00CE2918">
        <w:rPr>
          <w:rStyle w:val="FootnoteReference"/>
        </w:rPr>
        <w:footnoteReference w:id="69"/>
      </w:r>
      <w:r w:rsidR="00882695">
        <w:t xml:space="preserve"> T</w:t>
      </w:r>
      <w:r w:rsidR="000C61EA">
        <w:t>hat is</w:t>
      </w:r>
      <w:r w:rsidR="00AA506D">
        <w:t xml:space="preserve">, </w:t>
      </w:r>
      <w:r>
        <w:t xml:space="preserve">a target’s allies can be </w:t>
      </w:r>
      <w:r w:rsidR="00FB500A">
        <w:t xml:space="preserve">treated </w:t>
      </w:r>
      <w:r>
        <w:t>as part of the target’s capabilit</w:t>
      </w:r>
      <w:r w:rsidR="00AA506D">
        <w:t>ies</w:t>
      </w:r>
      <w:r>
        <w:t xml:space="preserve">, </w:t>
      </w:r>
      <w:r w:rsidR="0029769F">
        <w:t xml:space="preserve">discounted by </w:t>
      </w:r>
      <w:r>
        <w:t>the level of commitment</w:t>
      </w:r>
      <w:r w:rsidR="000C61EA">
        <w:t xml:space="preserve"> (or disunity)</w:t>
      </w:r>
      <w:r>
        <w:t xml:space="preserve"> in </w:t>
      </w:r>
      <w:r w:rsidR="00AA506D">
        <w:t>an</w:t>
      </w:r>
      <w:r>
        <w:t xml:space="preserve"> alliance. </w:t>
      </w:r>
      <w:r w:rsidR="0029769F">
        <w:t>Lanoszka</w:t>
      </w:r>
      <w:r w:rsidR="00917743">
        <w:t xml:space="preserve"> </w:t>
      </w:r>
      <w:r w:rsidR="009E5ABE">
        <w:t>argues</w:t>
      </w:r>
      <w:r w:rsidR="0029769F">
        <w:t xml:space="preserve"> that </w:t>
      </w:r>
      <w:r w:rsidR="009E5ABE">
        <w:t>a gray zone</w:t>
      </w:r>
      <w:r w:rsidR="0029769F">
        <w:t xml:space="preserve"> initiator must have escalation dominance over the target, e.g., Russia has more capability at every rung of the escalation ladder than Ukraine or Lithuania.</w:t>
      </w:r>
      <w:r w:rsidR="00917743">
        <w:rPr>
          <w:rStyle w:val="FootnoteReference"/>
        </w:rPr>
        <w:footnoteReference w:id="70"/>
      </w:r>
      <w:r w:rsidR="0029769F">
        <w:t xml:space="preserve"> </w:t>
      </w:r>
      <w:r w:rsidR="009E5ABE">
        <w:t>His</w:t>
      </w:r>
      <w:r w:rsidR="0029769F">
        <w:t xml:space="preserve"> </w:t>
      </w:r>
      <w:r w:rsidR="009E5ABE">
        <w:t>argument</w:t>
      </w:r>
      <w:r w:rsidR="0029769F">
        <w:t xml:space="preserve"> seems to run counter to our deterrence story until the weaker state is </w:t>
      </w:r>
      <w:r w:rsidR="00FB500A">
        <w:t>combined</w:t>
      </w:r>
      <w:r w:rsidR="0029769F">
        <w:t xml:space="preserve"> with its powerful protector(s). Russia may not be deterred by the Ukrainian military directly, but it calibrates its actions to avoid triggering a confrontation with NATO.</w:t>
      </w:r>
      <w:r w:rsidR="009E5ABE">
        <w:t xml:space="preserve"> More actors should thus be considered “capable” than </w:t>
      </w:r>
      <w:r w:rsidR="00FB500A">
        <w:t xml:space="preserve">if assessed </w:t>
      </w:r>
      <w:r w:rsidR="009E5ABE">
        <w:t>in purely bilateral terms.</w:t>
      </w:r>
    </w:p>
    <w:p w14:paraId="11E00CAF" w14:textId="0700BB3F" w:rsidR="0029769F" w:rsidRDefault="00F74A5D" w:rsidP="0047062D">
      <w:pPr>
        <w:spacing w:after="200" w:line="276" w:lineRule="auto"/>
        <w:ind w:left="-15" w:right="0" w:firstLine="0"/>
      </w:pPr>
      <w:r>
        <w:t>Importantly, alliances, commitment mechanisms, and other attempts to aggregate capabilities are often explicitly or implicitly designed to generate deterrence by reducing agency (autonomy) on the part of individual participants, making them behave more like a single unit.</w:t>
      </w:r>
      <w:r w:rsidR="00917743">
        <w:rPr>
          <w:rStyle w:val="FootnoteReference"/>
        </w:rPr>
        <w:footnoteReference w:id="71"/>
      </w:r>
      <w:r>
        <w:t xml:space="preserve"> Deterrence works if an ally might respond to a given provocation, but friction between them complicates deterrence </w:t>
      </w:r>
      <w:r w:rsidR="00FB500A">
        <w:t>effectiveness</w:t>
      </w:r>
      <w:r>
        <w:t>.</w:t>
      </w:r>
      <w:r w:rsidR="00917743">
        <w:rPr>
          <w:rStyle w:val="FootnoteReference"/>
        </w:rPr>
        <w:footnoteReference w:id="72"/>
      </w:r>
      <w:r>
        <w:t xml:space="preserve"> Indeed, misalignment of interests within an alliance (</w:t>
      </w:r>
      <w:r w:rsidR="0029769F">
        <w:t xml:space="preserve">or </w:t>
      </w:r>
      <w:r>
        <w:t xml:space="preserve">domestic civil politics) can serve to weaken deterrence and provide opportunities for gray zone intervention. </w:t>
      </w:r>
    </w:p>
    <w:p w14:paraId="3A1DF5CF" w14:textId="672FA4CB" w:rsidR="00657E08" w:rsidRDefault="00F74A5D" w:rsidP="0047062D">
      <w:pPr>
        <w:spacing w:after="200" w:line="276" w:lineRule="auto"/>
        <w:ind w:left="-15" w:right="0" w:firstLine="0"/>
      </w:pPr>
      <w:r>
        <w:t>Conflict initiators can similarly rely on proxies to complicate the deterrence calculus. Ambiguity regarding responsibility for an attack makes a retaliatory response less likely, especially if the target is looking for reasons not to retaliate.</w:t>
      </w:r>
      <w:r w:rsidR="00917743">
        <w:rPr>
          <w:rStyle w:val="FootnoteReference"/>
        </w:rPr>
        <w:footnoteReference w:id="73"/>
      </w:r>
      <w:r>
        <w:t xml:space="preserve"> </w:t>
      </w:r>
      <w:r w:rsidR="009E5ABE">
        <w:t xml:space="preserve">Recognizing </w:t>
      </w:r>
      <w:r w:rsidR="003A37A8">
        <w:t>the potential for</w:t>
      </w:r>
      <w:r w:rsidR="0029769F">
        <w:t xml:space="preserve"> </w:t>
      </w:r>
      <w:r w:rsidR="0029769F">
        <w:lastRenderedPageBreak/>
        <w:t>agency problems</w:t>
      </w:r>
      <w:r w:rsidR="009E5ABE">
        <w:t xml:space="preserve">, </w:t>
      </w:r>
      <w:r w:rsidR="0029769F">
        <w:t>target</w:t>
      </w:r>
      <w:r w:rsidR="009E5ABE">
        <w:t>s</w:t>
      </w:r>
      <w:r w:rsidR="0029769F">
        <w:t xml:space="preserve"> </w:t>
      </w:r>
      <w:r w:rsidR="009E5ABE">
        <w:t>may</w:t>
      </w:r>
      <w:r w:rsidR="0029769F">
        <w:t xml:space="preserve"> discount </w:t>
      </w:r>
      <w:r w:rsidR="009E5ABE">
        <w:t xml:space="preserve">the harm that proxies inflict. </w:t>
      </w:r>
      <w:r>
        <w:t xml:space="preserve">Reliance on </w:t>
      </w:r>
      <w:r w:rsidR="00483D1B">
        <w:t xml:space="preserve">third-parties </w:t>
      </w:r>
      <w:r>
        <w:t xml:space="preserve">may </w:t>
      </w:r>
      <w:r w:rsidR="0047062D">
        <w:t>thus</w:t>
      </w:r>
      <w:r w:rsidR="00483D1B">
        <w:t xml:space="preserve"> transform cases that would have been </w:t>
      </w:r>
      <w:r>
        <w:t>small wars</w:t>
      </w:r>
      <w:r w:rsidR="00483D1B">
        <w:t xml:space="preserve"> into gray zone conflict</w:t>
      </w:r>
      <w:r w:rsidR="00527EA5">
        <w:t>s</w:t>
      </w:r>
      <w:r w:rsidR="00483D1B">
        <w:t xml:space="preserve">. </w:t>
      </w:r>
      <w:r>
        <w:t>T</w:t>
      </w:r>
      <w:r w:rsidR="00527EA5">
        <w:t xml:space="preserve">he </w:t>
      </w:r>
      <w:r w:rsidR="00483D1B">
        <w:t xml:space="preserve">explicit delineation of </w:t>
      </w:r>
      <w:r w:rsidR="00527EA5">
        <w:t>a</w:t>
      </w:r>
      <w:r>
        <w:t>n extended</w:t>
      </w:r>
      <w:r w:rsidR="00527EA5">
        <w:t xml:space="preserve"> </w:t>
      </w:r>
      <w:r w:rsidR="00483D1B">
        <w:t xml:space="preserve">deterrence </w:t>
      </w:r>
      <w:r w:rsidR="00483D1B">
        <w:rPr>
          <w:i/>
        </w:rPr>
        <w:t>quid pro quo</w:t>
      </w:r>
      <w:r w:rsidR="00483D1B">
        <w:t xml:space="preserve"> probably increases this risk, as red lines clarify what can be achieved in the gray zone.</w:t>
      </w:r>
    </w:p>
    <w:p w14:paraId="4DF007A0" w14:textId="77777777" w:rsidR="00657E08" w:rsidRDefault="00483D1B">
      <w:pPr>
        <w:pStyle w:val="Heading1"/>
        <w:ind w:left="0" w:firstLine="0"/>
      </w:pPr>
      <w:bookmarkStart w:id="12" w:name="_5n3w61b4kam6" w:colFirst="0" w:colLast="0"/>
      <w:bookmarkEnd w:id="12"/>
      <w:r>
        <w:t>Russian Gray Zone Campaigns</w:t>
      </w:r>
    </w:p>
    <w:p w14:paraId="0C6173DF" w14:textId="699BCF1F" w:rsidR="00657E08" w:rsidRDefault="001E21B6">
      <w:pPr>
        <w:spacing w:after="200"/>
        <w:ind w:firstLine="0"/>
      </w:pPr>
      <w:r>
        <w:t>W</w:t>
      </w:r>
      <w:r w:rsidR="00483D1B">
        <w:t>e</w:t>
      </w:r>
      <w:r>
        <w:t xml:space="preserve"> now</w:t>
      </w:r>
      <w:r w:rsidR="00483D1B">
        <w:t xml:space="preserve"> test the plausibility of our argument about deterrence sensitivity by examining major Russian foreign interventions over the past two decades. </w:t>
      </w:r>
      <w:r w:rsidR="005A43F8">
        <w:t xml:space="preserve">Almost all </w:t>
      </w:r>
      <w:r w:rsidR="00B56182">
        <w:t xml:space="preserve">cases </w:t>
      </w:r>
      <w:r w:rsidR="00483D1B">
        <w:t>feature cyber campaigns for disruption or influence</w:t>
      </w:r>
      <w:r w:rsidR="005A43F8">
        <w:t xml:space="preserve">. Some </w:t>
      </w:r>
      <w:r w:rsidR="00BD4CB9">
        <w:t xml:space="preserve">also </w:t>
      </w:r>
      <w:r w:rsidR="00483D1B">
        <w:t xml:space="preserve">feature intervention by special operations or conventional forces. Why does Russia bring more </w:t>
      </w:r>
      <w:r w:rsidR="00B56182">
        <w:t xml:space="preserve">of its capabilities </w:t>
      </w:r>
      <w:r w:rsidR="00483D1B">
        <w:t>to some fights than others? We focus on Russia because its recent interventions, especially those featuring significant cyber operations, are often referenced as paradigmatic examples of gray zone conflict.</w:t>
      </w:r>
      <w:r w:rsidR="00917743">
        <w:rPr>
          <w:rStyle w:val="FootnoteReference"/>
        </w:rPr>
        <w:footnoteReference w:id="74"/>
      </w:r>
      <w:r w:rsidR="00483D1B">
        <w:t xml:space="preserve"> </w:t>
      </w:r>
      <w:r w:rsidR="00917743">
        <w:t>Specifically,</w:t>
      </w:r>
      <w:r w:rsidR="005A43F8">
        <w:t xml:space="preserve"> we focus on</w:t>
      </w:r>
      <w:r w:rsidR="00483D1B">
        <w:t xml:space="preserve"> four major Russian cyber campaigns </w:t>
      </w:r>
      <w:r w:rsidR="005A43F8">
        <w:t xml:space="preserve">targeting </w:t>
      </w:r>
      <w:r w:rsidR="00483D1B">
        <w:t xml:space="preserve">states </w:t>
      </w:r>
      <w:r w:rsidR="005A43F8">
        <w:t xml:space="preserve">that are </w:t>
      </w:r>
      <w:r w:rsidR="00BD4CB9">
        <w:t xml:space="preserve">geographically situated </w:t>
      </w:r>
      <w:r w:rsidR="005A43F8">
        <w:t>at different locations along the Western deterrence gradient</w:t>
      </w:r>
      <w:r w:rsidR="00483D1B">
        <w:t xml:space="preserve">: Estonia (2007), Georgia (2008), Ukraine (2014), and the United States (2016). The diversity of Russian targets provides an opportunity to conduct a natural controlled comparison of Russian choices under different </w:t>
      </w:r>
      <w:r w:rsidR="005A43F8">
        <w:t xml:space="preserve">deterrent </w:t>
      </w:r>
      <w:r w:rsidR="00483D1B">
        <w:t>circumstances.</w:t>
      </w:r>
    </w:p>
    <w:p w14:paraId="11A6F753" w14:textId="77777777" w:rsidR="00657E08" w:rsidRDefault="00483D1B">
      <w:pPr>
        <w:pStyle w:val="Heading2"/>
        <w:spacing w:after="200"/>
        <w:ind w:firstLine="0"/>
      </w:pPr>
      <w:bookmarkStart w:id="13" w:name="_nz7gptvniecz" w:colFirst="0" w:colLast="0"/>
      <w:bookmarkEnd w:id="13"/>
      <w:r>
        <w:t>Cross-National Data</w:t>
      </w:r>
    </w:p>
    <w:p w14:paraId="4D6ADF4D" w14:textId="4D00ECBD" w:rsidR="00657E08" w:rsidRDefault="00483D1B">
      <w:pPr>
        <w:spacing w:after="200"/>
        <w:ind w:firstLine="0"/>
      </w:pPr>
      <w:commentRangeStart w:id="14"/>
      <w:r>
        <w:t>It</w:t>
      </w:r>
      <w:commentRangeEnd w:id="14"/>
      <w:r w:rsidR="001E21B6">
        <w:rPr>
          <w:rStyle w:val="CommentReference"/>
        </w:rPr>
        <w:commentReference w:id="14"/>
      </w:r>
      <w:r>
        <w:t xml:space="preserve"> is perhaps fitting that data on Russian gray zone interventions are themselves ambiguous. Previous studies have compiled </w:t>
      </w:r>
      <w:r w:rsidR="00B25F9C">
        <w:t xml:space="preserve">open source </w:t>
      </w:r>
      <w:r>
        <w:t xml:space="preserve">data on Russian-attributed cyber conflict over the past three decades. Two cross-national datasets </w:t>
      </w:r>
      <w:r w:rsidR="00D76809">
        <w:t xml:space="preserve">– </w:t>
      </w:r>
      <w:r>
        <w:t>Dyadic Cyber Incident and Dispute V1.1 (DCID) and Russian Electoral Interventions (REI)</w:t>
      </w:r>
      <w:r w:rsidR="00D76809">
        <w:t xml:space="preserve"> –</w:t>
      </w:r>
      <w:r>
        <w:t xml:space="preserve"> cover almost entirely distinct </w:t>
      </w:r>
      <w:r w:rsidR="00B15D66">
        <w:t>samples.</w:t>
      </w:r>
      <w:r w:rsidR="00D76809">
        <w:rPr>
          <w:rStyle w:val="FootnoteReference"/>
        </w:rPr>
        <w:footnoteReference w:id="75"/>
      </w:r>
      <w:r w:rsidR="00B15D66">
        <w:t xml:space="preserve"> </w:t>
      </w:r>
      <w:r w:rsidR="009713EE">
        <w:t xml:space="preserve">Indeed, </w:t>
      </w:r>
      <w:r w:rsidR="009713EE" w:rsidRPr="002B3ACB">
        <w:t xml:space="preserve">the only country-year that appears in both datasets is Ukraine 2014. </w:t>
      </w:r>
      <w:r w:rsidR="0034757E">
        <w:t>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w:t>
      </w:r>
      <w:r>
        <w:t xml:space="preserve"> </w:t>
      </w:r>
      <w:r w:rsidR="00141554">
        <w:t>major</w:t>
      </w:r>
      <w:r>
        <w:t xml:space="preserve"> coding heterogeneity.</w:t>
      </w:r>
    </w:p>
    <w:p w14:paraId="5CE3A879" w14:textId="3D0D4347" w:rsidR="002B3ACB" w:rsidRDefault="001E21B6" w:rsidP="00FB0630">
      <w:pPr>
        <w:spacing w:after="200"/>
        <w:ind w:firstLine="0"/>
      </w:pPr>
      <w:r>
        <w:t>We present an expanded and consolidated dataset of</w:t>
      </w:r>
      <w:r w:rsidR="001F771E">
        <w:t xml:space="preserve"> 82 cases of Russian intervention from 1994-2018.</w:t>
      </w:r>
      <w:r w:rsidR="0034757E" w:rsidRPr="00BF58C4">
        <w:rPr>
          <w:rStyle w:val="FootnoteReference"/>
        </w:rPr>
        <w:footnoteReference w:id="76"/>
      </w:r>
      <w:r w:rsidR="001F771E">
        <w:t xml:space="preserve"> DCID and REI </w:t>
      </w:r>
      <w:r w:rsidR="002B3ACB">
        <w:t xml:space="preserve">together describe </w:t>
      </w:r>
      <w:r w:rsidR="00483D1B">
        <w:t>71 unique cases of Russian aggression</w:t>
      </w:r>
      <w:r w:rsidR="00CC0083">
        <w:t xml:space="preserve"> </w:t>
      </w:r>
      <w:r w:rsidR="00483D1B">
        <w:t xml:space="preserve">that </w:t>
      </w:r>
      <w:r w:rsidR="00CC0083">
        <w:t xml:space="preserve">have </w:t>
      </w:r>
      <w:r w:rsidR="00483D1B">
        <w:t xml:space="preserve">either included some degree of cyber intervention or were cases of electoral interference. </w:t>
      </w:r>
      <w:r w:rsidR="002B3ACB">
        <w:t>We have identified</w:t>
      </w:r>
      <w:r w:rsidR="00483D1B">
        <w:t xml:space="preserve"> 10 </w:t>
      </w:r>
      <w:r w:rsidR="002B3ACB">
        <w:t xml:space="preserve">additional </w:t>
      </w:r>
      <w:r w:rsidR="00483D1B">
        <w:t xml:space="preserve">instances of Russian </w:t>
      </w:r>
      <w:r w:rsidR="00AB1F4B">
        <w:t>cyber-attacks</w:t>
      </w:r>
      <w:r w:rsidR="00483D1B">
        <w:t xml:space="preserve"> from 1994-2018 </w:t>
      </w:r>
      <w:proofErr w:type="gramStart"/>
      <w:r w:rsidR="00483D1B">
        <w:t>and also</w:t>
      </w:r>
      <w:proofErr w:type="gramEnd"/>
      <w:r w:rsidR="00483D1B">
        <w:t xml:space="preserve"> include 3 cases of non-cyber Russian aggression during this time period from </w:t>
      </w:r>
      <w:r w:rsidR="00483D1B">
        <w:lastRenderedPageBreak/>
        <w:t>the International Crisis Behavior</w:t>
      </w:r>
      <w:r w:rsidR="0034757E">
        <w:t xml:space="preserve"> (ICB)</w:t>
      </w:r>
      <w:r w:rsidR="00483D1B">
        <w:t xml:space="preserve"> dataset.</w:t>
      </w:r>
      <w:r w:rsidR="00D76809">
        <w:rPr>
          <w:rStyle w:val="FootnoteReference"/>
        </w:rPr>
        <w:footnoteReference w:id="77"/>
      </w:r>
      <w:r w:rsidR="00483D1B">
        <w:t xml:space="preserve"> </w:t>
      </w:r>
      <w:r w:rsidR="002B3ACB">
        <w:t xml:space="preserve">Including </w:t>
      </w:r>
      <w:r w:rsidR="0034757E">
        <w:t>ICB data</w:t>
      </w:r>
      <w:r w:rsidR="002B3ACB">
        <w:t xml:space="preserve"> </w:t>
      </w:r>
      <w:r w:rsidR="00483D1B">
        <w:t xml:space="preserve">has the </w:t>
      </w:r>
      <w:r w:rsidR="00E70DAC">
        <w:t xml:space="preserve">further </w:t>
      </w:r>
      <w:r w:rsidR="00483D1B">
        <w:t xml:space="preserve">advantage of not </w:t>
      </w:r>
      <w:r w:rsidR="00E70DAC">
        <w:t>focusing exclusively on</w:t>
      </w:r>
      <w:r w:rsidR="00483D1B">
        <w:t xml:space="preserve"> Russian cyber</w:t>
      </w:r>
      <w:r w:rsidR="00AB1F4B">
        <w:t>-</w:t>
      </w:r>
      <w:r w:rsidR="00483D1B">
        <w:t>attacks but</w:t>
      </w:r>
      <w:r w:rsidR="00E70DAC">
        <w:t xml:space="preserve"> also </w:t>
      </w:r>
      <w:r w:rsidR="00483D1B">
        <w:t xml:space="preserve">including all Russian conflict short of war. </w:t>
      </w:r>
      <w:r w:rsidR="001F771E">
        <w:t xml:space="preserve">To resolve the heterogeneity across datasets, we compiled an entirely new coding of the intensity of Russian attacks. </w:t>
      </w:r>
      <w:r w:rsidR="002B3ACB">
        <w:t>For each incident, we code whether Russia used conventional ground forces, conventional air or sea forces, paramilitary or covert forces, cyber disruption</w:t>
      </w:r>
      <w:r w:rsidR="0034757E">
        <w:t xml:space="preserve"> (service denial or industrial control system attacks)</w:t>
      </w:r>
      <w:r w:rsidR="002B3ACB">
        <w:t>, and information operations</w:t>
      </w:r>
      <w:r w:rsidR="0034757E">
        <w:t xml:space="preserve"> (social media and disinformation)</w:t>
      </w:r>
      <w:r w:rsidR="002B3ACB">
        <w:t xml:space="preserve">. By distinguishing between these five types of aggression, we obtain a clearer picture of the intensity of each case of Russian intervention. </w:t>
      </w:r>
    </w:p>
    <w:p w14:paraId="59CCE717" w14:textId="15D59CF8" w:rsidR="00C84027" w:rsidRDefault="00483D1B" w:rsidP="006C2BC2">
      <w:pPr>
        <w:spacing w:after="200"/>
        <w:ind w:firstLine="0"/>
      </w:pPr>
      <w:r>
        <w:t xml:space="preserve">Figure </w:t>
      </w:r>
      <w:r w:rsidR="006C2BC2">
        <w:t>1</w:t>
      </w:r>
      <w:r>
        <w:t xml:space="preserve"> </w:t>
      </w:r>
      <w:r w:rsidR="00CC0083">
        <w:t xml:space="preserve">shows </w:t>
      </w:r>
      <w:r w:rsidR="002B3ACB">
        <w:t xml:space="preserve">the </w:t>
      </w:r>
      <w:r w:rsidR="00CC0083">
        <w:t>frequency</w:t>
      </w:r>
      <w:r w:rsidR="002B3ACB">
        <w:t xml:space="preserve"> distribution of </w:t>
      </w:r>
      <w:r>
        <w:t xml:space="preserve">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w:t>
      </w:r>
      <w:r w:rsidR="00CC0083">
        <w:t xml:space="preserve"> </w:t>
      </w:r>
      <w:r>
        <w:t xml:space="preserve">Russian gray zone operations </w:t>
      </w:r>
      <w:r w:rsidR="00CC0083">
        <w:t xml:space="preserve">have not increased in </w:t>
      </w:r>
      <w:r>
        <w:t xml:space="preserve">intensity, but </w:t>
      </w:r>
      <w:r w:rsidR="00CC0083">
        <w:t>they do appear to be happening more frequently</w:t>
      </w:r>
      <w:r>
        <w:t>.</w:t>
      </w:r>
      <w:r w:rsidR="00EA18E1">
        <w:t xml:space="preserve">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6A03C9DF" w14:textId="77777777" w:rsidR="006C2BC2" w:rsidRDefault="00483D1B" w:rsidP="006C2BC2">
      <w:pPr>
        <w:keepNext/>
        <w:spacing w:after="200" w:line="276" w:lineRule="auto"/>
        <w:ind w:right="0" w:firstLine="0"/>
        <w:jc w:val="center"/>
      </w:pPr>
      <w:r>
        <w:rPr>
          <w:noProof/>
          <w:lang w:val="en-CA" w:eastAsia="en-CA"/>
        </w:rPr>
        <w:lastRenderedPageBreak/>
        <w:drawing>
          <wp:inline distT="114300" distB="114300" distL="114300" distR="114300" wp14:anchorId="0F24D84C" wp14:editId="6816492D">
            <wp:extent cx="5215880" cy="4023360"/>
            <wp:effectExtent l="0" t="0" r="444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46700" cy="4047133"/>
                    </a:xfrm>
                    <a:prstGeom prst="rect">
                      <a:avLst/>
                    </a:prstGeom>
                    <a:ln/>
                  </pic:spPr>
                </pic:pic>
              </a:graphicData>
            </a:graphic>
          </wp:inline>
        </w:drawing>
      </w:r>
    </w:p>
    <w:p w14:paraId="0A55B3DD" w14:textId="279F60A7" w:rsidR="00657E08" w:rsidRDefault="006C2BC2" w:rsidP="006C2BC2">
      <w:pPr>
        <w:pStyle w:val="Caption"/>
        <w:jc w:val="center"/>
      </w:pPr>
      <w:r w:rsidRPr="006C2BC2">
        <w:rPr>
          <w:b/>
          <w:color w:val="000000" w:themeColor="text1"/>
        </w:rPr>
        <w:t xml:space="preserve">Figure </w:t>
      </w:r>
      <w:r w:rsidRPr="006C2BC2">
        <w:rPr>
          <w:b/>
          <w:color w:val="000000" w:themeColor="text1"/>
        </w:rPr>
        <w:fldChar w:fldCharType="begin"/>
      </w:r>
      <w:r w:rsidRPr="006C2BC2">
        <w:rPr>
          <w:b/>
          <w:color w:val="000000" w:themeColor="text1"/>
        </w:rPr>
        <w:instrText xml:space="preserve"> SEQ Figure \* ARABIC </w:instrText>
      </w:r>
      <w:r w:rsidRPr="006C2BC2">
        <w:rPr>
          <w:b/>
          <w:color w:val="000000" w:themeColor="text1"/>
        </w:rPr>
        <w:fldChar w:fldCharType="separate"/>
      </w:r>
      <w:r>
        <w:rPr>
          <w:b/>
          <w:noProof/>
          <w:color w:val="000000" w:themeColor="text1"/>
        </w:rPr>
        <w:t>1</w:t>
      </w:r>
      <w:r w:rsidRPr="006C2BC2">
        <w:rPr>
          <w:b/>
          <w:color w:val="000000" w:themeColor="text1"/>
        </w:rPr>
        <w:fldChar w:fldCharType="end"/>
      </w:r>
      <w:r w:rsidRPr="006C2BC2">
        <w:rPr>
          <w:noProof/>
          <w:color w:val="000000" w:themeColor="text1"/>
        </w:rPr>
        <w:t xml:space="preserve"> Intensity of Russian intervention over time. The bars represent the average intensity of Russian interventions in each year using the 1-5 scale provided. The line denotes the number of Russian interventions in each year, ranging from 0-17.</w:t>
      </w:r>
    </w:p>
    <w:p w14:paraId="129FB64C" w14:textId="087DB032" w:rsidR="00B61712" w:rsidRDefault="00762838">
      <w:pPr>
        <w:spacing w:after="200"/>
        <w:ind w:firstLine="0"/>
      </w:pPr>
      <w:r>
        <w:t xml:space="preserve">A basic hypothesis of our theory is that limited war constrained by deterrence (gray zone conflict) should be distributed along </w:t>
      </w:r>
      <w:r w:rsidR="00EA18E1">
        <w:t>a</w:t>
      </w:r>
      <w:r>
        <w:t xml:space="preserve"> deterrence gradient, with conflict intensity inversely proportional to the credibility of deterrence. Limited war that is motivated by efficiency, by contrast, should </w:t>
      </w:r>
      <w:r w:rsidR="001F771E">
        <w:t>be less</w:t>
      </w:r>
      <w:r>
        <w:t xml:space="preserve"> correlat</w:t>
      </w:r>
      <w:r w:rsidR="001F771E">
        <w:t>ed with geography</w:t>
      </w:r>
      <w:r>
        <w:t xml:space="preserve">. </w:t>
      </w:r>
    </w:p>
    <w:p w14:paraId="3EA32818" w14:textId="192289F4" w:rsidR="00C84027" w:rsidRPr="006C2BC2" w:rsidRDefault="006C2BC2" w:rsidP="006C2BC2">
      <w:pPr>
        <w:spacing w:after="200"/>
        <w:ind w:firstLine="0"/>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in Syria, which hosts a major Russian naval base on the Mediterranean. The port of </w:t>
      </w:r>
      <w:proofErr w:type="spellStart"/>
      <w:r>
        <w:t>Tartus</w:t>
      </w:r>
      <w:proofErr w:type="spellEnd"/>
      <w:r>
        <w:t>,</w:t>
      </w:r>
      <w:r w:rsidRPr="0016229E">
        <w:t xml:space="preserve"> </w:t>
      </w:r>
      <w:r>
        <w:t>a staging base for Russian combat operations in Syria, serves to lessen the Russian loss of strength gradient and may help to explain the Syrian exception to the East-West pattern in the intensity of Russian operations in Figure 2.</w:t>
      </w:r>
      <w:r w:rsidR="00C84027">
        <w:rPr>
          <w:b/>
        </w:rPr>
        <w:br w:type="page"/>
      </w:r>
    </w:p>
    <w:p w14:paraId="04DA50B8" w14:textId="77777777" w:rsidR="006C2BC2" w:rsidRDefault="005C1193" w:rsidP="006C2BC2">
      <w:pPr>
        <w:keepNext/>
        <w:spacing w:after="200"/>
        <w:ind w:firstLine="0"/>
        <w:jc w:val="center"/>
      </w:pPr>
      <w:r>
        <w:rPr>
          <w:noProof/>
        </w:rPr>
        <w:lastRenderedPageBreak/>
        <w:drawing>
          <wp:inline distT="0" distB="0" distL="0" distR="0" wp14:anchorId="7ECB6325" wp14:editId="00B061F0">
            <wp:extent cx="5943600" cy="57708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70821"/>
                    </a:xfrm>
                    <a:prstGeom prst="rect">
                      <a:avLst/>
                    </a:prstGeom>
                    <a:noFill/>
                    <a:ln>
                      <a:noFill/>
                    </a:ln>
                  </pic:spPr>
                </pic:pic>
              </a:graphicData>
            </a:graphic>
          </wp:inline>
        </w:drawing>
      </w:r>
    </w:p>
    <w:p w14:paraId="2644FF7A" w14:textId="30247330" w:rsidR="00657E08" w:rsidRDefault="006C2BC2" w:rsidP="006C2BC2">
      <w:pPr>
        <w:pStyle w:val="Caption"/>
        <w:jc w:val="center"/>
      </w:pPr>
      <w:r w:rsidRPr="006C2BC2">
        <w:rPr>
          <w:b/>
          <w:color w:val="000000" w:themeColor="text1"/>
        </w:rPr>
        <w:t xml:space="preserve">Figure </w:t>
      </w:r>
      <w:r w:rsidRPr="006C2BC2">
        <w:rPr>
          <w:b/>
          <w:color w:val="000000" w:themeColor="text1"/>
        </w:rPr>
        <w:fldChar w:fldCharType="begin"/>
      </w:r>
      <w:r w:rsidRPr="006C2BC2">
        <w:rPr>
          <w:b/>
          <w:color w:val="000000" w:themeColor="text1"/>
        </w:rPr>
        <w:instrText xml:space="preserve"> SEQ Figure \* ARABIC </w:instrText>
      </w:r>
      <w:r w:rsidRPr="006C2BC2">
        <w:rPr>
          <w:b/>
          <w:color w:val="000000" w:themeColor="text1"/>
        </w:rPr>
        <w:fldChar w:fldCharType="separate"/>
      </w:r>
      <w:r w:rsidRPr="006C2BC2">
        <w:rPr>
          <w:b/>
          <w:noProof/>
          <w:color w:val="000000" w:themeColor="text1"/>
        </w:rPr>
        <w:t>2</w:t>
      </w:r>
      <w:r w:rsidRPr="006C2BC2">
        <w:rPr>
          <w:b/>
          <w:color w:val="000000" w:themeColor="text1"/>
        </w:rPr>
        <w:fldChar w:fldCharType="end"/>
      </w:r>
      <w:r w:rsidRPr="006C2BC2">
        <w:rPr>
          <w:color w:val="000000" w:themeColor="text1"/>
        </w:rPr>
        <w:t xml:space="preserve"> Geographic representation of Russia intervention. Each country's shading represents the highest intensity of Russian intervention in that state between 1994-2017. States closer to Russia have noticeably higher levels of intervention intensity.</w:t>
      </w:r>
    </w:p>
    <w:p w14:paraId="5D9B908F" w14:textId="1930345A" w:rsidR="00762838" w:rsidRDefault="00762838" w:rsidP="00BF58C4">
      <w:pPr>
        <w:spacing w:after="200"/>
        <w:ind w:firstLine="0"/>
      </w:pPr>
      <w:r>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w:t>
      </w:r>
      <w:r w:rsidR="00593552">
        <w:t xml:space="preserve">overt military </w:t>
      </w:r>
      <w:r>
        <w:t>intervention occurs only in Russia’s immediate periphery (“near abroad”).</w:t>
      </w:r>
    </w:p>
    <w:p w14:paraId="5A688700" w14:textId="770A8EAF" w:rsidR="00657E08" w:rsidRDefault="00762838">
      <w:pPr>
        <w:pStyle w:val="Heading2"/>
      </w:pPr>
      <w:bookmarkStart w:id="17" w:name="_67l51pwqju7m" w:colFirst="0" w:colLast="0"/>
      <w:bookmarkStart w:id="18" w:name="_qj6388j08rsl" w:colFirst="0" w:colLast="0"/>
      <w:bookmarkEnd w:id="17"/>
      <w:bookmarkEnd w:id="18"/>
      <w:r>
        <w:t xml:space="preserve">Major </w:t>
      </w:r>
      <w:r w:rsidR="00483D1B">
        <w:t>Cyber Campaigns</w:t>
      </w:r>
    </w:p>
    <w:p w14:paraId="66AA03D4" w14:textId="695518F7" w:rsidR="00762838" w:rsidRDefault="00483D1B">
      <w:pPr>
        <w:pBdr>
          <w:top w:val="nil"/>
          <w:left w:val="nil"/>
          <w:bottom w:val="nil"/>
          <w:right w:val="nil"/>
          <w:between w:val="nil"/>
        </w:pBdr>
        <w:spacing w:after="200"/>
        <w:ind w:firstLine="0"/>
      </w:pPr>
      <w:r>
        <w:t xml:space="preserve">Russia is involved in </w:t>
      </w:r>
      <w:r w:rsidR="0030560D">
        <w:t>numerous</w:t>
      </w:r>
      <w:r>
        <w:t xml:space="preserve"> gray zone conflicts, but the actual shade of gray </w:t>
      </w:r>
      <w:r w:rsidR="0030560D">
        <w:t xml:space="preserve">in each case </w:t>
      </w:r>
      <w:r>
        <w:t>depends on the deterrence gradient. For a more fine</w:t>
      </w:r>
      <w:r w:rsidR="00326DF5">
        <w:t>-</w:t>
      </w:r>
      <w:r>
        <w:t>grained test of our argument</w:t>
      </w:r>
      <w:r w:rsidR="002478F6">
        <w:t>,</w:t>
      </w:r>
      <w:r>
        <w:t xml:space="preserve"> we briefly </w:t>
      </w:r>
      <w:r>
        <w:lastRenderedPageBreak/>
        <w:t xml:space="preserve">examine the four major cyber campaigns attributed to Russia that feature prominently in the cybersecurity literature. </w:t>
      </w:r>
      <w:r w:rsidR="00762838">
        <w:t>The usual focus on cyber operations themselve</w:t>
      </w:r>
      <w:r w:rsidR="00A403C9">
        <w:t xml:space="preserve">s tends to obscure </w:t>
      </w:r>
      <w:r w:rsidR="00762838">
        <w:t xml:space="preserve">the cross-domain and cross-national context of these operations. </w:t>
      </w:r>
      <w:r w:rsidR="00A403C9">
        <w:t>We employ a most similar case comparison by choosing cases that have the same conflict initiator (Russia) and the same means of low intensity conflict (cyber) but that differ in their geographical location and other military instruments employed.</w:t>
      </w:r>
      <w:r w:rsidR="00D76809">
        <w:rPr>
          <w:rStyle w:val="FootnoteReference"/>
        </w:rPr>
        <w:footnoteReference w:id="78"/>
      </w:r>
      <w:r w:rsidR="00A403C9">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770FF04D" w14:textId="00ABA562" w:rsidR="00657E08" w:rsidRDefault="0030560D">
      <w:pPr>
        <w:pBdr>
          <w:top w:val="nil"/>
          <w:left w:val="nil"/>
          <w:bottom w:val="nil"/>
          <w:right w:val="nil"/>
          <w:between w:val="nil"/>
        </w:pBdr>
        <w:spacing w:after="200"/>
        <w:ind w:firstLine="0"/>
      </w:pPr>
      <w:r>
        <w:t>We do not focus here on</w:t>
      </w:r>
      <w:r w:rsidR="00483D1B">
        <w:t xml:space="preserve"> the </w:t>
      </w:r>
      <w:r>
        <w:t xml:space="preserve">origins </w:t>
      </w:r>
      <w:r w:rsidR="00483D1B">
        <w:t>of Russian motiv</w:t>
      </w:r>
      <w:r>
        <w:t>e</w:t>
      </w:r>
      <w:r w:rsidR="00483D1B">
        <w:t xml:space="preserve">s or their </w:t>
      </w:r>
      <w:r>
        <w:t>formulation</w:t>
      </w:r>
      <w:r w:rsidR="00483D1B">
        <w:t xml:space="preserve"> in Russian foreign policy, even as understanding these is essential for devising practical policy responses in any given case. </w:t>
      </w:r>
      <w:r w:rsidR="00762838">
        <w:t>There are many potential explanations for Russian motives, to include the personality of Vladimir Putin, political competition for regime control, nationalist identity and status seeking, and geopolitical imperatives for security.</w:t>
      </w:r>
      <w:r w:rsidR="00D76809">
        <w:rPr>
          <w:rStyle w:val="FootnoteReference"/>
        </w:rPr>
        <w:footnoteReference w:id="79"/>
      </w:r>
      <w:r w:rsidR="00762838">
        <w:t xml:space="preserve"> </w:t>
      </w:r>
      <w:r w:rsidR="00483D1B">
        <w:t xml:space="preserve">Rather we argue that </w:t>
      </w:r>
      <w:r>
        <w:t>how</w:t>
      </w:r>
      <w:r w:rsidR="00483D1B">
        <w:t xml:space="preserve"> motiv</w:t>
      </w:r>
      <w:r>
        <w:t>e</w:t>
      </w:r>
      <w:r w:rsidR="00483D1B">
        <w:t>s</w:t>
      </w:r>
      <w:r>
        <w:t xml:space="preserve"> are expressed</w:t>
      </w:r>
      <w:r w:rsidR="00483D1B">
        <w:t xml:space="preserve">, whatever their </w:t>
      </w:r>
      <w:r>
        <w:t>origins</w:t>
      </w:r>
      <w:r w:rsidR="00483D1B">
        <w:t xml:space="preserve">, will </w:t>
      </w:r>
      <w:proofErr w:type="gramStart"/>
      <w:r w:rsidR="00483D1B">
        <w:t xml:space="preserve">be </w:t>
      </w:r>
      <w:r>
        <w:t>more or less</w:t>
      </w:r>
      <w:proofErr w:type="gramEnd"/>
      <w:r>
        <w:t xml:space="preserve"> </w:t>
      </w:r>
      <w:r w:rsidR="00483D1B">
        <w:t xml:space="preserve">constrained by </w:t>
      </w:r>
      <w:r w:rsidR="00A403C9">
        <w:t>Western</w:t>
      </w:r>
      <w:r>
        <w:t xml:space="preserve"> </w:t>
      </w:r>
      <w:r w:rsidR="00483D1B">
        <w:t xml:space="preserve">deterrence. </w:t>
      </w:r>
      <w:r w:rsidR="00042B06">
        <w:t>We will consider some counterarguments in the case narratives.</w:t>
      </w:r>
    </w:p>
    <w:p w14:paraId="3E187AB2" w14:textId="71144C56" w:rsidR="00657E08" w:rsidRDefault="00483D1B">
      <w:pPr>
        <w:ind w:firstLine="0"/>
        <w:jc w:val="center"/>
      </w:pPr>
      <w:r>
        <w:rPr>
          <w:b/>
        </w:rPr>
        <w:t>Table 2</w:t>
      </w:r>
      <w:r>
        <w:t>: Case comparison of Russian gray zone conflicts</w:t>
      </w:r>
    </w:p>
    <w:p w14:paraId="32C184C4" w14:textId="77777777" w:rsidR="00C84027" w:rsidRDefault="00C84027">
      <w:pPr>
        <w:ind w:firstLine="0"/>
        <w:jc w:val="center"/>
      </w:pP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0"/>
        <w:gridCol w:w="1620"/>
        <w:gridCol w:w="1530"/>
        <w:gridCol w:w="1440"/>
        <w:gridCol w:w="1350"/>
      </w:tblGrid>
      <w:tr w:rsidR="00657E08" w14:paraId="2B082D35" w14:textId="77777777" w:rsidTr="00C143E2">
        <w:trPr>
          <w:jc w:val="center"/>
        </w:trPr>
        <w:tc>
          <w:tcPr>
            <w:tcW w:w="3140" w:type="dxa"/>
            <w:shd w:val="clear" w:color="auto" w:fill="auto"/>
            <w:tcMar>
              <w:top w:w="100" w:type="dxa"/>
              <w:left w:w="100" w:type="dxa"/>
              <w:bottom w:w="100" w:type="dxa"/>
              <w:right w:w="100" w:type="dxa"/>
            </w:tcMar>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620" w:type="dxa"/>
            <w:shd w:val="clear" w:color="auto" w:fill="auto"/>
            <w:tcMar>
              <w:top w:w="100" w:type="dxa"/>
              <w:left w:w="100" w:type="dxa"/>
              <w:bottom w:w="100" w:type="dxa"/>
              <w:right w:w="100" w:type="dxa"/>
            </w:tcMar>
          </w:tcPr>
          <w:p w14:paraId="2CAD00F0" w14:textId="1493C71B" w:rsidR="00657E08" w:rsidRDefault="00483D1B" w:rsidP="00BF58C4">
            <w:pPr>
              <w:widowControl w:val="0"/>
              <w:spacing w:after="0" w:line="240" w:lineRule="auto"/>
              <w:ind w:right="0" w:firstLine="0"/>
              <w:jc w:val="center"/>
            </w:pPr>
            <w:r>
              <w:t>United States</w:t>
            </w:r>
          </w:p>
          <w:p w14:paraId="0409C03F" w14:textId="77777777" w:rsidR="00657E08" w:rsidRDefault="00483D1B" w:rsidP="00BF58C4">
            <w:pPr>
              <w:widowControl w:val="0"/>
              <w:spacing w:after="0" w:line="240" w:lineRule="auto"/>
              <w:ind w:right="0" w:firstLine="0"/>
              <w:jc w:val="center"/>
            </w:pPr>
            <w:r>
              <w:t>(2016)</w:t>
            </w:r>
          </w:p>
        </w:tc>
        <w:tc>
          <w:tcPr>
            <w:tcW w:w="1530" w:type="dxa"/>
            <w:shd w:val="clear" w:color="auto" w:fill="auto"/>
            <w:tcMar>
              <w:top w:w="100" w:type="dxa"/>
              <w:left w:w="100" w:type="dxa"/>
              <w:bottom w:w="100" w:type="dxa"/>
              <w:right w:w="100" w:type="dxa"/>
            </w:tcMar>
          </w:tcPr>
          <w:p w14:paraId="0520E830" w14:textId="77777777" w:rsidR="00657E08" w:rsidRDefault="00483D1B" w:rsidP="00BF58C4">
            <w:pPr>
              <w:widowControl w:val="0"/>
              <w:spacing w:after="0" w:line="240" w:lineRule="auto"/>
              <w:ind w:right="0" w:firstLine="0"/>
              <w:jc w:val="center"/>
            </w:pPr>
            <w:r>
              <w:t>Estonia</w:t>
            </w:r>
          </w:p>
          <w:p w14:paraId="5A782EDC" w14:textId="77777777" w:rsidR="00657E08" w:rsidRDefault="00483D1B" w:rsidP="00BF58C4">
            <w:pPr>
              <w:widowControl w:val="0"/>
              <w:spacing w:after="0" w:line="240" w:lineRule="auto"/>
              <w:ind w:right="0" w:firstLine="0"/>
              <w:jc w:val="center"/>
            </w:pPr>
            <w:r>
              <w:t>(2007)</w:t>
            </w:r>
          </w:p>
        </w:tc>
        <w:tc>
          <w:tcPr>
            <w:tcW w:w="1440" w:type="dxa"/>
            <w:shd w:val="clear" w:color="auto" w:fill="auto"/>
            <w:tcMar>
              <w:top w:w="100" w:type="dxa"/>
              <w:left w:w="100" w:type="dxa"/>
              <w:bottom w:w="100" w:type="dxa"/>
              <w:right w:w="100" w:type="dxa"/>
            </w:tcMar>
          </w:tcPr>
          <w:p w14:paraId="4FAA9B51" w14:textId="77777777" w:rsidR="00657E08" w:rsidRDefault="00483D1B" w:rsidP="00BF58C4">
            <w:pPr>
              <w:widowControl w:val="0"/>
              <w:pBdr>
                <w:top w:val="nil"/>
                <w:left w:val="nil"/>
                <w:bottom w:val="nil"/>
                <w:right w:val="nil"/>
                <w:between w:val="nil"/>
              </w:pBdr>
              <w:spacing w:after="0" w:line="240" w:lineRule="auto"/>
              <w:ind w:right="0" w:firstLine="0"/>
              <w:jc w:val="center"/>
            </w:pPr>
            <w:r>
              <w:t>Ukraine</w:t>
            </w:r>
          </w:p>
          <w:p w14:paraId="5F1553C2" w14:textId="77777777" w:rsidR="00657E08" w:rsidRDefault="00483D1B" w:rsidP="00BF58C4">
            <w:pPr>
              <w:widowControl w:val="0"/>
              <w:pBdr>
                <w:top w:val="nil"/>
                <w:left w:val="nil"/>
                <w:bottom w:val="nil"/>
                <w:right w:val="nil"/>
                <w:between w:val="nil"/>
              </w:pBdr>
              <w:spacing w:after="0" w:line="240" w:lineRule="auto"/>
              <w:ind w:right="0" w:firstLine="0"/>
              <w:jc w:val="center"/>
            </w:pPr>
            <w:r>
              <w:t>(2014)</w:t>
            </w:r>
          </w:p>
        </w:tc>
        <w:tc>
          <w:tcPr>
            <w:tcW w:w="1350" w:type="dxa"/>
            <w:shd w:val="clear" w:color="auto" w:fill="auto"/>
            <w:tcMar>
              <w:top w:w="100" w:type="dxa"/>
              <w:left w:w="100" w:type="dxa"/>
              <w:bottom w:w="100" w:type="dxa"/>
              <w:right w:w="100" w:type="dxa"/>
            </w:tcMar>
          </w:tcPr>
          <w:p w14:paraId="0518FF56" w14:textId="270A4E64" w:rsidR="00657E08" w:rsidRDefault="00483D1B" w:rsidP="00BF58C4">
            <w:pPr>
              <w:widowControl w:val="0"/>
              <w:spacing w:after="0" w:line="240" w:lineRule="auto"/>
              <w:ind w:right="0" w:firstLine="0"/>
              <w:jc w:val="center"/>
            </w:pPr>
            <w:r>
              <w:t>Georgia</w:t>
            </w:r>
            <w:r w:rsidR="00C84027">
              <w:t xml:space="preserve"> </w:t>
            </w:r>
            <w:r>
              <w:t>(2008)</w:t>
            </w:r>
          </w:p>
        </w:tc>
      </w:tr>
      <w:tr w:rsidR="00657E08" w14:paraId="672D71D3" w14:textId="77777777" w:rsidTr="00C143E2">
        <w:trPr>
          <w:jc w:val="center"/>
        </w:trPr>
        <w:tc>
          <w:tcPr>
            <w:tcW w:w="3140" w:type="dxa"/>
            <w:shd w:val="clear" w:color="auto" w:fill="auto"/>
            <w:tcMar>
              <w:top w:w="100" w:type="dxa"/>
              <w:left w:w="100" w:type="dxa"/>
              <w:bottom w:w="100" w:type="dxa"/>
              <w:right w:w="100" w:type="dxa"/>
            </w:tcMar>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620" w:type="dxa"/>
            <w:shd w:val="clear" w:color="auto" w:fill="auto"/>
            <w:tcMar>
              <w:top w:w="100" w:type="dxa"/>
              <w:left w:w="100" w:type="dxa"/>
              <w:bottom w:w="100" w:type="dxa"/>
              <w:right w:w="100" w:type="dxa"/>
            </w:tcMar>
          </w:tcPr>
          <w:p w14:paraId="6A3FA299" w14:textId="77777777" w:rsidR="00657E08" w:rsidRDefault="00657E08" w:rsidP="00BF58C4">
            <w:pPr>
              <w:widowControl w:val="0"/>
              <w:spacing w:after="0" w:line="240" w:lineRule="auto"/>
              <w:ind w:right="0" w:firstLine="0"/>
              <w:jc w:val="center"/>
            </w:pPr>
          </w:p>
        </w:tc>
        <w:tc>
          <w:tcPr>
            <w:tcW w:w="1530" w:type="dxa"/>
            <w:shd w:val="clear" w:color="auto" w:fill="auto"/>
            <w:tcMar>
              <w:top w:w="100" w:type="dxa"/>
              <w:left w:w="100" w:type="dxa"/>
              <w:bottom w:w="100" w:type="dxa"/>
              <w:right w:w="100" w:type="dxa"/>
            </w:tcMar>
          </w:tcPr>
          <w:p w14:paraId="264DCA7C" w14:textId="77777777" w:rsidR="00657E08" w:rsidRDefault="00657E08" w:rsidP="00BF58C4">
            <w:pPr>
              <w:widowControl w:val="0"/>
              <w:spacing w:after="0" w:line="240" w:lineRule="auto"/>
              <w:ind w:right="0" w:firstLine="0"/>
              <w:jc w:val="center"/>
            </w:pPr>
          </w:p>
        </w:tc>
        <w:tc>
          <w:tcPr>
            <w:tcW w:w="1440" w:type="dxa"/>
            <w:shd w:val="clear" w:color="auto" w:fill="auto"/>
            <w:tcMar>
              <w:top w:w="100" w:type="dxa"/>
              <w:left w:w="100" w:type="dxa"/>
              <w:bottom w:w="100" w:type="dxa"/>
              <w:right w:w="100" w:type="dxa"/>
            </w:tcMar>
          </w:tcPr>
          <w:p w14:paraId="115DB70A" w14:textId="77777777" w:rsidR="00657E08" w:rsidRDefault="00657E08" w:rsidP="00BF58C4">
            <w:pPr>
              <w:widowControl w:val="0"/>
              <w:pBdr>
                <w:top w:val="nil"/>
                <w:left w:val="nil"/>
                <w:bottom w:val="nil"/>
                <w:right w:val="nil"/>
                <w:between w:val="nil"/>
              </w:pBdr>
              <w:spacing w:after="0" w:line="240" w:lineRule="auto"/>
              <w:ind w:right="0" w:firstLine="0"/>
              <w:jc w:val="center"/>
            </w:pPr>
          </w:p>
        </w:tc>
        <w:tc>
          <w:tcPr>
            <w:tcW w:w="1350" w:type="dxa"/>
            <w:shd w:val="clear" w:color="auto" w:fill="auto"/>
            <w:tcMar>
              <w:top w:w="100" w:type="dxa"/>
              <w:left w:w="100" w:type="dxa"/>
              <w:bottom w:w="100" w:type="dxa"/>
              <w:right w:w="100" w:type="dxa"/>
            </w:tcMar>
          </w:tcPr>
          <w:p w14:paraId="5343B2C1" w14:textId="77777777" w:rsidR="00657E08" w:rsidRDefault="00483D1B" w:rsidP="00BF58C4">
            <w:pPr>
              <w:widowControl w:val="0"/>
              <w:spacing w:after="0" w:line="240" w:lineRule="auto"/>
              <w:ind w:right="0" w:firstLine="0"/>
              <w:jc w:val="center"/>
            </w:pPr>
            <w:r>
              <w:t>X</w:t>
            </w:r>
          </w:p>
        </w:tc>
      </w:tr>
      <w:tr w:rsidR="00657E08" w14:paraId="374A64D4" w14:textId="77777777" w:rsidTr="00C143E2">
        <w:trPr>
          <w:jc w:val="center"/>
        </w:trPr>
        <w:tc>
          <w:tcPr>
            <w:tcW w:w="3140" w:type="dxa"/>
            <w:shd w:val="clear" w:color="auto" w:fill="auto"/>
            <w:tcMar>
              <w:top w:w="100" w:type="dxa"/>
              <w:left w:w="100" w:type="dxa"/>
              <w:bottom w:w="100" w:type="dxa"/>
              <w:right w:w="100" w:type="dxa"/>
            </w:tcMar>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620" w:type="dxa"/>
            <w:shd w:val="clear" w:color="auto" w:fill="auto"/>
            <w:tcMar>
              <w:top w:w="100" w:type="dxa"/>
              <w:left w:w="100" w:type="dxa"/>
              <w:bottom w:w="100" w:type="dxa"/>
              <w:right w:w="100" w:type="dxa"/>
            </w:tcMar>
          </w:tcPr>
          <w:p w14:paraId="7414EEB7" w14:textId="77777777" w:rsidR="00657E08" w:rsidRDefault="00657E08" w:rsidP="00BF58C4">
            <w:pPr>
              <w:widowControl w:val="0"/>
              <w:spacing w:after="0" w:line="240" w:lineRule="auto"/>
              <w:ind w:right="0" w:firstLine="0"/>
              <w:jc w:val="center"/>
            </w:pPr>
          </w:p>
        </w:tc>
        <w:tc>
          <w:tcPr>
            <w:tcW w:w="1530" w:type="dxa"/>
            <w:shd w:val="clear" w:color="auto" w:fill="auto"/>
            <w:tcMar>
              <w:top w:w="100" w:type="dxa"/>
              <w:left w:w="100" w:type="dxa"/>
              <w:bottom w:w="100" w:type="dxa"/>
              <w:right w:w="100" w:type="dxa"/>
            </w:tcMar>
          </w:tcPr>
          <w:p w14:paraId="6216E06F" w14:textId="77777777" w:rsidR="00657E08" w:rsidRDefault="00657E08" w:rsidP="00BF58C4">
            <w:pPr>
              <w:widowControl w:val="0"/>
              <w:spacing w:after="0" w:line="240" w:lineRule="auto"/>
              <w:ind w:right="0" w:firstLine="0"/>
              <w:jc w:val="center"/>
            </w:pPr>
          </w:p>
        </w:tc>
        <w:tc>
          <w:tcPr>
            <w:tcW w:w="1440" w:type="dxa"/>
            <w:shd w:val="clear" w:color="auto" w:fill="auto"/>
            <w:tcMar>
              <w:top w:w="100" w:type="dxa"/>
              <w:left w:w="100" w:type="dxa"/>
              <w:bottom w:w="100" w:type="dxa"/>
              <w:right w:w="100" w:type="dxa"/>
            </w:tcMar>
          </w:tcPr>
          <w:p w14:paraId="22ACE934" w14:textId="77777777" w:rsidR="00657E08" w:rsidRDefault="00483D1B" w:rsidP="00BF58C4">
            <w:pPr>
              <w:widowControl w:val="0"/>
              <w:spacing w:after="0" w:line="240" w:lineRule="auto"/>
              <w:ind w:right="0" w:firstLine="0"/>
              <w:jc w:val="center"/>
            </w:pPr>
            <w:r>
              <w:t>X</w:t>
            </w:r>
          </w:p>
        </w:tc>
        <w:tc>
          <w:tcPr>
            <w:tcW w:w="1350" w:type="dxa"/>
            <w:shd w:val="clear" w:color="auto" w:fill="auto"/>
            <w:tcMar>
              <w:top w:w="100" w:type="dxa"/>
              <w:left w:w="100" w:type="dxa"/>
              <w:bottom w:w="100" w:type="dxa"/>
              <w:right w:w="100" w:type="dxa"/>
            </w:tcMar>
          </w:tcPr>
          <w:p w14:paraId="5E7B326D" w14:textId="77777777" w:rsidR="00657E08" w:rsidRDefault="00483D1B" w:rsidP="00BF58C4">
            <w:pPr>
              <w:widowControl w:val="0"/>
              <w:spacing w:after="0" w:line="240" w:lineRule="auto"/>
              <w:ind w:right="0" w:firstLine="0"/>
              <w:jc w:val="center"/>
            </w:pPr>
            <w:r>
              <w:t>X</w:t>
            </w:r>
          </w:p>
        </w:tc>
      </w:tr>
      <w:tr w:rsidR="00657E08" w14:paraId="4645BB88" w14:textId="77777777" w:rsidTr="00C143E2">
        <w:trPr>
          <w:jc w:val="center"/>
        </w:trPr>
        <w:tc>
          <w:tcPr>
            <w:tcW w:w="3140" w:type="dxa"/>
            <w:shd w:val="clear" w:color="auto" w:fill="auto"/>
            <w:tcMar>
              <w:top w:w="100" w:type="dxa"/>
              <w:left w:w="100" w:type="dxa"/>
              <w:bottom w:w="100" w:type="dxa"/>
              <w:right w:w="100" w:type="dxa"/>
            </w:tcMar>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620" w:type="dxa"/>
            <w:shd w:val="clear" w:color="auto" w:fill="auto"/>
            <w:tcMar>
              <w:top w:w="100" w:type="dxa"/>
              <w:left w:w="100" w:type="dxa"/>
              <w:bottom w:w="100" w:type="dxa"/>
              <w:right w:w="100" w:type="dxa"/>
            </w:tcMar>
          </w:tcPr>
          <w:p w14:paraId="079B5532" w14:textId="77777777" w:rsidR="00657E08" w:rsidRDefault="00657E08" w:rsidP="00BF58C4">
            <w:pPr>
              <w:widowControl w:val="0"/>
              <w:spacing w:after="0" w:line="240" w:lineRule="auto"/>
              <w:ind w:right="0" w:firstLine="0"/>
              <w:jc w:val="center"/>
            </w:pPr>
          </w:p>
        </w:tc>
        <w:tc>
          <w:tcPr>
            <w:tcW w:w="1530" w:type="dxa"/>
            <w:shd w:val="clear" w:color="auto" w:fill="auto"/>
            <w:tcMar>
              <w:top w:w="100" w:type="dxa"/>
              <w:left w:w="100" w:type="dxa"/>
              <w:bottom w:w="100" w:type="dxa"/>
              <w:right w:w="100" w:type="dxa"/>
            </w:tcMar>
          </w:tcPr>
          <w:p w14:paraId="6D20199B" w14:textId="77777777" w:rsidR="00657E08" w:rsidRDefault="00483D1B" w:rsidP="00BF58C4">
            <w:pPr>
              <w:widowControl w:val="0"/>
              <w:spacing w:after="0" w:line="240" w:lineRule="auto"/>
              <w:ind w:right="0" w:firstLine="0"/>
              <w:jc w:val="center"/>
            </w:pPr>
            <w:r>
              <w:t>X</w:t>
            </w:r>
          </w:p>
        </w:tc>
        <w:tc>
          <w:tcPr>
            <w:tcW w:w="1440" w:type="dxa"/>
            <w:shd w:val="clear" w:color="auto" w:fill="auto"/>
            <w:tcMar>
              <w:top w:w="100" w:type="dxa"/>
              <w:left w:w="100" w:type="dxa"/>
              <w:bottom w:w="100" w:type="dxa"/>
              <w:right w:w="100" w:type="dxa"/>
            </w:tcMar>
          </w:tcPr>
          <w:p w14:paraId="0383433A" w14:textId="77777777" w:rsidR="00657E08" w:rsidRDefault="00483D1B" w:rsidP="00BF58C4">
            <w:pPr>
              <w:widowControl w:val="0"/>
              <w:spacing w:after="0" w:line="240" w:lineRule="auto"/>
              <w:ind w:right="0" w:firstLine="0"/>
              <w:jc w:val="center"/>
            </w:pPr>
            <w:r>
              <w:t>X</w:t>
            </w:r>
          </w:p>
        </w:tc>
        <w:tc>
          <w:tcPr>
            <w:tcW w:w="1350" w:type="dxa"/>
            <w:shd w:val="clear" w:color="auto" w:fill="auto"/>
            <w:tcMar>
              <w:top w:w="100" w:type="dxa"/>
              <w:left w:w="100" w:type="dxa"/>
              <w:bottom w:w="100" w:type="dxa"/>
              <w:right w:w="100" w:type="dxa"/>
            </w:tcMar>
          </w:tcPr>
          <w:p w14:paraId="5DB6BB8B" w14:textId="77777777" w:rsidR="00657E08" w:rsidRDefault="00483D1B" w:rsidP="00BF58C4">
            <w:pPr>
              <w:widowControl w:val="0"/>
              <w:spacing w:after="0" w:line="240" w:lineRule="auto"/>
              <w:ind w:right="0" w:firstLine="0"/>
              <w:jc w:val="center"/>
            </w:pPr>
            <w:r>
              <w:t>X</w:t>
            </w:r>
          </w:p>
        </w:tc>
      </w:tr>
      <w:tr w:rsidR="00657E08" w14:paraId="1FD383A2" w14:textId="77777777" w:rsidTr="00C143E2">
        <w:trPr>
          <w:jc w:val="center"/>
        </w:trPr>
        <w:tc>
          <w:tcPr>
            <w:tcW w:w="3140" w:type="dxa"/>
            <w:shd w:val="clear" w:color="auto" w:fill="auto"/>
            <w:tcMar>
              <w:top w:w="100" w:type="dxa"/>
              <w:left w:w="100" w:type="dxa"/>
              <w:bottom w:w="100" w:type="dxa"/>
              <w:right w:w="100" w:type="dxa"/>
            </w:tcMar>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620" w:type="dxa"/>
            <w:shd w:val="clear" w:color="auto" w:fill="auto"/>
            <w:tcMar>
              <w:top w:w="100" w:type="dxa"/>
              <w:left w:w="100" w:type="dxa"/>
              <w:bottom w:w="100" w:type="dxa"/>
              <w:right w:w="100" w:type="dxa"/>
            </w:tcMar>
          </w:tcPr>
          <w:p w14:paraId="11A84556" w14:textId="77777777" w:rsidR="00657E08" w:rsidRDefault="00483D1B" w:rsidP="00BF58C4">
            <w:pPr>
              <w:widowControl w:val="0"/>
              <w:spacing w:after="0" w:line="240" w:lineRule="auto"/>
              <w:ind w:right="0" w:firstLine="0"/>
              <w:jc w:val="center"/>
            </w:pPr>
            <w:r>
              <w:t>X</w:t>
            </w:r>
          </w:p>
        </w:tc>
        <w:tc>
          <w:tcPr>
            <w:tcW w:w="1530" w:type="dxa"/>
            <w:shd w:val="clear" w:color="auto" w:fill="auto"/>
            <w:tcMar>
              <w:top w:w="100" w:type="dxa"/>
              <w:left w:w="100" w:type="dxa"/>
              <w:bottom w:w="100" w:type="dxa"/>
              <w:right w:w="100" w:type="dxa"/>
            </w:tcMar>
          </w:tcPr>
          <w:p w14:paraId="7F78BFFE" w14:textId="77777777" w:rsidR="00657E08" w:rsidRDefault="00483D1B" w:rsidP="00BF58C4">
            <w:pPr>
              <w:widowControl w:val="0"/>
              <w:spacing w:after="0" w:line="240" w:lineRule="auto"/>
              <w:ind w:right="0" w:firstLine="0"/>
              <w:jc w:val="center"/>
            </w:pPr>
            <w:r>
              <w:t>X</w:t>
            </w:r>
          </w:p>
        </w:tc>
        <w:tc>
          <w:tcPr>
            <w:tcW w:w="1440" w:type="dxa"/>
            <w:shd w:val="clear" w:color="auto" w:fill="auto"/>
            <w:tcMar>
              <w:top w:w="100" w:type="dxa"/>
              <w:left w:w="100" w:type="dxa"/>
              <w:bottom w:w="100" w:type="dxa"/>
              <w:right w:w="100" w:type="dxa"/>
            </w:tcMar>
          </w:tcPr>
          <w:p w14:paraId="566A659D" w14:textId="77777777" w:rsidR="00657E08" w:rsidRDefault="00483D1B" w:rsidP="00BF58C4">
            <w:pPr>
              <w:widowControl w:val="0"/>
              <w:spacing w:after="0" w:line="240" w:lineRule="auto"/>
              <w:ind w:right="0" w:firstLine="0"/>
              <w:jc w:val="center"/>
            </w:pPr>
            <w:r>
              <w:t>X</w:t>
            </w:r>
          </w:p>
        </w:tc>
        <w:tc>
          <w:tcPr>
            <w:tcW w:w="1350" w:type="dxa"/>
            <w:shd w:val="clear" w:color="auto" w:fill="auto"/>
            <w:tcMar>
              <w:top w:w="100" w:type="dxa"/>
              <w:left w:w="100" w:type="dxa"/>
              <w:bottom w:w="100" w:type="dxa"/>
              <w:right w:w="100" w:type="dxa"/>
            </w:tcMar>
          </w:tcPr>
          <w:p w14:paraId="4AC91911" w14:textId="77777777" w:rsidR="00657E08" w:rsidRDefault="00483D1B" w:rsidP="00BF58C4">
            <w:pPr>
              <w:widowControl w:val="0"/>
              <w:spacing w:after="0" w:line="240" w:lineRule="auto"/>
              <w:ind w:right="0" w:firstLine="0"/>
              <w:jc w:val="center"/>
            </w:pPr>
            <w:r>
              <w:t>X</w:t>
            </w:r>
          </w:p>
        </w:tc>
      </w:tr>
    </w:tbl>
    <w:p w14:paraId="106DAB41" w14:textId="77777777" w:rsidR="00657E08" w:rsidRDefault="00657E08">
      <w:pPr>
        <w:ind w:firstLine="0"/>
      </w:pPr>
    </w:p>
    <w:p w14:paraId="5A4FA870" w14:textId="53F4586C" w:rsidR="00657E08" w:rsidRDefault="00483D1B">
      <w:pPr>
        <w:ind w:firstLine="0"/>
      </w:pPr>
      <w:r>
        <w:t>Table 2 lists these cases by distance from Washington DC.</w:t>
      </w:r>
      <w:r w:rsidRPr="00BF58C4">
        <w:rPr>
          <w:rStyle w:val="FootnoteReference"/>
        </w:rPr>
        <w:footnoteReference w:id="80"/>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deterrence, </w:t>
      </w:r>
      <w:r w:rsidR="00035595">
        <w:t>t</w:t>
      </w:r>
      <w:r>
        <w:t xml:space="preserve">hese factors combine to create a gradient of decreasing deterrence. Russian </w:t>
      </w:r>
      <w:r>
        <w:lastRenderedPageBreak/>
        <w:t xml:space="preserve">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of influence</w:t>
      </w:r>
      <w:r w:rsidR="009B52F3">
        <w:t>.</w:t>
      </w:r>
      <w:r>
        <w:t xml:space="preserve"> </w:t>
      </w:r>
      <w:r w:rsidR="00A403C9">
        <w:t>At the weakest end of the deterrence gradient, R</w:t>
      </w:r>
      <w:r>
        <w:t>ussia intervene</w:t>
      </w:r>
      <w:r w:rsidR="009B52F3">
        <w:t>d in Georgia</w:t>
      </w:r>
      <w:r>
        <w:t xml:space="preserve"> </w:t>
      </w:r>
      <w:r w:rsidR="009B52F3">
        <w:t xml:space="preserve">using </w:t>
      </w:r>
      <w:r w:rsidR="00A403C9">
        <w:t xml:space="preserve">not only cyber-attacks but also paramilitaries and </w:t>
      </w:r>
      <w:r>
        <w:t>overt</w:t>
      </w:r>
      <w:r w:rsidR="009B52F3">
        <w:t xml:space="preserve"> military force</w:t>
      </w:r>
      <w:r>
        <w:t>.</w:t>
      </w:r>
      <w:r w:rsidR="001C4A74" w:rsidRPr="00BF58C4">
        <w:rPr>
          <w:rStyle w:val="FootnoteReference"/>
        </w:rPr>
        <w:footnoteReference w:id="81"/>
      </w:r>
      <w:r>
        <w:t xml:space="preserve">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19" w:name="_c8qq01qhrze2" w:colFirst="0" w:colLast="0"/>
      <w:bookmarkEnd w:id="19"/>
      <w:r>
        <w:t>Estonia (2007)</w:t>
      </w:r>
    </w:p>
    <w:p w14:paraId="4923D5F3" w14:textId="4DA713B3" w:rsidR="00657E08" w:rsidRDefault="00483D1B">
      <w:pPr>
        <w:ind w:firstLine="0"/>
      </w:pPr>
      <w:r>
        <w:t>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was uniquely dependent on online transactions, and no country, let alone a NATO member, had ever been attacked so suddenly and aggressively by a botnet.</w:t>
      </w:r>
      <w:r w:rsidR="00D76809">
        <w:rPr>
          <w:rStyle w:val="FootnoteReference"/>
        </w:rPr>
        <w:footnoteReference w:id="82"/>
      </w:r>
      <w:r>
        <w:t xml:space="preserve"> Estonia’s defense minister considered but ultimately rejected invoking Article V, the collective defense clause of the NATO treaty, instead requesting and receiving technical assistance.</w:t>
      </w:r>
      <w:r w:rsidR="00D76809">
        <w:rPr>
          <w:rStyle w:val="FootnoteReference"/>
        </w:rPr>
        <w:footnoteReference w:id="83"/>
      </w:r>
      <w:r>
        <w:t xml:space="preserve"> The attacks continued in </w:t>
      </w:r>
      <w:r w:rsidR="001C4A74">
        <w:t xml:space="preserve">attenuated </w:t>
      </w:r>
      <w:r>
        <w:t>form for two and a half weeks. Some ambiguity about responsibility persists, but evidence suggests coordination from the Russian government in collaboration with so-called patriotic hackers.</w:t>
      </w:r>
      <w:r w:rsidR="00D76809">
        <w:rPr>
          <w:rStyle w:val="FootnoteReference"/>
        </w:rPr>
        <w:footnoteReference w:id="84"/>
      </w:r>
    </w:p>
    <w:p w14:paraId="7ED39D78" w14:textId="77777777" w:rsidR="00657E08" w:rsidRDefault="00657E08">
      <w:pPr>
        <w:ind w:firstLine="0"/>
      </w:pPr>
    </w:p>
    <w:p w14:paraId="174D0EC4" w14:textId="27986946" w:rsidR="00657E08" w:rsidRDefault="00483D1B">
      <w:pPr>
        <w:spacing w:after="200" w:line="276" w:lineRule="auto"/>
        <w:ind w:left="-15" w:right="0" w:firstLine="0"/>
      </w:pPr>
      <w:r>
        <w:t>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w:t>
      </w:r>
      <w:r w:rsidR="00A403C9">
        <w:t>—</w:t>
      </w:r>
      <w:r>
        <w:t>the belligerents, their agents, their targets, and external audiences</w:t>
      </w:r>
      <w:r w:rsidR="00A403C9">
        <w:t>—</w:t>
      </w:r>
      <w:r>
        <w:t xml:space="preserve">were relatively inexperienced with cyber operations at scale in 2007. The legal status of a </w:t>
      </w:r>
      <w:r w:rsidR="008F67D3">
        <w:t>cyber-attack</w:t>
      </w:r>
      <w:r>
        <w:t xml:space="preserve"> had </w:t>
      </w:r>
      <w:r>
        <w:lastRenderedPageBreak/>
        <w:t>not yet been clarified, which provided both an opportunity and a constraint for Russia.</w:t>
      </w:r>
      <w:r w:rsidR="00D76809">
        <w:rPr>
          <w:rStyle w:val="FootnoteReference"/>
        </w:rPr>
        <w:footnoteReference w:id="85"/>
      </w:r>
      <w:r>
        <w:t xml:space="preserve">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w:t>
      </w:r>
      <w:r w:rsidR="00D76809">
        <w:rPr>
          <w:rStyle w:val="FootnoteReference"/>
        </w:rPr>
        <w:footnoteReference w:id="86"/>
      </w:r>
    </w:p>
    <w:p w14:paraId="023C2696" w14:textId="77777777" w:rsidR="00657E08" w:rsidRDefault="00483D1B">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20" w:name="_qfl5qr5bywfn" w:colFirst="0" w:colLast="0"/>
      <w:bookmarkEnd w:id="20"/>
      <w:r>
        <w:t>Georgia (2008)</w:t>
      </w:r>
    </w:p>
    <w:p w14:paraId="31375E8E" w14:textId="1D0B6CE9" w:rsidR="00657E08" w:rsidRDefault="00483D1B">
      <w:pPr>
        <w:spacing w:after="200" w:line="276" w:lineRule="auto"/>
        <w:ind w:left="-15" w:right="0" w:firstLine="0"/>
      </w:pPr>
      <w:r>
        <w:t>A year later, Georgia was hit by similar waves of DDoS attacks amidst an even more fractious duel of competing narratives in online fora.</w:t>
      </w:r>
      <w:r w:rsidR="00D76809">
        <w:rPr>
          <w:rStyle w:val="FootnoteReference"/>
        </w:rPr>
        <w:footnoteReference w:id="87"/>
      </w:r>
      <w:r>
        <w:t xml:space="preserve"> Yet whereas the Estonian episode was restricted to the cyber domain, Russia also intervened militarily in Georgia, an early example of cross-domain operations leveraging cyberspace. While </w:t>
      </w:r>
      <w:r w:rsidR="008F67D3">
        <w:t>cyber-attack</w:t>
      </w:r>
      <w:r>
        <w:t>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653F5761" w:rsidR="00657E08" w:rsidRDefault="00483D1B">
      <w:pPr>
        <w:spacing w:after="200" w:line="276" w:lineRule="auto"/>
        <w:ind w:left="-15" w:right="0" w:firstLine="0"/>
      </w:pPr>
      <w:r>
        <w:t xml:space="preserve">Following </w:t>
      </w:r>
      <w:r w:rsidR="00A403C9">
        <w:t>the</w:t>
      </w:r>
      <w:r>
        <w:t xml:space="preserve"> civil war after the Soviet collapse, Russia stationed peacekeepers in Abkhazia and South Ossetia, ostensibly to protect non-Georgian minorities. Tbilisi resented the occupation and, especially after the Rose Revolution of 2003, sought Western security guarantees and NATO membership.</w:t>
      </w:r>
      <w:r w:rsidR="00D76809">
        <w:rPr>
          <w:rStyle w:val="FootnoteReference"/>
        </w:rPr>
        <w:footnoteReference w:id="88"/>
      </w:r>
      <w:r>
        <w:t xml:space="preserve">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w:t>
      </w:r>
      <w:r>
        <w:lastRenderedPageBreak/>
        <w:t>a peace agreement on 15 August which left Russian forces stationed in the de facto autonomous provinces.</w:t>
      </w:r>
      <w:r w:rsidR="00D76809">
        <w:rPr>
          <w:rStyle w:val="FootnoteReference"/>
        </w:rPr>
        <w:footnoteReference w:id="89"/>
      </w:r>
    </w:p>
    <w:p w14:paraId="2E6A70B8" w14:textId="4A080F63" w:rsidR="00657E08" w:rsidRDefault="00483D1B">
      <w:pPr>
        <w:spacing w:after="200" w:line="276" w:lineRule="auto"/>
        <w:ind w:left="-15" w:right="0" w:firstLine="0"/>
      </w:pPr>
      <w:r>
        <w:t>Russia’s intervention choices in this conflict</w:t>
      </w:r>
      <w:r w:rsidR="00A403C9">
        <w:t>, situated at the far end of the Western deterrence gradient,</w:t>
      </w:r>
      <w:r>
        <w:t xml:space="preserve"> were </w:t>
      </w:r>
      <w:r w:rsidR="00A403C9">
        <w:t xml:space="preserve">more </w:t>
      </w:r>
      <w:r>
        <w:t>motivated by efficiency</w:t>
      </w:r>
      <w:r w:rsidR="00A403C9">
        <w:t xml:space="preserve"> than</w:t>
      </w:r>
      <w:r>
        <w:t xml:space="preserve">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point out, “because of Georgia’s location and its contested map, it is a security liability from the point of view of many in the West.”</w:t>
      </w:r>
      <w:r w:rsidR="00E14DA0">
        <w:rPr>
          <w:rStyle w:val="FootnoteReference"/>
        </w:rPr>
        <w:footnoteReference w:id="90"/>
      </w:r>
      <w:r>
        <w:t xml:space="preserve">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21" w:name="_15u7zsw4j3sl" w:colFirst="0" w:colLast="0"/>
      <w:bookmarkEnd w:id="21"/>
      <w:r>
        <w:t>Ukraine (2014)</w:t>
      </w:r>
    </w:p>
    <w:p w14:paraId="0D658B2A" w14:textId="5F5F1676" w:rsidR="00657E08" w:rsidRDefault="0050501B">
      <w:pPr>
        <w:pBdr>
          <w:top w:val="nil"/>
          <w:left w:val="nil"/>
          <w:bottom w:val="nil"/>
          <w:right w:val="nil"/>
          <w:between w:val="nil"/>
        </w:pBdr>
        <w:spacing w:after="200" w:line="276" w:lineRule="auto"/>
        <w:ind w:left="-15" w:right="0" w:firstLine="0"/>
      </w:pPr>
      <w:r>
        <w:t>One might argue</w:t>
      </w:r>
      <w:r w:rsidR="00483D1B">
        <w:t xml:space="preserve"> that Russia values the stakes differently in each conflict and thus the correlation with the deterrence gradient </w:t>
      </w:r>
      <w:r>
        <w:t xml:space="preserve">observed in Table 2 </w:t>
      </w:r>
      <w:r w:rsidR="00483D1B">
        <w:t>is spurious. The cases of Estonia and Georgia appear to be consistent with this alternative</w:t>
      </w:r>
      <w:r>
        <w:t xml:space="preserve"> explanation</w:t>
      </w:r>
      <w:r w:rsidR="00483D1B">
        <w:t xml:space="preserve">. Russia let Estonia join NATO without a fight in 2004 and merely sought to register a protest vote in 2007 when Tallinn moved a Soviet statue. By contrast, Russia had supported separatists in Georgia since the early 1990s and was highly resolved to ward off Western encroachment. </w:t>
      </w:r>
      <w:r w:rsidR="007E7BE2">
        <w:t>Efficiency alone</w:t>
      </w:r>
      <w:r w:rsidR="00483D1B">
        <w:t xml:space="preserve"> might </w:t>
      </w:r>
      <w:r w:rsidR="00B32B21">
        <w:t>th</w:t>
      </w:r>
      <w:r w:rsidR="007E7BE2">
        <w:t>us</w:t>
      </w:r>
      <w:r w:rsidR="00B32B21">
        <w:t xml:space="preserve"> </w:t>
      </w:r>
      <w:r w:rsidR="00483D1B">
        <w:t xml:space="preserve">explain the single-domain response </w:t>
      </w:r>
      <w:r>
        <w:t xml:space="preserve">in </w:t>
      </w:r>
      <w:r w:rsidR="00483D1B">
        <w:t>Estonia versus the multi-domain engagement in Georgia. The Ukraine</w:t>
      </w:r>
      <w:r w:rsidR="007E7BE2">
        <w:t xml:space="preserve"> case</w:t>
      </w:r>
      <w:r w:rsidR="00483D1B">
        <w:t xml:space="preserve">, however, </w:t>
      </w:r>
      <w:r w:rsidR="00B32B21">
        <w:t xml:space="preserve">finds </w:t>
      </w:r>
      <w:r w:rsidR="00483D1B">
        <w:t xml:space="preserve">this alternative </w:t>
      </w:r>
      <w:r w:rsidR="00B32B21">
        <w:t xml:space="preserve">account </w:t>
      </w:r>
      <w:r w:rsidR="00483D1B">
        <w:t xml:space="preserve">wanting. </w:t>
      </w:r>
    </w:p>
    <w:p w14:paraId="0B98921E" w14:textId="26643A09" w:rsidR="00657E08" w:rsidRDefault="00483D1B">
      <w:pPr>
        <w:pBdr>
          <w:top w:val="nil"/>
          <w:left w:val="nil"/>
          <w:bottom w:val="nil"/>
          <w:right w:val="nil"/>
          <w:between w:val="nil"/>
        </w:pBdr>
        <w:spacing w:after="200" w:line="276" w:lineRule="auto"/>
        <w:ind w:left="-15" w:right="0" w:firstLine="0"/>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w:t>
      </w:r>
      <w:r w:rsidR="007D5C7A">
        <w:t>relevant</w:t>
      </w:r>
      <w:r>
        <w:t xml:space="preserve">. </w:t>
      </w:r>
      <w:r w:rsidR="008F67D3">
        <w:t xml:space="preserve">Russian military planners </w:t>
      </w:r>
      <w:r w:rsidR="00042B06">
        <w:t xml:space="preserve">have </w:t>
      </w:r>
      <w:r w:rsidR="007D5C7A">
        <w:t xml:space="preserve">long </w:t>
      </w:r>
      <w:r w:rsidR="00042B06">
        <w:t>expressed</w:t>
      </w:r>
      <w:r w:rsidR="008F67D3">
        <w:t xml:space="preserve"> more concern over NATO forward deployment in Ukraine than </w:t>
      </w:r>
      <w:r w:rsidR="008F67D3">
        <w:lastRenderedPageBreak/>
        <w:t>in Georgia.</w:t>
      </w:r>
      <w:r w:rsidR="00E14DA0">
        <w:rPr>
          <w:rStyle w:val="FootnoteReference"/>
        </w:rPr>
        <w:footnoteReference w:id="91"/>
      </w:r>
      <w:r w:rsidR="00042B06">
        <w:t xml:space="preserve"> If Russian moves were motivated by efficiency rather than deterrence, then we would expect to see more overt Russian military </w:t>
      </w:r>
      <w:r w:rsidR="005A430D">
        <w:t xml:space="preserve">efforts </w:t>
      </w:r>
      <w:r w:rsidR="007D5C7A">
        <w:t>in Ukraine,</w:t>
      </w:r>
      <w:r w:rsidR="00042B06">
        <w:t xml:space="preserv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14:paraId="11FE5F51" w14:textId="70CA363F" w:rsidR="007D5C7A" w:rsidRDefault="003179E9" w:rsidP="00BF58C4">
      <w:pPr>
        <w:pBdr>
          <w:top w:val="nil"/>
          <w:left w:val="nil"/>
          <w:bottom w:val="nil"/>
          <w:right w:val="nil"/>
          <w:between w:val="nil"/>
        </w:pBdr>
        <w:spacing w:after="200" w:line="276" w:lineRule="auto"/>
        <w:ind w:right="0" w:firstLine="0"/>
      </w:pPr>
      <w:r>
        <w:t xml:space="preserve">The </w:t>
      </w:r>
      <w:r w:rsidR="00042B06">
        <w:t xml:space="preserve">Western deterrence posture regarding Ukraine was weak, but it was also not nothing. </w:t>
      </w:r>
      <w:r w:rsidR="00483D1B">
        <w:t xml:space="preserve">The Western response in the wake of the Maidan crisis </w:t>
      </w:r>
      <w:r w:rsidR="00042B06">
        <w:t>consisted</w:t>
      </w:r>
      <w:r w:rsidR="00483D1B">
        <w:t xml:space="preserve"> mainly of economic sanctions, deployments of U.S. fighter jets to Poland, and eventually arms and assistance to Kiev, but no NATO </w:t>
      </w:r>
      <w:r w:rsidR="00042B06">
        <w:t xml:space="preserve">ground combat </w:t>
      </w:r>
      <w:r w:rsidR="00483D1B">
        <w:t xml:space="preserve">forces on Ukrainian soil. Fighter jets would, of course, </w:t>
      </w:r>
      <w:r w:rsidR="00042B06">
        <w:t xml:space="preserve">have been </w:t>
      </w:r>
      <w:r w:rsidR="00483D1B">
        <w:t xml:space="preserve">ideal for attacking Russian armored columns in a conventional war, but their very mobility </w:t>
      </w:r>
      <w:r w:rsidR="00042B06">
        <w:t xml:space="preserve">made </w:t>
      </w:r>
      <w:r w:rsidR="00483D1B">
        <w:t xml:space="preserve">them a weak signal of commitment </w:t>
      </w:r>
      <w:r w:rsidR="00042B06">
        <w:t xml:space="preserve">as </w:t>
      </w:r>
      <w:r w:rsidR="00483D1B">
        <w:t>compared to a counterfactual ground force deployment.</w:t>
      </w:r>
      <w:r w:rsidR="00E14DA0">
        <w:rPr>
          <w:rStyle w:val="FootnoteReference"/>
        </w:rPr>
        <w:footnoteReference w:id="92"/>
      </w:r>
      <w:r w:rsidR="00483D1B">
        <w:t xml:space="preserve"> It is not uncommon in cross-domain deterrence that the means suited for winning one type of war are ill suited for deterring another type of war.</w:t>
      </w:r>
      <w:r w:rsidR="007D5C7A">
        <w:t xml:space="preserve"> This weakness created permissive conditions for Russian intervention.</w:t>
      </w:r>
      <w:r w:rsidR="00483D1B">
        <w:t xml:space="preserve"> </w:t>
      </w:r>
      <w:r w:rsidR="0050501B">
        <w:t xml:space="preserve">Nevertheless, NATO has conventional escalation dominance, should it decide to intervene on behalf of Ukraine. Russia would most likely lose a conventional contest involving NATO, risking escalation to nuclear war in the process. This risk </w:t>
      </w:r>
      <w:r w:rsidR="007D5C7A">
        <w:t xml:space="preserve">has </w:t>
      </w:r>
      <w:r w:rsidR="00603A5E">
        <w:t xml:space="preserve">led to </w:t>
      </w:r>
      <w:r w:rsidR="0050501B">
        <w:t xml:space="preserve">Russian circumspection. For example, when Malaysian Airlines flight MH17 was shot down over Donetsk by a Russian BUK anti-aircraft system, Moscow quickly withdrew </w:t>
      </w:r>
      <w:proofErr w:type="gramStart"/>
      <w:r w:rsidR="0050501B">
        <w:t>all of</w:t>
      </w:r>
      <w:proofErr w:type="gramEnd"/>
      <w:r w:rsidR="0050501B">
        <w:t xml:space="preserve"> its heavy weapons from the battlefield.</w:t>
      </w:r>
      <w:r w:rsidR="00E14DA0">
        <w:rPr>
          <w:rStyle w:val="FootnoteReference"/>
        </w:rPr>
        <w:footnoteReference w:id="93"/>
      </w:r>
      <w:r w:rsidR="0050501B">
        <w:t xml:space="preserve"> Gray zone conflict in Ukraine is implicitly shaped by Western deterrence, even though NATO has no formal commitment to Ukraine.</w:t>
      </w:r>
    </w:p>
    <w:p w14:paraId="256BC780" w14:textId="075F02D7" w:rsidR="00657E08" w:rsidRDefault="007D5C7A" w:rsidP="001D4B20">
      <w:pPr>
        <w:pBdr>
          <w:top w:val="nil"/>
          <w:left w:val="nil"/>
          <w:bottom w:val="nil"/>
          <w:right w:val="nil"/>
          <w:between w:val="nil"/>
        </w:pBdr>
        <w:spacing w:after="200" w:line="276" w:lineRule="auto"/>
        <w:ind w:left="-15" w:right="0" w:firstLine="0"/>
      </w:pPr>
      <w:r>
        <w:t xml:space="preserve">The cumulative intensity of the war in Ukraine has claimed a higher butcher’s bill than the war in Georgia, </w:t>
      </w:r>
      <w:r w:rsidR="00D97DFC">
        <w:t>consistent with</w:t>
      </w:r>
      <w:r>
        <w:t xml:space="preserve">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w:t>
      </w:r>
      <w:r w:rsidR="00E14DA0">
        <w:rPr>
          <w:rStyle w:val="FootnoteReference"/>
        </w:rPr>
        <w:footnoteReference w:id="94"/>
      </w:r>
      <w:r>
        <w:t xml:space="preserve"> Covert interventions, even open secrets like Moscow’s deployments to Ukraine and aggressive cyber operations, tend to convey mixed signals of resolve and </w:t>
      </w:r>
      <w:r>
        <w:lastRenderedPageBreak/>
        <w:t>restraint.</w:t>
      </w:r>
      <w:r w:rsidR="00E14DA0">
        <w:rPr>
          <w:rStyle w:val="FootnoteReference"/>
        </w:rPr>
        <w:footnoteReference w:id="95"/>
      </w:r>
      <w:r>
        <w:t xml:space="preserve"> The costliness of the intervention signals resolve, but the fact that costs could be higher and the efforts made to allow both sides to save face signals restraint. As Brantley et</w:t>
      </w:r>
      <w:r w:rsidR="00E14DA0">
        <w:t>.</w:t>
      </w:r>
      <w:r>
        <w:t xml:space="preserve"> al</w:t>
      </w:r>
      <w:r w:rsidR="00E14DA0">
        <w:t>.</w:t>
      </w:r>
      <w:r>
        <w:t xml:space="preserve"> point</w:t>
      </w:r>
      <w:r w:rsidR="00C143E2">
        <w:t>s</w:t>
      </w:r>
      <w:r>
        <w:t xml:space="preserve"> out, the modal diversity of conflict in Ukraine has lacked </w:t>
      </w:r>
      <w:proofErr w:type="gramStart"/>
      <w:r>
        <w:t>sufficient</w:t>
      </w:r>
      <w:proofErr w:type="gramEnd"/>
      <w:r>
        <w:t xml:space="preserve"> intensity to warrant outside intervention.</w:t>
      </w:r>
      <w:r w:rsidR="00E14DA0">
        <w:rPr>
          <w:rStyle w:val="FootnoteReference"/>
        </w:rPr>
        <w:footnoteReference w:id="96"/>
      </w:r>
    </w:p>
    <w:p w14:paraId="32D14D6C" w14:textId="233A791D" w:rsidR="00657E08" w:rsidRDefault="007D5C7A">
      <w:pPr>
        <w:pBdr>
          <w:top w:val="nil"/>
          <w:left w:val="nil"/>
          <w:bottom w:val="nil"/>
          <w:right w:val="nil"/>
          <w:between w:val="nil"/>
        </w:pBdr>
        <w:spacing w:after="200" w:line="276" w:lineRule="auto"/>
        <w:ind w:left="-15" w:right="0" w:firstLine="0"/>
      </w:pPr>
      <w:r>
        <w:t>The cyber domain is especially attractive for a</w:t>
      </w:r>
      <w:r w:rsidR="00EA18E1">
        <w:t xml:space="preserve"> risk-averse</w:t>
      </w:r>
      <w:r>
        <w:t xml:space="preserve"> </w:t>
      </w:r>
      <w:r w:rsidR="00EA18E1">
        <w:t>opportunist</w:t>
      </w:r>
      <w:r>
        <w:t xml:space="preserve">. Indeed, </w:t>
      </w:r>
      <w:r w:rsidR="00483D1B">
        <w:t>Ukraine has emerged as a testbed for Russian cyber warfare</w:t>
      </w:r>
      <w:r w:rsidR="0050501B">
        <w:t xml:space="preserve">, </w:t>
      </w:r>
      <w:r>
        <w:t>even as</w:t>
      </w:r>
      <w:r w:rsidR="0050501B">
        <w:t xml:space="preserve"> Russia </w:t>
      </w:r>
      <w:r>
        <w:t>has not</w:t>
      </w:r>
      <w:r w:rsidR="0050501B">
        <w:t xml:space="preserve"> realized much for its efforts</w:t>
      </w:r>
      <w:r w:rsidR="00483D1B">
        <w:t>.</w:t>
      </w:r>
      <w:r w:rsidR="00E14DA0">
        <w:rPr>
          <w:rStyle w:val="FootnoteReference"/>
        </w:rPr>
        <w:footnoteReference w:id="97"/>
      </w:r>
      <w:r w:rsidR="00483D1B">
        <w:t xml:space="preserve"> In the first major cyber-physical attack since Stuxnet, the Ukrainian power grid was briefly disrupted in 2015 and again in 2016, but services were quickly restored </w:t>
      </w:r>
      <w:r>
        <w:t>in each case</w:t>
      </w:r>
      <w:r w:rsidR="00483D1B">
        <w:t>.</w:t>
      </w:r>
      <w:r w:rsidR="00E14DA0">
        <w:rPr>
          <w:rStyle w:val="FootnoteReference"/>
        </w:rPr>
        <w:footnoteReference w:id="98"/>
      </w:r>
      <w:r w:rsidR="00483D1B">
        <w:t xml:space="preserve"> </w:t>
      </w:r>
      <w:r w:rsidR="003179E9">
        <w:t>T</w:t>
      </w:r>
      <w:r w:rsidR="00483D1B">
        <w:t xml:space="preserve">hese events </w:t>
      </w:r>
      <w:r w:rsidR="003179E9">
        <w:t xml:space="preserve">were </w:t>
      </w:r>
      <w:r w:rsidR="00483D1B">
        <w:t>notable</w:t>
      </w:r>
      <w:r>
        <w:t xml:space="preserve"> both</w:t>
      </w:r>
      <w:r w:rsidR="00483D1B">
        <w:t xml:space="preserve"> for their technical sophistication </w:t>
      </w:r>
      <w:r>
        <w:t>and inconsequential</w:t>
      </w:r>
      <w:r w:rsidR="00483D1B">
        <w:t xml:space="preserve"> </w:t>
      </w:r>
      <w:r>
        <w:t xml:space="preserve">strategic </w:t>
      </w:r>
      <w:r w:rsidR="00483D1B">
        <w:t>effects</w:t>
      </w:r>
      <w:r w:rsidR="003179E9">
        <w:t>, not unlike Stuxnet</w:t>
      </w:r>
      <w:r w:rsidR="00483D1B">
        <w:t>.</w:t>
      </w:r>
      <w:r w:rsidR="00E14DA0">
        <w:rPr>
          <w:rStyle w:val="FootnoteReference"/>
        </w:rPr>
        <w:footnoteReference w:id="99"/>
      </w:r>
      <w:r w:rsidR="00483D1B">
        <w:t xml:space="preserve"> </w:t>
      </w:r>
      <w:proofErr w:type="spellStart"/>
      <w:r w:rsidR="00483D1B">
        <w:t>NotPetya</w:t>
      </w:r>
      <w:proofErr w:type="spellEnd"/>
      <w:r w:rsidR="003179E9">
        <w:t xml:space="preserve"> attacks</w:t>
      </w:r>
      <w:r>
        <w:t>, by contrast,</w:t>
      </w:r>
      <w:r w:rsidR="003179E9">
        <w:t xml:space="preserve"> </w:t>
      </w:r>
      <w:r w:rsidR="00483D1B">
        <w:t>may have wiped ten percent of the computers in Ukraine</w:t>
      </w:r>
      <w:r w:rsidR="003179E9">
        <w:t>,</w:t>
      </w:r>
      <w:r w:rsidR="00483D1B">
        <w:t xml:space="preserve"> including banks, federal agencies, and the Chernobyl clean-up si</w:t>
      </w:r>
      <w:bookmarkStart w:id="22" w:name="_GoBack"/>
      <w:bookmarkEnd w:id="22"/>
      <w:r w:rsidR="00483D1B">
        <w:t>te</w:t>
      </w:r>
      <w:r w:rsidR="003179E9">
        <w:t xml:space="preserve">, and </w:t>
      </w:r>
      <w:r w:rsidR="00483D1B">
        <w:t xml:space="preserve">Maersk shipping worldwide was paralyzed for a few days </w:t>
      </w:r>
      <w:r w:rsidR="003179E9">
        <w:t xml:space="preserve">via an infection in its </w:t>
      </w:r>
      <w:r w:rsidR="00483D1B">
        <w:t>Odessa office</w:t>
      </w:r>
      <w:r w:rsidR="003179E9">
        <w:t>.</w:t>
      </w:r>
      <w:r w:rsidR="003179E9" w:rsidRPr="00BF58C4">
        <w:rPr>
          <w:rStyle w:val="FootnoteReference"/>
        </w:rPr>
        <w:footnoteReference w:id="100"/>
      </w:r>
      <w:r w:rsidR="003179E9">
        <w:t xml:space="preserve"> </w:t>
      </w:r>
      <w:r w:rsidR="00483D1B">
        <w:t xml:space="preserve">Yet </w:t>
      </w:r>
      <w:r w:rsidR="003179E9">
        <w:t xml:space="preserve">the endemic </w:t>
      </w:r>
      <w:r>
        <w:t xml:space="preserve">Russian </w:t>
      </w:r>
      <w:r w:rsidR="00483D1B">
        <w:t>cyber</w:t>
      </w:r>
      <w:r w:rsidR="00E14DA0">
        <w:t>-</w:t>
      </w:r>
      <w:r w:rsidR="00483D1B">
        <w:t>attacks and information operations have had little impact on battlefield events.</w:t>
      </w:r>
      <w:r w:rsidR="00E14DA0">
        <w:rPr>
          <w:rStyle w:val="FootnoteReference"/>
        </w:rPr>
        <w:footnoteReference w:id="101"/>
      </w:r>
      <w:r w:rsidR="00483D1B">
        <w:t xml:space="preserve"> Even in social media operations, </w:t>
      </w:r>
      <w:r>
        <w:t xml:space="preserve">supposedly a devious </w:t>
      </w:r>
      <w:r w:rsidR="00483D1B">
        <w:t xml:space="preserve">Russian specialty, pro-Kremlin narratives never </w:t>
      </w:r>
      <w:r>
        <w:t xml:space="preserve">really </w:t>
      </w:r>
      <w:r w:rsidR="00483D1B">
        <w:t>took hold in Western Ukraine.</w:t>
      </w:r>
      <w:r w:rsidR="00E14DA0">
        <w:rPr>
          <w:rStyle w:val="FootnoteReference"/>
        </w:rPr>
        <w:footnoteReference w:id="102"/>
      </w:r>
    </w:p>
    <w:p w14:paraId="1D881449" w14:textId="77777777" w:rsidR="00657E08" w:rsidRDefault="00483D1B">
      <w:pPr>
        <w:pStyle w:val="Heading3"/>
        <w:spacing w:after="200" w:line="276" w:lineRule="auto"/>
        <w:ind w:left="-5"/>
      </w:pPr>
      <w:bookmarkStart w:id="23" w:name="_p4w3lxqpnd1i" w:colFirst="0" w:colLast="0"/>
      <w:bookmarkEnd w:id="23"/>
      <w:r>
        <w:t>United States (2016)</w:t>
      </w:r>
    </w:p>
    <w:p w14:paraId="087EE394" w14:textId="75841B29" w:rsidR="00657E08" w:rsidRDefault="00483D1B">
      <w:pPr>
        <w:spacing w:after="200" w:line="276" w:lineRule="auto"/>
        <w:ind w:left="-15" w:right="0" w:firstLine="0"/>
      </w:pPr>
      <w:r>
        <w:t xml:space="preserve">The most recent of the four major Russian cyber campaigns is both the most restrained and potentially most consequential. </w:t>
      </w:r>
      <w:r w:rsidR="00D97DFC">
        <w:t>T</w:t>
      </w:r>
      <w:r>
        <w:t xml:space="preserve">here is </w:t>
      </w:r>
      <w:r w:rsidR="00D97DFC">
        <w:t xml:space="preserve">a </w:t>
      </w:r>
      <w:r>
        <w:t xml:space="preserve">general consensus that the Russian government interfered in the 2016 US election by hacking the Democratic National Committee, leaking incriminating information via Wikileaks, posting disinformation on social media sites like </w:t>
      </w:r>
      <w:r>
        <w:lastRenderedPageBreak/>
        <w:t>Facebook, and infiltrating lobbyist groups.</w:t>
      </w:r>
      <w:r w:rsidR="00E14DA0">
        <w:rPr>
          <w:rStyle w:val="FootnoteReference"/>
        </w:rPr>
        <w:footnoteReference w:id="103"/>
      </w:r>
      <w:r>
        <w:t xml:space="preserve"> President Obama was aware of the Russian campaign in summer 2016 but did not publicly reveal his knowledge for fear of influencing the election.</w:t>
      </w:r>
      <w:r w:rsidR="00E14DA0">
        <w:rPr>
          <w:rStyle w:val="FootnoteReference"/>
        </w:rPr>
        <w:footnoteReference w:id="104"/>
      </w:r>
      <w:r>
        <w:t xml:space="preserve">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sidR="00E14DA0">
        <w:rPr>
          <w:rStyle w:val="FootnoteReference"/>
        </w:rPr>
        <w:footnoteReference w:id="105"/>
      </w:r>
    </w:p>
    <w:p w14:paraId="7632C984" w14:textId="2E8C9115" w:rsidR="00D97DFC" w:rsidRDefault="00483D1B" w:rsidP="00D97DFC">
      <w:pPr>
        <w:spacing w:after="200" w:line="276" w:lineRule="auto"/>
        <w:ind w:left="-15" w:right="0" w:firstLine="0"/>
      </w:pPr>
      <w:r>
        <w:t xml:space="preserve">Within the scope of a covert election influence campaign, Russia </w:t>
      </w:r>
      <w:r w:rsidR="00A53858">
        <w:t xml:space="preserve">did indeed pull </w:t>
      </w:r>
      <w:r>
        <w:t xml:space="preserve">out all the stops. </w:t>
      </w:r>
      <w:r w:rsidR="00D97DFC">
        <w:t xml:space="preserve">This case is the exception that proves the rule that gray zone conflict is conditioned by deterrence. </w:t>
      </w:r>
      <w:r>
        <w:t>Moscow orchestrated a diverse suite of operations ranging from technical computer network exploitation and media influence operations to human intelligence.</w:t>
      </w:r>
      <w:r w:rsidR="00E14DA0">
        <w:rPr>
          <w:rStyle w:val="FootnoteReference"/>
        </w:rPr>
        <w:footnoteReference w:id="106"/>
      </w:r>
      <w:r>
        <w:t xml:space="preserve"> Its full-court press could be described as unrestrained, even brazen, and thus motivated </w:t>
      </w:r>
      <w:r w:rsidR="00D97DFC">
        <w:t xml:space="preserve">entirely </w:t>
      </w:r>
      <w:r>
        <w:t xml:space="preserve">by efficiency calculations. Yet the choice to pursue this course of action in the first place was very much constrained by the implicit deterrence posture of the United States. What else could </w:t>
      </w:r>
      <w:r w:rsidR="00A53858">
        <w:t xml:space="preserve">Russia </w:t>
      </w:r>
      <w:r>
        <w:t xml:space="preserve">do? </w:t>
      </w:r>
      <w:r w:rsidR="00A53858">
        <w:t xml:space="preserve">Russia </w:t>
      </w:r>
      <w:r>
        <w:t xml:space="preserve">could safely assume that </w:t>
      </w:r>
      <w:r w:rsidR="00A53858" w:rsidRPr="00A53858">
        <w:t xml:space="preserve"> </w:t>
      </w:r>
      <w:r w:rsidR="00A53858">
        <w:t>the most powerful military in the world would retaliate for</w:t>
      </w:r>
      <w:r>
        <w:t xml:space="preserve"> armed attacks directly against </w:t>
      </w:r>
      <w:r w:rsidR="00A53858">
        <w:t>its vital interests</w:t>
      </w:r>
      <w:r>
        <w:t xml:space="preserve">.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w:t>
      </w:r>
      <w:r w:rsidR="00D97DFC">
        <w:t xml:space="preserve">Indeed, </w:t>
      </w:r>
      <w:r>
        <w:t>Russia's electoral interference has gone essentially unpunished by the United States</w:t>
      </w:r>
      <w:r w:rsidR="00D97DFC">
        <w:t xml:space="preserve"> to date</w:t>
      </w:r>
      <w:r>
        <w:t xml:space="preserve">, aside from the expulsion of some Russian intelligence officers and the application of </w:t>
      </w:r>
      <w:r w:rsidR="00A53858">
        <w:t xml:space="preserve">a few </w:t>
      </w:r>
      <w:r>
        <w:t>sanctions</w:t>
      </w:r>
      <w:r w:rsidR="00A53858">
        <w:t xml:space="preserve"> in addition to the regime in place since 2014</w:t>
      </w:r>
      <w:r>
        <w:t>.</w:t>
      </w:r>
      <w:r w:rsidR="00D97DFC">
        <w:t xml:space="preserve"> </w:t>
      </w:r>
    </w:p>
    <w:p w14:paraId="0D12EB45" w14:textId="69205846" w:rsidR="00D97DFC" w:rsidRDefault="00D97DFC" w:rsidP="001D4B20">
      <w:pPr>
        <w:spacing w:after="200" w:line="276" w:lineRule="auto"/>
        <w:ind w:left="-15" w:right="0" w:firstLine="0"/>
      </w:pPr>
      <w:r>
        <w:t xml:space="preserve">If Trump’s victory or subsequent policies can ever be credited to active measures by the Russian Federation, even in part, it would amount to one of the most consequential </w:t>
      </w:r>
      <w:r>
        <w:lastRenderedPageBreak/>
        <w:t xml:space="preserve">intelligence coups in history. It is just as likely that the Russian campaign simply added noise to one of the noisiest campaigns in U.S. presidential history. It is unclear how or even whether the Russian influence campaign affected voting behavior in what was, by any account, a </w:t>
      </w:r>
      <w:r w:rsidR="00EA18E1">
        <w:t>very</w:t>
      </w:r>
      <w:r>
        <w:t xml:space="preserve"> unique and chaotic election</w:t>
      </w:r>
      <w:r w:rsidR="00E14DA0">
        <w:t>.</w:t>
      </w:r>
      <w:r w:rsidR="00CE2918">
        <w:rPr>
          <w:rStyle w:val="FootnoteReference"/>
        </w:rPr>
        <w:footnoteReference w:id="107"/>
      </w:r>
      <w:r>
        <w:t xml:space="preserve"> The Clinton campaign made its share of mistakes, and candidate Trump tapped into a deep and hitherto unexploited well of resentment in the American electorate.</w:t>
      </w:r>
      <w:r w:rsidR="00E14DA0">
        <w:rPr>
          <w:rStyle w:val="FootnoteReference"/>
        </w:rPr>
        <w:footnoteReference w:id="108"/>
      </w:r>
      <w:r>
        <w:t xml:space="preserve">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w:t>
      </w:r>
      <w:r w:rsidR="00307C2B">
        <w:t>document</w:t>
      </w:r>
      <w:r>
        <w:t xml:space="preserve"> collusion between the Russian government and members of the Trump campaign, even as questions remain about the extent of </w:t>
      </w:r>
      <w:r w:rsidR="00EA18E1">
        <w:t>the candidate</w:t>
      </w:r>
      <w:r>
        <w:t xml:space="preserve">’s </w:t>
      </w:r>
      <w:r w:rsidR="00EA18E1">
        <w:t xml:space="preserve">personal </w:t>
      </w:r>
      <w:r>
        <w:t xml:space="preserve">involvement. </w:t>
      </w:r>
    </w:p>
    <w:p w14:paraId="0E7D7F9F" w14:textId="77777777" w:rsidR="00657E08" w:rsidRDefault="00483D1B">
      <w:pPr>
        <w:pStyle w:val="Heading2"/>
        <w:spacing w:after="200" w:line="276" w:lineRule="auto"/>
        <w:ind w:left="-15" w:firstLine="0"/>
      </w:pPr>
      <w:bookmarkStart w:id="24" w:name="_cs8vg3ebxn8j" w:colFirst="0" w:colLast="0"/>
      <w:bookmarkEnd w:id="24"/>
      <w:r>
        <w:t>Discussion</w:t>
      </w:r>
    </w:p>
    <w:p w14:paraId="7F95AC1B" w14:textId="454926C1" w:rsidR="00657E08" w:rsidRDefault="0063120E">
      <w:pPr>
        <w:spacing w:after="200" w:line="276" w:lineRule="auto"/>
        <w:ind w:left="-15" w:right="0" w:firstLine="0"/>
      </w:pPr>
      <w:r>
        <w:t xml:space="preserve">The </w:t>
      </w:r>
      <w:r w:rsidR="00D97DFC">
        <w:t xml:space="preserve">overall </w:t>
      </w:r>
      <w:r w:rsidR="00A53858">
        <w:t>pattern of</w:t>
      </w:r>
      <w:r w:rsidR="00D97DFC">
        <w:t xml:space="preserve"> recent</w:t>
      </w:r>
      <w:r w:rsidR="00A53858">
        <w:t xml:space="preserve"> </w:t>
      </w:r>
      <w:r w:rsidR="00483D1B">
        <w:t>Russia</w:t>
      </w:r>
      <w:r>
        <w:t>n</w:t>
      </w:r>
      <w:r w:rsidR="00483D1B">
        <w:t xml:space="preserve"> </w:t>
      </w:r>
      <w:r w:rsidR="00D97DFC">
        <w:t>intervention</w:t>
      </w:r>
      <w:r w:rsidR="0090322D">
        <w:t xml:space="preserve"> </w:t>
      </w:r>
      <w:r w:rsidR="00483D1B">
        <w:t xml:space="preserve">is </w:t>
      </w:r>
      <w:r w:rsidR="00EC2C13">
        <w:t xml:space="preserve">largely </w:t>
      </w:r>
      <w:r w:rsidR="00483D1B">
        <w:t xml:space="preserve">consistent with </w:t>
      </w:r>
      <w:r w:rsidR="00A53858">
        <w:t xml:space="preserve">our hypothesis </w:t>
      </w:r>
      <w:r w:rsidR="00483D1B">
        <w:t xml:space="preserve">that deterrence encourages </w:t>
      </w:r>
      <w:r w:rsidR="00A53858">
        <w:t>capable actors</w:t>
      </w:r>
      <w:r w:rsidR="00483D1B">
        <w:t xml:space="preserve"> to pull their punches. As the deterrence gradient drops off from West to East, Russia is more able to indulge in efficiency calculations </w:t>
      </w:r>
      <w:r w:rsidR="007B1ED2">
        <w:t>in pursuing</w:t>
      </w:r>
      <w:r w:rsidR="00483D1B">
        <w:t xml:space="preserve"> its international objectives.</w:t>
      </w:r>
      <w:r w:rsidR="00EA18E1">
        <w:t xml:space="preserve"> Again, geography does not determine deterrence, but </w:t>
      </w:r>
      <w:r w:rsidR="00C07CF2">
        <w:t>it is</w:t>
      </w:r>
      <w:r w:rsidR="00EA18E1">
        <w:t xml:space="preserve"> correlated with other factors like military power, NATO membership, and the proximity of interests that </w:t>
      </w:r>
      <w:r w:rsidR="007B1ED2">
        <w:t xml:space="preserve">shape deterrence </w:t>
      </w:r>
      <w:r w:rsidR="00C07CF2">
        <w:t>credibility</w:t>
      </w:r>
      <w:r w:rsidR="00EA18E1">
        <w:t>.</w:t>
      </w:r>
      <w:r w:rsidR="00483D1B">
        <w:t xml:space="preserve"> </w:t>
      </w:r>
      <w:r w:rsidR="00C07CF2">
        <w:t xml:space="preserve">The geographical </w:t>
      </w:r>
      <w:r w:rsidR="00483D1B">
        <w:t>correlation would not be present if conflict intensity were limited only by the means available</w:t>
      </w:r>
      <w:r w:rsidR="00C07CF2">
        <w:t xml:space="preserve"> t</w:t>
      </w:r>
      <w:r w:rsidR="00576BE0">
        <w:t>o</w:t>
      </w:r>
      <w:r w:rsidR="00C07CF2">
        <w:t xml:space="preserve"> Russia</w:t>
      </w:r>
      <w:r w:rsidR="00483D1B">
        <w:t xml:space="preserve"> or</w:t>
      </w:r>
      <w:r w:rsidR="00C07CF2">
        <w:t xml:space="preserve"> its</w:t>
      </w:r>
      <w:r w:rsidR="00483D1B">
        <w:t xml:space="preserve"> calculations about the most efficient</w:t>
      </w:r>
      <w:r w:rsidR="00A53858">
        <w:t xml:space="preserve"> or effective</w:t>
      </w:r>
      <w:r w:rsidR="00483D1B">
        <w:t xml:space="preserve"> way to conduct operations. While </w:t>
      </w:r>
      <w:r w:rsidR="00A53858">
        <w:t xml:space="preserve">the degree of </w:t>
      </w:r>
      <w:r w:rsidR="00483D1B">
        <w:t>Russian interest</w:t>
      </w:r>
      <w:r w:rsidR="00A53858">
        <w:t xml:space="preserve"> does </w:t>
      </w:r>
      <w:r w:rsidR="00483D1B">
        <w:t>vary</w:t>
      </w:r>
      <w:r w:rsidR="00A53858">
        <w:t xml:space="preserve"> across these cases</w:t>
      </w:r>
      <w:r w:rsidR="00483D1B">
        <w:t xml:space="preserve">, </w:t>
      </w:r>
      <w:r w:rsidR="00A53858">
        <w:t xml:space="preserve">the case of </w:t>
      </w:r>
      <w:r w:rsidR="00483D1B">
        <w:t xml:space="preserve">Ukraine </w:t>
      </w:r>
      <w:r w:rsidR="00C07CF2">
        <w:t xml:space="preserve">in particular </w:t>
      </w:r>
      <w:r w:rsidR="00483D1B">
        <w:t xml:space="preserve">reveals that Russia is sensitive to deterrence even when its interests are high. </w:t>
      </w:r>
      <w:r w:rsidR="00A53858">
        <w:t xml:space="preserve">Although Ukraine is </w:t>
      </w:r>
      <w:r w:rsidR="00EC2C13">
        <w:t>strategically more</w:t>
      </w:r>
      <w:r w:rsidR="00483D1B">
        <w:t xml:space="preserve"> importan</w:t>
      </w:r>
      <w:r w:rsidR="00EC2C13">
        <w:t>t</w:t>
      </w:r>
      <w:r w:rsidR="00483D1B">
        <w:t xml:space="preserve">, Russian </w:t>
      </w:r>
      <w:r w:rsidR="00EC2C13">
        <w:t>actions</w:t>
      </w:r>
      <w:r w:rsidR="00483D1B">
        <w:t xml:space="preserve"> </w:t>
      </w:r>
      <w:r w:rsidR="00A53858">
        <w:t>there</w:t>
      </w:r>
      <w:r w:rsidR="00EC2C13">
        <w:t xml:space="preserve"> </w:t>
      </w:r>
      <w:r w:rsidR="00A53858">
        <w:t xml:space="preserve">were </w:t>
      </w:r>
      <w:r w:rsidR="00483D1B">
        <w:t xml:space="preserve">more constrained than </w:t>
      </w:r>
      <w:r w:rsidR="00EC2C13">
        <w:t xml:space="preserve">in </w:t>
      </w:r>
      <w:r w:rsidR="00483D1B">
        <w:t xml:space="preserve">Georgia. </w:t>
      </w:r>
    </w:p>
    <w:p w14:paraId="2DB0AF05" w14:textId="47B1A13D" w:rsidR="00CD3F72" w:rsidRDefault="00483D1B" w:rsidP="00BF58C4">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w:t>
      </w:r>
      <w:r w:rsidR="00E14DA0">
        <w:t>differences,</w:t>
      </w:r>
      <w:r>
        <w:t xml:space="preserve"> we must look to</w:t>
      </w:r>
      <w:r w:rsidR="00A53858">
        <w:t xml:space="preserve"> strategic</w:t>
      </w:r>
      <w:r>
        <w:t xml:space="preserve"> incentives rather than technological </w:t>
      </w:r>
      <w:r w:rsidR="00A53858">
        <w:t>capabilities</w:t>
      </w:r>
      <w:r>
        <w:t xml:space="preserve">. Gray zone conflict is not so much about the utilization of an expanding toolkit as </w:t>
      </w:r>
      <w:r w:rsidR="00576BE0">
        <w:t>careful</w:t>
      </w:r>
      <w:r>
        <w:t xml:space="preserve"> decision</w:t>
      </w:r>
      <w:r w:rsidR="00576BE0">
        <w:t>s</w:t>
      </w:r>
      <w:r>
        <w:t xml:space="preserve"> about what should be drawn from that toolkit. </w:t>
      </w:r>
    </w:p>
    <w:p w14:paraId="7A69971B" w14:textId="264E08C7" w:rsidR="00657E08" w:rsidRDefault="00CD3F72" w:rsidP="00BF58C4">
      <w:pPr>
        <w:spacing w:after="200" w:line="276" w:lineRule="auto"/>
        <w:ind w:left="-15" w:right="0" w:firstLine="0"/>
      </w:pPr>
      <w:r>
        <w:t xml:space="preserve">One possible distinguishing difference of modern gray zone problems may be considered in terms of just what sort of deterrence actors are designing around. Previous studies have focused on adversaries who design around </w:t>
      </w:r>
      <w:r w:rsidRPr="00BF58C4">
        <w:t>immediate</w:t>
      </w:r>
      <w:r>
        <w:rPr>
          <w:i/>
        </w:rPr>
        <w:t xml:space="preserve"> </w:t>
      </w:r>
      <w:r>
        <w:t xml:space="preserve">deterrence, or threats issued in a crisis </w:t>
      </w:r>
      <w:r>
        <w:lastRenderedPageBreak/>
        <w:t xml:space="preserve">situation; modern gray zone conflict often works to compromise </w:t>
      </w:r>
      <w:r w:rsidRPr="00BF58C4">
        <w:t>general</w:t>
      </w:r>
      <w:r>
        <w:rPr>
          <w:i/>
        </w:rPr>
        <w:t xml:space="preserve"> </w:t>
      </w:r>
      <w:r>
        <w:t>deterrence, or implicit barriers to crisis initiation</w:t>
      </w:r>
      <w:r w:rsidR="00E14DA0">
        <w:t>.</w:t>
      </w:r>
      <w:r w:rsidR="00CE2918">
        <w:rPr>
          <w:rStyle w:val="FootnoteReference"/>
        </w:rPr>
        <w:footnoteReference w:id="109"/>
      </w:r>
      <w:r>
        <w:t xml:space="preserve">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w:t>
      </w:r>
      <w:r w:rsidR="00DF4806">
        <w:t xml:space="preserve">against </w:t>
      </w:r>
      <w:r>
        <w:t xml:space="preserve">them might be proscribed, but Russia still had to consider America’s power to retaliate. The cyber domain, where general deterrence is unreliable and immediate deterrence works hardly at all, is well suited </w:t>
      </w:r>
      <w:r w:rsidR="00B34FC7">
        <w:t>for just such subversion</w:t>
      </w:r>
      <w:r>
        <w:t>.</w:t>
      </w:r>
      <w:r w:rsidR="00E14DA0">
        <w:rPr>
          <w:rStyle w:val="FootnoteReference"/>
        </w:rPr>
        <w:footnoteReference w:id="110"/>
      </w:r>
    </w:p>
    <w:p w14:paraId="3FD6EBBB" w14:textId="7CECB253" w:rsidR="00657E08" w:rsidRDefault="005A68EC">
      <w:pPr>
        <w:pStyle w:val="Heading1"/>
        <w:spacing w:after="200" w:line="276" w:lineRule="auto"/>
        <w:ind w:left="-15" w:firstLine="0"/>
      </w:pPr>
      <w:bookmarkStart w:id="25" w:name="_6h0561asae7s" w:colFirst="0" w:colLast="0"/>
      <w:bookmarkEnd w:id="25"/>
      <w:commentRangeStart w:id="26"/>
      <w:r>
        <w:t>Every S</w:t>
      </w:r>
      <w:r w:rsidR="007525B0" w:rsidRPr="007525B0">
        <w:t>i</w:t>
      </w:r>
      <w:r>
        <w:t>lver Lining's Got a Touch of G</w:t>
      </w:r>
      <w:r w:rsidR="007525B0">
        <w:t>ra</w:t>
      </w:r>
      <w:commentRangeEnd w:id="26"/>
      <w:r>
        <w:rPr>
          <w:rStyle w:val="CommentReference"/>
          <w:b w:val="0"/>
          <w:color w:val="auto"/>
        </w:rPr>
        <w:commentReference w:id="26"/>
      </w:r>
      <w:r w:rsidR="007525B0" w:rsidRPr="007525B0">
        <w:t>y</w:t>
      </w:r>
    </w:p>
    <w:p w14:paraId="0CEAC3BF" w14:textId="665AFE23" w:rsidR="007525B0" w:rsidRDefault="00B4512D" w:rsidP="00BF58C4">
      <w:pPr>
        <w:spacing w:after="200" w:line="276" w:lineRule="auto"/>
        <w:ind w:left="-15" w:right="0" w:firstLine="0"/>
      </w:pPr>
      <w:r>
        <w:t xml:space="preserve">Gray zone conflict </w:t>
      </w:r>
      <w:r w:rsidRPr="00B4512D">
        <w:t xml:space="preserve">occurs when capable </w:t>
      </w:r>
      <w:r>
        <w:t>actors</w:t>
      </w:r>
      <w:r w:rsidRPr="00B4512D">
        <w:t xml:space="preserve"> intentionally limit the intensity </w:t>
      </w:r>
      <w:r>
        <w:t>or</w:t>
      </w:r>
      <w:r w:rsidRPr="00B4512D">
        <w:t xml:space="preserve"> capacity </w:t>
      </w:r>
      <w:r>
        <w:t>of their</w:t>
      </w:r>
      <w:r w:rsidRPr="00B4512D">
        <w:t xml:space="preserve"> </w:t>
      </w:r>
      <w:r>
        <w:t>aggressions and refrain from escalation</w:t>
      </w:r>
      <w:r w:rsidRPr="00B4512D">
        <w:t xml:space="preserve">. </w:t>
      </w:r>
      <w:r>
        <w:t>It differs from other forms of irregular or asymmetric warfare that are</w:t>
      </w:r>
      <w:r w:rsidR="00235DD8">
        <w:t xml:space="preserve"> also</w:t>
      </w:r>
      <w:r>
        <w:t xml:space="preserve"> limited because one of the combatants simply lacks the means to escalate the conflict. Unlimited war for a guerrilla will be limited war for the state. Gray zone actors, by contrast, pull their punches. We have argued that they do so out of concern for the</w:t>
      </w:r>
      <w:r w:rsidR="00045949">
        <w:t xml:space="preserve"> potential</w:t>
      </w:r>
      <w:r>
        <w:t xml:space="preserve"> consequences of their aggressions</w:t>
      </w:r>
      <w:r w:rsidR="00045949">
        <w:t>. L</w:t>
      </w:r>
      <w:r>
        <w:t>imited conflict</w:t>
      </w:r>
      <w:r w:rsidR="00045949">
        <w:t>, ironically enough,</w:t>
      </w:r>
      <w:r>
        <w:t xml:space="preserve"> becomes a symptom of the success of deterrence. G</w:t>
      </w:r>
      <w:r w:rsidR="007525B0" w:rsidRPr="007525B0">
        <w:t xml:space="preserve">ray zone conflict </w:t>
      </w:r>
      <w:r>
        <w:t>may be</w:t>
      </w:r>
      <w:r w:rsidR="007525B0" w:rsidRPr="007525B0">
        <w:t xml:space="preserve"> better understood as a reflection of weakness rather than an expression of strength.</w:t>
      </w:r>
    </w:p>
    <w:p w14:paraId="18B089B5" w14:textId="1E6A5B64" w:rsidR="001E4538" w:rsidRDefault="001E4538" w:rsidP="00BF58C4">
      <w:pPr>
        <w:spacing w:after="200" w:line="276" w:lineRule="auto"/>
        <w:ind w:left="-15" w:right="0" w:firstLine="0"/>
      </w:pPr>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p>
    <w:p w14:paraId="612B1431" w14:textId="7140D2BB" w:rsidR="00045949" w:rsidRDefault="00045949" w:rsidP="00BF58C4">
      <w:pPr>
        <w:spacing w:after="200" w:line="276" w:lineRule="auto"/>
        <w:ind w:left="-15" w:right="0" w:firstLine="0"/>
      </w:pPr>
      <w:r>
        <w:t xml:space="preserve">Just as there is a gray zone between war and peace, the distinction between effective and ineffective deterrence is also fuzzy. We </w:t>
      </w:r>
      <w:r w:rsidR="001E4538">
        <w:t xml:space="preserve">have </w:t>
      </w:r>
      <w:r>
        <w:t xml:space="preserve">introduced the notion of the deterrence gradient, analogous to the military loss of strength gradient, to describe credible deterrence as a continuous variable. Wherever deterrence is credible (due to a favorable balance of power, </w:t>
      </w:r>
      <w:r w:rsidR="00AA1753">
        <w:t>greater relative valuation of the stakes</w:t>
      </w:r>
      <w:r>
        <w:t xml:space="preserve">, costly signals of commitment, a reputation for </w:t>
      </w:r>
      <w:r w:rsidR="00AA1753">
        <w:t xml:space="preserve">resolve, etc.), revisionists will exercise considerable restraint as they probe to see what they can get away with. Wherever deterrence is not credible, revisionists will be more </w:t>
      </w:r>
      <w:r w:rsidR="00AA1753">
        <w:lastRenderedPageBreak/>
        <w:t>emboldened to use whatever means they have at their disposal to meet their objectives, limited only by efficiency concerns. The challenge lies in between these extremes, where the variable threshold of credibility creates a policy arena for limited conflict</w:t>
      </w:r>
      <w:r w:rsidR="007209AE">
        <w:t>, and where it can be difficult to distinguish efficiency motivations from risk sensitivity</w:t>
      </w:r>
      <w:r w:rsidR="00AA1753">
        <w:t>.</w:t>
      </w:r>
      <w:r w:rsidR="007209AE">
        <w:t xml:space="preserve"> Doubling down on deterrence can mitigate conflict in the latter case but provoke escalation in the former. </w:t>
      </w:r>
      <w:r w:rsidR="00AA1753">
        <w:t xml:space="preserve"> </w:t>
      </w:r>
    </w:p>
    <w:p w14:paraId="596726BE" w14:textId="71B4C2A8" w:rsidR="007209AE" w:rsidRDefault="007209AE" w:rsidP="00BF58C4">
      <w:pPr>
        <w:spacing w:after="200" w:line="276" w:lineRule="auto"/>
        <w:ind w:left="-15" w:right="0" w:firstLine="0"/>
      </w:pPr>
      <w:r>
        <w:t>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pulls its punches along this gradient</w:t>
      </w:r>
      <w:r w:rsidR="00DA2D14">
        <w:t xml:space="preserve">, employing a greater variety of means with more lethal intensity where </w:t>
      </w:r>
      <w:r w:rsidR="00AE3BB5">
        <w:t xml:space="preserve">deterrence </w:t>
      </w:r>
      <w:r w:rsidR="00DA2D14">
        <w:t xml:space="preserve">is weakest and conducting only ambiguous information operations where </w:t>
      </w:r>
      <w:r w:rsidR="00AE3BB5">
        <w:t>deterrence is most robust</w:t>
      </w:r>
      <w:r w:rsidR="00DA2D14">
        <w:t xml:space="preserve">. </w:t>
      </w:r>
      <w:r>
        <w:t xml:space="preserve">Recent Russian interventions offer the paradigmatic exemplars of gray zone conflict, but the conventional wisdom about it is wrong. </w:t>
      </w:r>
      <w:r w:rsidR="00DA2D14">
        <w:t xml:space="preserve">Russia does not have a general purpose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w:t>
      </w:r>
      <w:r w:rsidR="00F53AFC">
        <w:t xml:space="preserve">(i.e., take the gloves off) </w:t>
      </w:r>
      <w:r w:rsidR="00DA2D14">
        <w:t xml:space="preserve">when there is little prospect of NATO punishment. </w:t>
      </w:r>
    </w:p>
    <w:p w14:paraId="2476EBFE" w14:textId="191C2DE4" w:rsidR="00F53AFC" w:rsidRDefault="00F53AFC" w:rsidP="00BF58C4">
      <w:pPr>
        <w:spacing w:after="200" w:line="276" w:lineRule="auto"/>
        <w:ind w:left="-15" w:right="0" w:firstLine="0"/>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fueled by liberal delusions </w:t>
      </w:r>
      <w:r w:rsidR="00CE2918">
        <w:rPr>
          <w:rStyle w:val="FootnoteReference"/>
        </w:rPr>
        <w:footnoteReference w:id="111"/>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w:t>
      </w:r>
      <w:r w:rsidR="008C3E4B">
        <w:t xml:space="preserve">(Poland, Hungary, Czech Republic) under the NATO umbrella helped to stabilize an historically conflict-prone part of Europe in a period in which Russia was willing to accept a downward revision of its European influence after the fall of the Soviet Union. Perhaps later rounds which brought in Baltic and Balkan </w:t>
      </w:r>
      <w:r w:rsidR="008C3E4B">
        <w:lastRenderedPageBreak/>
        <w:t xml:space="preserve">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14:paraId="12C379BD" w14:textId="3D32427B" w:rsidR="00F037F6" w:rsidRDefault="008C3E4B" w:rsidP="001E4538">
      <w:pPr>
        <w:spacing w:after="200" w:line="276" w:lineRule="auto"/>
        <w:ind w:left="-15" w:right="0" w:firstLine="0"/>
      </w:pPr>
      <w:r>
        <w:t xml:space="preserve">Just as deterrence varies along the gradient, the contours of the gradient can shift over time. </w:t>
      </w:r>
      <w:r w:rsidR="005202E0">
        <w:t xml:space="preserve">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w:t>
      </w:r>
      <w:r w:rsidR="00F037F6">
        <w:t>As gray zone conflict reveals the contours of the deterrence gradient, especially in areas where the “defender” has overreached its ability or will to respond, actors can take steps to shore up defenses for the things they really value. Russia has advertised</w:t>
      </w:r>
      <w:r w:rsidR="001E4538">
        <w:t xml:space="preserve"> </w:t>
      </w:r>
      <w:r w:rsidR="00F037F6">
        <w:t>its</w:t>
      </w:r>
      <w:r w:rsidR="001E4538">
        <w:t xml:space="preserve"> willingness to interfere in elections, distort public debate, mobilize nationalist movements, and engage in other provocations, </w:t>
      </w:r>
      <w:r w:rsidR="00F037F6">
        <w:t>which in turn has</w:t>
      </w:r>
      <w:r w:rsidR="001E4538">
        <w:t xml:space="preserve"> already mobilized a Western response to improve awareness, counterintelligence, defenses, and deterrence postures.</w:t>
      </w:r>
      <w:r w:rsidR="00F037F6">
        <w:t xml:space="preserve">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w:t>
      </w:r>
      <w:r w:rsidR="001E4538">
        <w:t xml:space="preserve"> </w:t>
      </w:r>
      <w:r w:rsidR="00F037F6">
        <w:t>Just as gray zone conflict is symptomatic of deterrence success, the increasing incidence of Russian provocation may be symptomatic of a closing window for its effectiveness, such as it is.</w:t>
      </w:r>
    </w:p>
    <w:p w14:paraId="1E285587" w14:textId="0104D838" w:rsidR="00657E08" w:rsidRDefault="00F037F6" w:rsidP="00BF58C4">
      <w:pPr>
        <w:spacing w:after="200" w:line="276" w:lineRule="auto"/>
        <w:ind w:left="-15" w:right="0" w:firstLine="0"/>
      </w:pPr>
      <w:r>
        <w:t xml:space="preserve">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w:t>
      </w:r>
      <w:r w:rsidR="005202E0">
        <w:t>The unfortunate fact remains</w:t>
      </w:r>
      <w:r>
        <w:t>, however,</w:t>
      </w:r>
      <w:r w:rsidR="005202E0">
        <w:t xml:space="preserve"> that a simple remedy for gray zone conflict does not exist and it instead requires constant activity across domains to understand and contain new variations of provocation. Because conflict and deterrence are variable,</w:t>
      </w:r>
      <w:r>
        <w:t xml:space="preserve"> they must be managed continuously</w:t>
      </w:r>
      <w:r w:rsidR="005202E0">
        <w:t xml:space="preserve"> as well.</w:t>
      </w:r>
      <w:bookmarkStart w:id="27" w:name="_3u9y7lmq1qi3" w:colFirst="0" w:colLast="0"/>
      <w:bookmarkEnd w:id="27"/>
    </w:p>
    <w:sectPr w:rsidR="00657E08">
      <w:footerReference w:type="even" r:id="rId12"/>
      <w:footerReference w:type="default" r:id="rId13"/>
      <w:footerReference w:type="first" r:id="rId14"/>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on Lindsay" w:date="2019-06-12T13:39:00Z" w:initials="JL">
    <w:p w14:paraId="6E92A4DF" w14:textId="572E3A69" w:rsidR="006C2BC2" w:rsidRDefault="006C2BC2">
      <w:pPr>
        <w:pStyle w:val="CommentText"/>
      </w:pPr>
      <w:r>
        <w:rPr>
          <w:rStyle w:val="CommentReference"/>
        </w:rPr>
        <w:annotationRef/>
      </w:r>
      <w:r>
        <w:t>I changed “cost-deterrence” to risk, which I think better conveys this. The focus on cost is a little confusing, especially when we think about low-cost cyber means in the GZ.</w:t>
      </w:r>
    </w:p>
  </w:comment>
  <w:comment w:id="4" w:author="Jon Lindsay" w:date="2019-06-12T13:43:00Z" w:initials="JL">
    <w:p w14:paraId="303CFD90" w14:textId="71BA2822" w:rsidR="006C2BC2" w:rsidRDefault="006C2BC2" w:rsidP="00B20265">
      <w:pPr>
        <w:pStyle w:val="CommentText"/>
      </w:pPr>
      <w:r>
        <w:rPr>
          <w:rStyle w:val="CommentReference"/>
        </w:rPr>
        <w:annotationRef/>
      </w:r>
      <w:r>
        <w:t xml:space="preserve"> If you are worried about big blows, then you can only have little pricks. Is Carol Cohn in the house?</w:t>
      </w:r>
    </w:p>
  </w:comment>
  <w:comment w:id="8" w:author="Jon Lindsay" w:date="2019-06-12T20:59:00Z" w:initials="JL">
    <w:p w14:paraId="0908E986" w14:textId="77777777" w:rsidR="006C2BC2" w:rsidRDefault="006C2BC2" w:rsidP="005A43F8">
      <w:pPr>
        <w:pStyle w:val="CommentText"/>
      </w:pPr>
      <w:r>
        <w:rPr>
          <w:rStyle w:val="CommentReference"/>
        </w:rPr>
        <w:annotationRef/>
      </w:r>
      <w:r>
        <w:t>Your original intuition was right here!</w:t>
      </w:r>
    </w:p>
  </w:comment>
  <w:comment w:id="11" w:author="Microsoft Office User" w:date="2019-06-15T21:34:00Z" w:initials="MOU">
    <w:p w14:paraId="2F456815" w14:textId="58605168" w:rsidR="006C2BC2" w:rsidRDefault="006C2BC2">
      <w:pPr>
        <w:pStyle w:val="CommentText"/>
      </w:pPr>
      <w:r>
        <w:rPr>
          <w:rStyle w:val="CommentReference"/>
        </w:rPr>
        <w:annotationRef/>
      </w:r>
      <w:r>
        <w:t xml:space="preserve">I am not familiar with this word.  </w:t>
      </w:r>
    </w:p>
  </w:comment>
  <w:comment w:id="14" w:author="Jon Lindsay" w:date="2019-06-13T09:38:00Z" w:initials="JL">
    <w:p w14:paraId="24B4C9FC" w14:textId="4C78FF5A" w:rsidR="006C2BC2" w:rsidRDefault="006C2BC2">
      <w:pPr>
        <w:pStyle w:val="CommentText"/>
      </w:pPr>
      <w:r>
        <w:rPr>
          <w:rStyle w:val="CommentReference"/>
        </w:rPr>
        <w:annotationRef/>
      </w:r>
      <w:r>
        <w:t xml:space="preserve">I have done some major compression here. The graphs really tell the story. </w:t>
      </w:r>
      <w:bookmarkStart w:id="15" w:name="OLE_LINK1"/>
      <w:bookmarkStart w:id="16" w:name="OLE_LINK2"/>
      <w:r>
        <w:t xml:space="preserve">Put the details about dataset heterogeneity and all the coding nuances into a data appendix. For an IS readership, the qual cases will carry more weight, plus they include some substantive argumentation I think we want to preserve. </w:t>
      </w:r>
    </w:p>
    <w:bookmarkEnd w:id="15"/>
    <w:bookmarkEnd w:id="16"/>
  </w:comment>
  <w:comment w:id="26" w:author="Jon Lindsay" w:date="2019-06-13T12:50:00Z" w:initials="JL">
    <w:p w14:paraId="7E3A2CD0" w14:textId="6C3BCAE0" w:rsidR="006C2BC2" w:rsidRDefault="006C2BC2">
      <w:pPr>
        <w:pStyle w:val="CommentText"/>
      </w:pPr>
      <w:r>
        <w:rPr>
          <w:rStyle w:val="CommentReference"/>
        </w:rPr>
        <w:annotationRef/>
      </w:r>
      <w:r>
        <w:t>I really hope this makes it into IS. There are a lot of Deadheads out there I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92A4DF" w15:done="1"/>
  <w15:commentEx w15:paraId="303CFD90" w15:done="1"/>
  <w15:commentEx w15:paraId="0908E986" w15:done="1"/>
  <w15:commentEx w15:paraId="2F456815" w15:done="1"/>
  <w15:commentEx w15:paraId="24B4C9FC" w15:done="1"/>
  <w15:commentEx w15:paraId="7E3A2CD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92A4DF" w16cid:durableId="20AF4CC3"/>
  <w16cid:commentId w16cid:paraId="303CFD90" w16cid:durableId="20AF4CC4"/>
  <w16cid:commentId w16cid:paraId="0908E986" w16cid:durableId="20AF4CC9"/>
  <w16cid:commentId w16cid:paraId="2F456815" w16cid:durableId="20AFE2FD"/>
  <w16cid:commentId w16cid:paraId="24B4C9FC" w16cid:durableId="20AF4CCA"/>
  <w16cid:commentId w16cid:paraId="7E3A2CD0" w16cid:durableId="20AF4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8C37" w14:textId="77777777" w:rsidR="00260E31" w:rsidRDefault="00260E31">
      <w:pPr>
        <w:spacing w:after="0" w:line="240" w:lineRule="auto"/>
      </w:pPr>
      <w:r>
        <w:separator/>
      </w:r>
    </w:p>
  </w:endnote>
  <w:endnote w:type="continuationSeparator" w:id="0">
    <w:p w14:paraId="12A5F34F" w14:textId="77777777" w:rsidR="00260E31" w:rsidRDefault="0026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97FC" w14:textId="77777777" w:rsidR="006C2BC2" w:rsidRDefault="006C2BC2">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43C" w14:textId="77777777" w:rsidR="006C2BC2" w:rsidRDefault="006C2BC2">
    <w:pPr>
      <w:spacing w:after="0" w:line="259" w:lineRule="auto"/>
      <w:ind w:right="0" w:firstLine="0"/>
      <w:jc w:val="center"/>
    </w:pPr>
    <w:r>
      <w:fldChar w:fldCharType="begin"/>
    </w:r>
    <w:r>
      <w:instrText>PAGE</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4426" w14:textId="77777777" w:rsidR="006C2BC2" w:rsidRDefault="006C2BC2">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B6A41" w14:textId="77777777" w:rsidR="00260E31" w:rsidRDefault="00260E31">
      <w:pPr>
        <w:spacing w:after="0" w:line="240" w:lineRule="auto"/>
      </w:pPr>
      <w:r>
        <w:separator/>
      </w:r>
    </w:p>
  </w:footnote>
  <w:footnote w:type="continuationSeparator" w:id="0">
    <w:p w14:paraId="6CFD10C6" w14:textId="77777777" w:rsidR="00260E31" w:rsidRDefault="00260E31">
      <w:pPr>
        <w:spacing w:after="0" w:line="240" w:lineRule="auto"/>
      </w:pPr>
      <w:r>
        <w:continuationSeparator/>
      </w:r>
    </w:p>
  </w:footnote>
  <w:footnote w:id="1">
    <w:p w14:paraId="4305FDAD" w14:textId="701D11C5" w:rsidR="006C2BC2" w:rsidRDefault="006C2BC2">
      <w:pPr>
        <w:pStyle w:val="FootnoteText"/>
      </w:pPr>
      <w:r>
        <w:rPr>
          <w:rStyle w:val="FootnoteReference"/>
        </w:rPr>
        <w:footnoteRef/>
      </w:r>
      <w:r>
        <w:t xml:space="preserve"> NATO is not formally bound to assist Ukraine, but neither are they precluded from doing so.  The issue for the Kremlin was ensuring that Brussels remained passive, and any measure that might help was worth taking.  </w:t>
      </w:r>
    </w:p>
  </w:footnote>
  <w:footnote w:id="2">
    <w:p w14:paraId="18DCA850" w14:textId="6E01DE8C" w:rsidR="006C2BC2" w:rsidRDefault="006C2BC2">
      <w:pPr>
        <w:pStyle w:val="FootnoteText"/>
      </w:pPr>
      <w:r>
        <w:rPr>
          <w:rStyle w:val="FootnoteReference"/>
        </w:rPr>
        <w:footnoteRef/>
      </w:r>
      <w:r>
        <w:t xml:space="preserve"> </w:t>
      </w:r>
      <w:r>
        <w:fldChar w:fldCharType="begin"/>
      </w:r>
      <w:r>
        <w:instrText xml:space="preserve"> 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2019).","noteIndex":3},"citationItems":[{"id":15614,"uris":["http://zotero.org/users/2506258/items/GKUQJYQS"],"uri":["http://zotero.org/users/2506258/items/GKUQJYQS"],"itemData":{"id":15614,"type":"report","title":"Lessons from Russia's Operations in Crimea and Eastern Ukraine","publisher":"Rand Corporation","publisher-place":"Santa Monica, CA","genre":"Product Page","event-place":"Santa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fldChar w:fldCharType="separate"/>
      </w:r>
      <w:r w:rsidRPr="006C2BC2">
        <w:rPr>
          <w:rFonts w:cs="Times New Roman"/>
          <w:szCs w:val="24"/>
        </w:rPr>
        <w:t>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w:t>
      </w:r>
      <w:r>
        <w:fldChar w:fldCharType="end"/>
      </w:r>
    </w:p>
  </w:footnote>
  <w:footnote w:id="3">
    <w:p w14:paraId="69066328" w14:textId="30F36E99" w:rsidR="006C2BC2" w:rsidRDefault="006C2BC2">
      <w:pPr>
        <w:pStyle w:val="FootnoteText"/>
      </w:pPr>
      <w:r>
        <w:rPr>
          <w:rStyle w:val="FootnoteReference"/>
        </w:rPr>
        <w:footnoteRef/>
      </w:r>
      <w:r>
        <w:t xml:space="preserve"> </w:t>
      </w:r>
      <w:r>
        <w:fldChar w:fldCharType="begin"/>
      </w:r>
      <w:r>
        <w:instrText xml:space="preserve"> ADDIN ZOTERO_ITEM CSL_CITATION {"citationID":"CQjVocDa","properties":{"formattedCitation":"Christopher Paul and Miriam Matthews, \\uc0\\u8220{}The Russian ``Firehose of Falsehood\"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G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G Jones, “Going on the Offensive: A U.S. Strategy to Combat Russian Information Warfare,” Brief (Washington, D.C: Center for Strategic and International Studies, October 2018).","noteIndex":4},"citationItems":[{"id":3627,"uris":["http://zotero.org/users/2506258/items/TVHBFAV5"],"uri":["http://zotero.org/users/2506258/items/TVHBFAV5"],"itemData":{"id":3627,"type":"report","title":"The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 G"}],"issued":{"date-parts":[["2018",10]]}}}],"schema":"https://github.com/citation-style-language/schema/raw/master/csl-citation.json"} </w:instrText>
      </w:r>
      <w:r>
        <w:fldChar w:fldCharType="separate"/>
      </w:r>
      <w:r w:rsidRPr="006C2BC2">
        <w:rPr>
          <w:rFonts w:cs="Times New Roman"/>
          <w:szCs w:val="24"/>
        </w:rPr>
        <w:t xml:space="preserve">Christopher Paul and Miriam Matthews, “The Russian ``Firehose of Falsehood" Propaganda Model: Why It Might Work and Options to Counter It” (Santa Monica, CA: Rand Corporation, 2016); Neil MacFarquhar, “A Powerful Russian Weapon: The Spread of False Stories,” </w:t>
      </w:r>
      <w:r w:rsidRPr="006C2BC2">
        <w:rPr>
          <w:rFonts w:cs="Times New Roman"/>
          <w:i/>
          <w:iCs/>
          <w:szCs w:val="24"/>
        </w:rPr>
        <w:t>The New York Times</w:t>
      </w:r>
      <w:r w:rsidRPr="006C2BC2">
        <w:rPr>
          <w:rFonts w:cs="Times New Roman"/>
          <w:szCs w:val="24"/>
        </w:rPr>
        <w:t>, October 12, 2016, sec. World, https://www.nytimes.com/2016/08/29/world/europe/russia-sweden-disinformation.html; Seth G Jones, “Going on the Offensive: A U.S. Strategy to Combat Russian Information Warfare,” Brief (Washington, D.C: Center for Strategic and International Studies, October 2018).</w:t>
      </w:r>
      <w:r>
        <w:fldChar w:fldCharType="end"/>
      </w:r>
    </w:p>
  </w:footnote>
  <w:footnote w:id="4">
    <w:p w14:paraId="0B9D15ED" w14:textId="24B5D47B" w:rsidR="006C2BC2" w:rsidRDefault="006C2BC2">
      <w:pPr>
        <w:pStyle w:val="FootnoteText"/>
      </w:pPr>
      <w:r>
        <w:rPr>
          <w:rStyle w:val="FootnoteReference"/>
        </w:rPr>
        <w:footnoteRef/>
      </w:r>
      <w:r>
        <w:t xml:space="preserve"> </w:t>
      </w:r>
      <w:r>
        <w:fldChar w:fldCharType="begin"/>
      </w:r>
      <w:r>
        <w:instrText xml:space="preserve"> ADDIN ZOTERO_ITEM CSL_CITATION {"citationID":"i9o7ayGo","properties":{"formattedCitation":"Michael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5},"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fldChar w:fldCharType="separate"/>
      </w:r>
      <w:r w:rsidRPr="006C2BC2">
        <w:rPr>
          <w:rFonts w:cs="Times New Roman"/>
          <w:szCs w:val="24"/>
        </w:rPr>
        <w:t>Michael Fallon, “Speech Delivered by Secretary of State for Defence Sir Michael Fallon at the RUSI Landwarfare Conference.,” (Speech, June 28, 2017), https://www.gov.uk/government/speeches/rusi-landwarfare-conference.</w:t>
      </w:r>
      <w:r>
        <w:fldChar w:fldCharType="end"/>
      </w:r>
    </w:p>
  </w:footnote>
  <w:footnote w:id="5">
    <w:p w14:paraId="231DE95E" w14:textId="66A4D819" w:rsidR="006C2BC2" w:rsidRDefault="006C2BC2">
      <w:pPr>
        <w:pStyle w:val="FootnoteText"/>
      </w:pPr>
      <w:r>
        <w:rPr>
          <w:rStyle w:val="FootnoteReference"/>
        </w:rPr>
        <w:footnoteRef/>
      </w:r>
      <w:r>
        <w:t xml:space="preserve"> </w:t>
      </w:r>
      <w:r>
        <w:fldChar w:fldCharType="begin"/>
      </w:r>
      <w:r>
        <w:instrText xml:space="preserve"> ADDIN ZOTERO_ITEM CSL_CITATION {"citationID":"pjcSVQGE","properties":{"formattedCitation":"Andrew S.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0, no. 0 (December 27, 2017): 1\\uc0\\u8211{}21, https://doi.org/10.1080/14799855.2017.1414044.","plainCitation":"Andrew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0, no. 0 (December 27, 2017): 1–21, https://doi.org/10.1080/14799855.2017.1414044.","noteIndex":6},"citationItems":[{"id":15704,"uris":["http://zotero.org/users/2506258/items/KZKV7BC3"],"uri":["http://zotero.org/users/2506258/items/KZKV7BC3"],"itemData":{"id":15704,"type":"webpage","title":"Directing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 S."},{"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Dilemmas","author":[{"family":"Lin-Greenberg","given":"Erik"}],"issued":{"date-parts":[["2017",12,27]]}}}],"schema":"https://github.com/citation-style-language/schema/raw/master/csl-citation.json"} </w:instrText>
      </w:r>
      <w:r>
        <w:fldChar w:fldCharType="separate"/>
      </w:r>
      <w:r w:rsidRPr="006C2BC2">
        <w:rPr>
          <w:rFonts w:cs="Times New Roman"/>
          <w:szCs w:val="24"/>
        </w:rPr>
        <w:t xml:space="preserve">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sidRPr="006C2BC2">
        <w:rPr>
          <w:rFonts w:cs="Times New Roman"/>
          <w:i/>
          <w:iCs/>
          <w:szCs w:val="24"/>
        </w:rPr>
        <w:t>Countering Coercion in Maritime Asia: The Theory and Practice of Gray Zone Deterrence</w:t>
      </w:r>
      <w:r w:rsidRPr="006C2BC2">
        <w:rPr>
          <w:rFonts w:cs="Times New Roman"/>
          <w:szCs w:val="24"/>
        </w:rPr>
        <w:t xml:space="preserve"> (Rowman &amp; Littlefield, 2017); Van Jackson, “Tactics of Strategic Competition: Gray Zones, Redlines, and Conflict before War,” </w:t>
      </w:r>
      <w:r w:rsidRPr="006C2BC2">
        <w:rPr>
          <w:rFonts w:cs="Times New Roman"/>
          <w:i/>
          <w:iCs/>
          <w:szCs w:val="24"/>
        </w:rPr>
        <w:t>Naval War College Review</w:t>
      </w:r>
      <w:r w:rsidRPr="006C2BC2">
        <w:rPr>
          <w:rFonts w:cs="Times New Roman"/>
          <w:szCs w:val="24"/>
        </w:rPr>
        <w:t xml:space="preserve"> 70, no. 3 (2017): 39–61; Erik Lin-Greenberg, “Non-Traditional Security Dilemmas: Can Military Operations Other than War Intensify Security Competition in Asia?,” </w:t>
      </w:r>
      <w:r w:rsidRPr="006C2BC2">
        <w:rPr>
          <w:rFonts w:cs="Times New Roman"/>
          <w:i/>
          <w:iCs/>
          <w:szCs w:val="24"/>
        </w:rPr>
        <w:t>Asian Security</w:t>
      </w:r>
      <w:r w:rsidRPr="006C2BC2">
        <w:rPr>
          <w:rFonts w:cs="Times New Roman"/>
          <w:szCs w:val="24"/>
        </w:rPr>
        <w:t xml:space="preserve"> 0, no. 0 (December 27, 2017): 1–21, https://doi.org/10.1080/14799855.2017.1414044.</w:t>
      </w:r>
      <w:r>
        <w:fldChar w:fldCharType="end"/>
      </w:r>
    </w:p>
  </w:footnote>
  <w:footnote w:id="6">
    <w:p w14:paraId="220031A5" w14:textId="56927B56" w:rsidR="006C2BC2" w:rsidRDefault="006C2BC2">
      <w:pPr>
        <w:pStyle w:val="FootnoteText"/>
      </w:pPr>
      <w:r>
        <w:rPr>
          <w:rStyle w:val="FootnoteReference"/>
        </w:rPr>
        <w:footnoteRef/>
      </w:r>
      <w:r>
        <w:t xml:space="preserve"> </w:t>
      </w:r>
      <w:r>
        <w:fldChar w:fldCharType="begin"/>
      </w:r>
      <w:r>
        <w:instrText xml:space="preserve"> ADDIN ZOTERO_ITEM CSL_CITATION {"citationID":"RptSoXFo","properties":{"formattedCitation":"Joseph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7},"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r>
        <w:fldChar w:fldCharType="separate"/>
      </w:r>
      <w:r w:rsidRPr="006C2BC2">
        <w:rPr>
          <w:rFonts w:cs="Times New Roman"/>
          <w:szCs w:val="24"/>
        </w:rPr>
        <w:t>Joseph Dunford, “Gen. Dunford’s Remarks and Q&amp;A at the Center for Strategic and International Studies” (Remarks, March 29, 2016), http://www.jcs.mil/Media/Speeches/Article/707418/gen-dunfords-remarks-and-qa-at-the-center-for-strategic-and-international-studi/.</w:t>
      </w:r>
      <w:r>
        <w:fldChar w:fldCharType="end"/>
      </w:r>
    </w:p>
  </w:footnote>
  <w:footnote w:id="7">
    <w:p w14:paraId="340A0128" w14:textId="0590584A" w:rsidR="006C2BC2" w:rsidRDefault="006C2BC2">
      <w:pPr>
        <w:pStyle w:val="FootnoteText"/>
      </w:pPr>
      <w:r>
        <w:rPr>
          <w:rStyle w:val="FootnoteReference"/>
        </w:rPr>
        <w:footnoteRef/>
      </w:r>
      <w:r>
        <w:t xml:space="preserve"> </w:t>
      </w:r>
      <w:r>
        <w:fldChar w:fldCharType="begin"/>
      </w:r>
      <w:r>
        <w:instrText xml:space="preserve"> ADDIN ZOTERO_ITEM CSL_CITATION {"citationID":"1MEslDsC","properties":{"formattedCitation":"Kenneth E Boulding, {\\i{}Conflict and Defense: A General Theory} (New York: Harper, 1962).","plainCitation":"Kenneth E Boulding, Conflict and Defense: A General Theory (New York: Harper, 1962).","noteIndex":8},"citationItems":[{"id":10396,"uris":["http://zotero.org/users/2506258/items/KBT55NX8"],"uri":["http://zotero.org/users/2506258/items/KBT55NX8"],"itemData":{"id":10396,"type":"book","title":"Conflict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 </w:instrText>
      </w:r>
      <w:r>
        <w:fldChar w:fldCharType="separate"/>
      </w:r>
      <w:r w:rsidRPr="006C2BC2">
        <w:rPr>
          <w:rFonts w:cs="Times New Roman"/>
          <w:szCs w:val="24"/>
        </w:rPr>
        <w:t xml:space="preserve">Kenneth E Boulding, </w:t>
      </w:r>
      <w:r w:rsidRPr="006C2BC2">
        <w:rPr>
          <w:rFonts w:cs="Times New Roman"/>
          <w:i/>
          <w:iCs/>
          <w:szCs w:val="24"/>
        </w:rPr>
        <w:t>Conflict and Defense: A General Theory</w:t>
      </w:r>
      <w:r w:rsidRPr="006C2BC2">
        <w:rPr>
          <w:rFonts w:cs="Times New Roman"/>
          <w:szCs w:val="24"/>
        </w:rPr>
        <w:t xml:space="preserve"> (New York: Harper, 1962).</w:t>
      </w:r>
      <w:r>
        <w:fldChar w:fldCharType="end"/>
      </w:r>
    </w:p>
  </w:footnote>
  <w:footnote w:id="8">
    <w:p w14:paraId="23EC6A0A" w14:textId="07E1CD59" w:rsidR="006C2BC2" w:rsidRDefault="006C2BC2">
      <w:pPr>
        <w:pStyle w:val="FootnoteText"/>
      </w:pPr>
      <w:r>
        <w:rPr>
          <w:rStyle w:val="FootnoteReference"/>
        </w:rPr>
        <w:footnoteRef/>
      </w:r>
      <w:r>
        <w:t xml:space="preserve"> </w:t>
      </w:r>
      <w:r>
        <w:fldChar w:fldCharType="begin"/>
      </w:r>
      <w:r>
        <w:instrText xml:space="preserve"> ADDIN ZOTERO_ITEM CSL_CITATION {"citationID":"h6WUGTJk","properties":{"formattedCitation":"Mark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https://doi.org/10.1080/09592318.2015.1129170.","noteIndex":9},"citationItems":[{"id":5732,"uris":["http://zotero.org/users/2506258/items/JV7U5BDW"],"uri":["http://zotero.org/users/2506258/items/JV7U5BDW"],"itemData":{"id":5732,"type":"article-journal","title":"Hybrid,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 </w:instrText>
      </w:r>
      <w:r>
        <w:fldChar w:fldCharType="separate"/>
      </w:r>
      <w:r w:rsidRPr="006C2BC2">
        <w:rPr>
          <w:rFonts w:cs="Times New Roman"/>
          <w:szCs w:val="24"/>
        </w:rPr>
        <w:t xml:space="preserve">Mark Galeotti, “Hybrid, Ambiguous, and Non-Linear? How New Is Russia’s ‘New Way of War’?,” </w:t>
      </w:r>
      <w:r w:rsidRPr="006C2BC2">
        <w:rPr>
          <w:rFonts w:cs="Times New Roman"/>
          <w:i/>
          <w:iCs/>
          <w:szCs w:val="24"/>
        </w:rPr>
        <w:t>Small Wars &amp; Insurgencies</w:t>
      </w:r>
      <w:r w:rsidRPr="006C2BC2">
        <w:rPr>
          <w:rFonts w:cs="Times New Roman"/>
          <w:szCs w:val="24"/>
        </w:rPr>
        <w:t xml:space="preserve"> 27, no. 2 (March 3, 2016): 282–301, https://doi.org/10.1080/09592318.2015.1129170.</w:t>
      </w:r>
      <w:r>
        <w:fldChar w:fldCharType="end"/>
      </w:r>
    </w:p>
  </w:footnote>
  <w:footnote w:id="9">
    <w:p w14:paraId="1327C200" w14:textId="5B5866A2" w:rsidR="006C2BC2" w:rsidRPr="00153F31" w:rsidRDefault="006C2BC2">
      <w:pPr>
        <w:pStyle w:val="FootnoteText"/>
        <w:rPr>
          <w:rFonts w:cs="Times New Roman"/>
          <w:szCs w:val="24"/>
        </w:rPr>
      </w:pPr>
      <w:r>
        <w:rPr>
          <w:rStyle w:val="FootnoteReference"/>
        </w:rPr>
        <w:footnoteRef/>
      </w:r>
      <w:r>
        <w:t xml:space="preserve"> On limited conflict, see </w:t>
      </w:r>
      <w:r>
        <w:fldChar w:fldCharType="begin"/>
      </w:r>
      <w:r>
        <w:instrText xml:space="preserve"> 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https://doi.org/10.1080/09636412.2016.1220208.","noteIndex":10},"citationItems":[{"id":14067,"uris":["http://zotero.org/users/2506258/items/VLFRFPPZ"],"uri":["http://zotero.org/users/2506258/items/VLFRFPPZ"],"itemData":{"id":14067,"type":"article-journal","title":"Military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 Peter"}],"issued":{"date-parts":[["1982"]]}}},{"id":8378,"uris":["http://zotero.org/users/2506258/items/P5R6ZT5J"],"uri":["http://zotero.org/users/2506258/items/P5R6ZT5J"],"itemData":{"id":8378,"type":"article-journal","title":"When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 L."}],"issued":{"date-parts":[["2000",6,1]]}}},{"id":5860,"uris":["http://zotero.org/users/2506258/items/IKIHJFPA"],"uri":["http://zotero.org/users/2506258/items/IKIHJFPA"],"itemData":{"id":5860,"type":"article-journal","title":"War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 L."}],"issued":{"date-parts":[["2007",6,1]]}}},{"id":1138,"uris":["http://zotero.org/users/2506258/items/V8R47VRD"],"uri":["http://zotero.org/users/2506258/items/V8R47VRD"],"itemData":{"id":1138,"type":"article-journal","title":"Nuclear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 C."}],"issued":{"date-parts":[["1991",6,1]]}}},{"id":6643,"uris":["http://zotero.org/users/2506258/items/2IITKHK7"],"uri":["http://zotero.org/users/2506258/items/2IITKHK7"],"itemData":{"id":6643,"type":"article-journal","title":"Strategic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 V."}],"issued":{"date-parts":[["1991",4,1]]}}},{"id":6625,"uris":["http://zotero.org/users/2506258/items/NZGZEF9X"],"uri":["http://zotero.org/users/2506258/items/NZGZEF9X"],"itemData":{"id":6625,"type":"article-journal","title":"Preface: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 H"}],"issued":{"date-parts":[["2002",6,1]]}}},{"id":17471,"uris":["http://zotero.org/users/2506258/items/THP6FPY2"],"uri":["http://zotero.org/users/2506258/items/THP6FPY2"],"itemData":{"id":17471,"type":"chapter","title":"Revolutionary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 A"},{"family":"Gilbert","given":"Felix"}],"author":[{"family":"Shy","given":"John"},{"family":"Collier","given":"Thomas W."}],"issued":{"date-parts":[["1986"]]},"accessed":{"date-parts":[["2018",1,14]]}}},{"id":6616,"uris":["http://zotero.org/users/2506258/items/S6XVHKXS"],"uri":["http://zotero.org/users/2506258/items/S6XVHKXS"],"itemData":{"id":6616,"type":"article-journal","title":"Clausewitz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 K."}],"issued":{"date-parts":[["1992"]]}}},{"id":17470,"uris":["http://zotero.org/users/2506258/items/PEFPVY5I"],"uri":["http://zotero.org/users/2506258/items/PEFPVY5I"],"itemData":{"id":17470,"type":"book","title":"Secret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 A."}],"issued":{"date-parts":[["2018"]]}}},{"id":6652,"uris":["http://zotero.org/users/2506258/items/B9UZPK9E"],"uri":["http://zotero.org/users/2506258/items/B9UZPK9E"],"itemData":{"id":6652,"type":"article-journal","title":"The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3,3]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r>
        <w:fldChar w:fldCharType="separate"/>
      </w:r>
      <w:r w:rsidRPr="006C2BC2">
        <w:rPr>
          <w:rFonts w:cs="Times New Roman"/>
          <w:szCs w:val="24"/>
        </w:rPr>
        <w:t xml:space="preserve">Henry A. Kissinger, “Military Policy and Defense of the ‘Grey Areas,’” </w:t>
      </w:r>
      <w:r w:rsidRPr="006C2BC2">
        <w:rPr>
          <w:rFonts w:cs="Times New Roman"/>
          <w:i/>
          <w:iCs/>
          <w:szCs w:val="24"/>
        </w:rPr>
        <w:t>Foreign Affairs</w:t>
      </w:r>
      <w:r w:rsidRPr="006C2BC2">
        <w:rPr>
          <w:rFonts w:cs="Times New Roman"/>
          <w:szCs w:val="24"/>
        </w:rPr>
        <w:t xml:space="preserve"> 33, no. 3 (1955): 416–28, https://doi.org/10.2307/20031108; Thomas C. Schelling, “Bargaining, Communication, and Limited War,” </w:t>
      </w:r>
      <w:r w:rsidRPr="006C2BC2">
        <w:rPr>
          <w:rFonts w:cs="Times New Roman"/>
          <w:i/>
          <w:iCs/>
          <w:szCs w:val="24"/>
        </w:rPr>
        <w:t>Conflict Resolution</w:t>
      </w:r>
      <w:r w:rsidRPr="006C2BC2">
        <w:rPr>
          <w:rFonts w:cs="Times New Roman"/>
          <w:szCs w:val="24"/>
        </w:rPr>
        <w:t xml:space="preserve"> 1, no. 1 (1957): 19–36; Robert E. Osgood, “The Reappraisal of Limited War,” </w:t>
      </w:r>
      <w:r w:rsidRPr="006C2BC2">
        <w:rPr>
          <w:rFonts w:cs="Times New Roman"/>
          <w:i/>
          <w:iCs/>
          <w:szCs w:val="24"/>
        </w:rPr>
        <w:t>The Adelphi Papers</w:t>
      </w:r>
      <w:r w:rsidRPr="006C2BC2">
        <w:rPr>
          <w:rFonts w:cs="Times New Roman"/>
          <w:szCs w:val="24"/>
        </w:rPr>
        <w:t xml:space="preserve"> 9, no. 54 (February 1969): 41–54, https://doi.org/10.1080/05679326908448127; Stephen Peter Rosen, “Vietnam and the American Theory of Limited War,” </w:t>
      </w:r>
      <w:r w:rsidRPr="006C2BC2">
        <w:rPr>
          <w:rFonts w:cs="Times New Roman"/>
          <w:i/>
          <w:iCs/>
          <w:szCs w:val="24"/>
        </w:rPr>
        <w:t>International Security</w:t>
      </w:r>
      <w:r w:rsidRPr="006C2BC2">
        <w:rPr>
          <w:rFonts w:cs="Times New Roman"/>
          <w:szCs w:val="24"/>
        </w:rPr>
        <w:t xml:space="preserve"> 7, no. 2 (1982): 83–113, https://doi.org/10.2307/2538434; Joseph Lepgold and Brent L. Sterling, “When Do States Fight Limited Wars?: Political Risk, Policy Risk, and Policy Choice,” </w:t>
      </w:r>
      <w:r w:rsidRPr="006C2BC2">
        <w:rPr>
          <w:rFonts w:cs="Times New Roman"/>
          <w:i/>
          <w:iCs/>
          <w:szCs w:val="24"/>
        </w:rPr>
        <w:t>Security Studies</w:t>
      </w:r>
      <w:r w:rsidRPr="006C2BC2">
        <w:rPr>
          <w:rFonts w:cs="Times New Roman"/>
          <w:szCs w:val="24"/>
        </w:rPr>
        <w:t xml:space="preserve"> 9, no. 4 (June 1, 2000): 127–66, https://doi.org/10.1080/09636410008429415; Patricia L. Sullivan, “War Aims and War Outcomes Why Powerful States Lose Limited Wars,” </w:t>
      </w:r>
      <w:r w:rsidRPr="006C2BC2">
        <w:rPr>
          <w:rFonts w:cs="Times New Roman"/>
          <w:i/>
          <w:iCs/>
          <w:szCs w:val="24"/>
        </w:rPr>
        <w:t>Journal of Conflict Resolution</w:t>
      </w:r>
      <w:r w:rsidRPr="006C2BC2">
        <w:rPr>
          <w:rFonts w:cs="Times New Roman"/>
          <w:szCs w:val="24"/>
        </w:rPr>
        <w:t xml:space="preserve"> 51, no. 3 (June 1, 2007): 496–524, https://doi.org/10.1177/0022002707300187; Robert Powell, “Nuclear Brinkmanship, Limited War, and Military Power,” </w:t>
      </w:r>
      <w:r w:rsidRPr="006C2BC2">
        <w:rPr>
          <w:rFonts w:cs="Times New Roman"/>
          <w:i/>
          <w:iCs/>
          <w:szCs w:val="24"/>
        </w:rPr>
        <w:t>International Organization</w:t>
      </w:r>
      <w:r w:rsidRPr="006C2BC2">
        <w:rPr>
          <w:rFonts w:cs="Times New Roman"/>
          <w:szCs w:val="24"/>
        </w:rPr>
        <w:t xml:space="preserve"> 69, no. 03 (June 2015): 589–626, https://doi.org/10.1017/S0020818315000028</w:t>
      </w:r>
      <w:r>
        <w:rPr>
          <w:rFonts w:cs="Times New Roman"/>
          <w:szCs w:val="24"/>
        </w:rPr>
        <w:t>.</w:t>
      </w:r>
      <w:r w:rsidRPr="006C2BC2">
        <w:rPr>
          <w:rFonts w:cs="Times New Roman"/>
          <w:szCs w:val="24"/>
        </w:rPr>
        <w:t xml:space="preserve"> </w:t>
      </w:r>
      <w:r>
        <w:rPr>
          <w:rFonts w:cs="Times New Roman"/>
          <w:szCs w:val="24"/>
        </w:rPr>
        <w:t xml:space="preserve">On salami tactics, see </w:t>
      </w:r>
      <w:r w:rsidRPr="006C2BC2">
        <w:rPr>
          <w:rFonts w:cs="Times New Roman"/>
          <w:szCs w:val="24"/>
        </w:rPr>
        <w:t xml:space="preserve">Thomas C. Schelling, </w:t>
      </w:r>
      <w:r w:rsidRPr="006C2BC2">
        <w:rPr>
          <w:rFonts w:cs="Times New Roman"/>
          <w:i/>
          <w:iCs/>
          <w:szCs w:val="24"/>
        </w:rPr>
        <w:t>Arms and Influence</w:t>
      </w:r>
      <w:r w:rsidRPr="006C2BC2">
        <w:rPr>
          <w:rFonts w:cs="Times New Roman"/>
          <w:szCs w:val="24"/>
        </w:rPr>
        <w:t xml:space="preserve"> (Yale University Press, 1966); James Fearon, “Bargaining Over Objects That Influence Future Bargaining Power” (Draft, October 1996); Lawrence Freedman, “Ukraine and the Art of Limited War,” </w:t>
      </w:r>
      <w:r w:rsidRPr="006C2BC2">
        <w:rPr>
          <w:rFonts w:cs="Times New Roman"/>
          <w:i/>
          <w:iCs/>
          <w:szCs w:val="24"/>
        </w:rPr>
        <w:t>Survival</w:t>
      </w:r>
      <w:r w:rsidRPr="006C2BC2">
        <w:rPr>
          <w:rFonts w:cs="Times New Roman"/>
          <w:szCs w:val="24"/>
        </w:rPr>
        <w:t xml:space="preserve"> 56, no. 6 (November 2, 2014): 7–38, https://doi.org/10.1080/00396338.2014.985432; Steven Metz, “Foundation for a Low Intensity Conflict Strategy,” </w:t>
      </w:r>
      <w:r w:rsidRPr="006C2BC2">
        <w:rPr>
          <w:rFonts w:cs="Times New Roman"/>
          <w:i/>
          <w:iCs/>
          <w:szCs w:val="24"/>
        </w:rPr>
        <w:t>Comparative Strategy</w:t>
      </w:r>
      <w:r w:rsidRPr="006C2BC2">
        <w:rPr>
          <w:rFonts w:cs="Times New Roman"/>
          <w:szCs w:val="24"/>
        </w:rPr>
        <w:t xml:space="preserve"> 8, no. 2 (January 1989): 265–73, https://doi.org/10.1080/01495938908402780</w:t>
      </w:r>
      <w:r>
        <w:rPr>
          <w:rFonts w:cs="Times New Roman"/>
          <w:szCs w:val="24"/>
        </w:rPr>
        <w:t>.</w:t>
      </w:r>
      <w:r w:rsidRPr="006C2BC2">
        <w:rPr>
          <w:rFonts w:cs="Times New Roman"/>
          <w:szCs w:val="24"/>
        </w:rPr>
        <w:t xml:space="preserve"> </w:t>
      </w:r>
      <w:r>
        <w:rPr>
          <w:rFonts w:cs="Times New Roman"/>
          <w:szCs w:val="24"/>
        </w:rPr>
        <w:t xml:space="preserve">On low intensity conflict, see </w:t>
      </w:r>
      <w:r w:rsidRPr="006C2BC2">
        <w:rPr>
          <w:rFonts w:cs="Times New Roman"/>
          <w:szCs w:val="24"/>
        </w:rPr>
        <w:t xml:space="preserve">Robert C. Freysinger, “US Military and Economic Intervention in an International Context of Low-Intensity Conflict,” </w:t>
      </w:r>
      <w:r w:rsidRPr="006C2BC2">
        <w:rPr>
          <w:rFonts w:cs="Times New Roman"/>
          <w:i/>
          <w:iCs/>
          <w:szCs w:val="24"/>
        </w:rPr>
        <w:t>Political Studies</w:t>
      </w:r>
      <w:r w:rsidRPr="006C2BC2">
        <w:rPr>
          <w:rFonts w:cs="Times New Roman"/>
          <w:szCs w:val="24"/>
        </w:rPr>
        <w:t xml:space="preserve"> 39, no. 2 (June 1, 1991): 321–34, https://doi.org/10.1111/j.1467-9248.1991.tb01370.x; Arthur V. Grant, “Strategic Decisions: The Mire of Low-Intensity Conflict,” </w:t>
      </w:r>
      <w:r w:rsidRPr="006C2BC2">
        <w:rPr>
          <w:rFonts w:cs="Times New Roman"/>
          <w:i/>
          <w:iCs/>
          <w:szCs w:val="24"/>
        </w:rPr>
        <w:t>Comparative Strategy</w:t>
      </w:r>
      <w:r w:rsidRPr="006C2BC2">
        <w:rPr>
          <w:rFonts w:cs="Times New Roman"/>
          <w:szCs w:val="24"/>
        </w:rPr>
        <w:t xml:space="preserve"> 10, no. 2 (April 1, 1991): 165–75, https://doi.org/10.1080/01495939108402840; Graham H Turbiville, “Preface: Future Trends in Low Intensity Conflict,” </w:t>
      </w:r>
      <w:r w:rsidRPr="006C2BC2">
        <w:rPr>
          <w:rFonts w:cs="Times New Roman"/>
          <w:i/>
          <w:iCs/>
          <w:szCs w:val="24"/>
        </w:rPr>
        <w:t>Low Intensity Conflict &amp; Law Enforcement</w:t>
      </w:r>
      <w:r w:rsidRPr="006C2BC2">
        <w:rPr>
          <w:rFonts w:cs="Times New Roman"/>
          <w:szCs w:val="24"/>
        </w:rPr>
        <w:t xml:space="preserve"> 11, no. 2–3 (June 1, 2002): 155–63, https://doi.org/10.1080/0966284042000279957</w:t>
      </w:r>
      <w:r>
        <w:rPr>
          <w:rFonts w:cs="Times New Roman"/>
          <w:szCs w:val="24"/>
        </w:rPr>
        <w:t>.</w:t>
      </w:r>
      <w:r w:rsidRPr="006C2BC2">
        <w:rPr>
          <w:rFonts w:cs="Times New Roman"/>
          <w:szCs w:val="24"/>
        </w:rPr>
        <w:t xml:space="preserve"> </w:t>
      </w:r>
      <w:r>
        <w:rPr>
          <w:rFonts w:cs="Times New Roman"/>
          <w:szCs w:val="24"/>
        </w:rPr>
        <w:t xml:space="preserve">On revolutionary war, see </w:t>
      </w:r>
      <w:r w:rsidRPr="006C2BC2">
        <w:rPr>
          <w:rFonts w:cs="Times New Roman"/>
          <w:szCs w:val="24"/>
        </w:rPr>
        <w:t xml:space="preserve">John Shy and Thomas W. Collier, “Revolutionary War,” in </w:t>
      </w:r>
      <w:r w:rsidRPr="006C2BC2">
        <w:rPr>
          <w:rFonts w:cs="Times New Roman"/>
          <w:i/>
          <w:iCs/>
          <w:szCs w:val="24"/>
        </w:rPr>
        <w:t>Makers of Modern Strategy from Machiavelli to the Nuclear Age</w:t>
      </w:r>
      <w:r w:rsidRPr="006C2BC2">
        <w:rPr>
          <w:rFonts w:cs="Times New Roman"/>
          <w:szCs w:val="24"/>
        </w:rPr>
        <w:t>, ed. Peter Paret, Gordon A Craig, and Felix Gilbert (New Jersey: Princeton University Press, 1986), 815–62</w:t>
      </w:r>
      <w:r>
        <w:rPr>
          <w:rFonts w:cs="Times New Roman"/>
          <w:szCs w:val="24"/>
        </w:rPr>
        <w:t>. On military operations other than war, see</w:t>
      </w:r>
      <w:r w:rsidRPr="006C2BC2">
        <w:rPr>
          <w:rFonts w:cs="Times New Roman"/>
          <w:szCs w:val="24"/>
        </w:rPr>
        <w:t xml:space="preserve"> Stuart Kinross, “Clausewitz and Low-Intensity Conflict,” </w:t>
      </w:r>
      <w:r w:rsidRPr="006C2BC2">
        <w:rPr>
          <w:rFonts w:cs="Times New Roman"/>
          <w:i/>
          <w:iCs/>
          <w:szCs w:val="24"/>
        </w:rPr>
        <w:t>Journal of Strategic Studies</w:t>
      </w:r>
      <w:r w:rsidRPr="006C2BC2">
        <w:rPr>
          <w:rFonts w:cs="Times New Roman"/>
          <w:szCs w:val="24"/>
        </w:rPr>
        <w:t xml:space="preserve"> 27, no. 1 (March 1, 2004): 35–58, https://doi.org/10.1080/0140239042000232765; Lin-Greenberg, “Non-Traditional Security Dilemmas”</w:t>
      </w:r>
      <w:r>
        <w:rPr>
          <w:rFonts w:cs="Times New Roman"/>
          <w:szCs w:val="24"/>
        </w:rPr>
        <w:t>. On covert operations, see</w:t>
      </w:r>
      <w:r w:rsidRPr="006C2BC2">
        <w:rPr>
          <w:rFonts w:cs="Times New Roman"/>
          <w:szCs w:val="24"/>
        </w:rPr>
        <w:t xml:space="preserve"> Loch K. Johnson, “On Drawing a Bright Line for Covert Operations,” </w:t>
      </w:r>
      <w:r w:rsidRPr="006C2BC2">
        <w:rPr>
          <w:rFonts w:cs="Times New Roman"/>
          <w:i/>
          <w:iCs/>
          <w:szCs w:val="24"/>
        </w:rPr>
        <w:t>The American Journal of International Law</w:t>
      </w:r>
      <w:r w:rsidRPr="006C2BC2">
        <w:rPr>
          <w:rFonts w:cs="Times New Roman"/>
          <w:szCs w:val="24"/>
        </w:rPr>
        <w:t xml:space="preserve"> 86, no. 2 (1992): 284–309, https://doi.org/10.2307/2203235; Austin Carson, </w:t>
      </w:r>
      <w:r w:rsidRPr="006C2BC2">
        <w:rPr>
          <w:rFonts w:cs="Times New Roman"/>
          <w:i/>
          <w:iCs/>
          <w:szCs w:val="24"/>
        </w:rPr>
        <w:t>Secret Wars: Covert Conflict in International Politics</w:t>
      </w:r>
      <w:r w:rsidRPr="006C2BC2">
        <w:rPr>
          <w:rFonts w:cs="Times New Roman"/>
          <w:szCs w:val="24"/>
        </w:rPr>
        <w:t xml:space="preserve">, Princeton Studies in International History and Politics (Princeton, NJ: Princeton University Press, 2018); Lindsey A. O’Rourke, </w:t>
      </w:r>
      <w:r w:rsidRPr="006C2BC2">
        <w:rPr>
          <w:rFonts w:cs="Times New Roman"/>
          <w:i/>
          <w:iCs/>
          <w:szCs w:val="24"/>
        </w:rPr>
        <w:t>Covert Regime Change: America’s Secret Cold War</w:t>
      </w:r>
      <w:r w:rsidRPr="006C2BC2">
        <w:rPr>
          <w:rFonts w:cs="Times New Roman"/>
          <w:szCs w:val="24"/>
        </w:rPr>
        <w:t>, Cornell Studies in Security Affairs (Ithaca, NY: Cornell University Press, 2018)</w:t>
      </w:r>
      <w:r>
        <w:rPr>
          <w:rFonts w:cs="Times New Roman"/>
          <w:szCs w:val="24"/>
        </w:rPr>
        <w:t>. On small wars, see</w:t>
      </w:r>
      <w:r w:rsidRPr="006C2BC2">
        <w:rPr>
          <w:rFonts w:cs="Times New Roman"/>
          <w:szCs w:val="24"/>
        </w:rPr>
        <w:t xml:space="preserve"> William Olson, “The Concept of Small Wars,” </w:t>
      </w:r>
      <w:r w:rsidRPr="006C2BC2">
        <w:rPr>
          <w:rFonts w:cs="Times New Roman"/>
          <w:i/>
          <w:iCs/>
          <w:szCs w:val="24"/>
        </w:rPr>
        <w:t>Small Wars &amp; Insurgencies</w:t>
      </w:r>
      <w:r w:rsidRPr="006C2BC2">
        <w:rPr>
          <w:rFonts w:cs="Times New Roman"/>
          <w:szCs w:val="24"/>
        </w:rPr>
        <w:t xml:space="preserve"> 1, no. 1 (April 1, 1990): 39–46, https://doi.org/10.1080/09592319008422940</w:t>
      </w:r>
      <w:r>
        <w:rPr>
          <w:rFonts w:cs="Times New Roman"/>
          <w:szCs w:val="24"/>
        </w:rPr>
        <w:t>. On proxy wars, see</w:t>
      </w:r>
      <w:r w:rsidRPr="006C2BC2">
        <w:rPr>
          <w:rFonts w:cs="Times New Roman"/>
          <w:szCs w:val="24"/>
        </w:rPr>
        <w:t xml:space="preserve"> Yaacov Bar-Siman-Tov, “The Strategy of War by Proxy,” </w:t>
      </w:r>
      <w:r w:rsidRPr="006C2BC2">
        <w:rPr>
          <w:rFonts w:cs="Times New Roman"/>
          <w:i/>
          <w:iCs/>
          <w:szCs w:val="24"/>
        </w:rPr>
        <w:t>Cooperation and Conflict</w:t>
      </w:r>
      <w:r w:rsidRPr="006C2BC2">
        <w:rPr>
          <w:rFonts w:cs="Times New Roman"/>
          <w:szCs w:val="24"/>
        </w:rPr>
        <w:t xml:space="preserve"> 19, no. 4 (1984): 263–273; Seyom Brown, “Purposes and Pitfalls of War by Proxy: A Systemic Analysis,” </w:t>
      </w:r>
      <w:r w:rsidRPr="006C2BC2">
        <w:rPr>
          <w:rFonts w:cs="Times New Roman"/>
          <w:i/>
          <w:iCs/>
          <w:szCs w:val="24"/>
        </w:rPr>
        <w:t>Small Wars &amp; Insurgencies</w:t>
      </w:r>
      <w:r w:rsidRPr="006C2BC2">
        <w:rPr>
          <w:rFonts w:cs="Times New Roman"/>
          <w:szCs w:val="24"/>
        </w:rPr>
        <w:t xml:space="preserve"> 27, no. 2 (March 3, 2016): 243–57, https://doi.org/10.1080/09592318.2015.1134047; Jesse Driscoll and Daniel Maliniak, “With Friends Like These: Brinkmanship and Chain-Ganging in Russia’s Near Abroad,” </w:t>
      </w:r>
      <w:r w:rsidRPr="006C2BC2">
        <w:rPr>
          <w:rFonts w:cs="Times New Roman"/>
          <w:i/>
          <w:iCs/>
          <w:szCs w:val="24"/>
        </w:rPr>
        <w:t>Security Studies</w:t>
      </w:r>
      <w:r w:rsidRPr="006C2BC2">
        <w:rPr>
          <w:rFonts w:cs="Times New Roman"/>
          <w:szCs w:val="24"/>
        </w:rPr>
        <w:t xml:space="preserve"> 25, no. 4 (October 1, 2016): 585–607, https://doi.org/10.1080/09636412.2016.1220208.</w:t>
      </w:r>
      <w:r>
        <w:fldChar w:fldCharType="end"/>
      </w:r>
    </w:p>
  </w:footnote>
  <w:footnote w:id="10">
    <w:p w14:paraId="210BFDD4" w14:textId="2EC1A027" w:rsidR="006C2BC2" w:rsidRDefault="006C2BC2">
      <w:pPr>
        <w:pStyle w:val="FootnoteText"/>
      </w:pPr>
      <w:r>
        <w:rPr>
          <w:rStyle w:val="FootnoteReference"/>
        </w:rPr>
        <w:footnoteRef/>
      </w:r>
      <w:r>
        <w:t xml:space="preserve"> </w:t>
      </w:r>
      <w:r>
        <w:fldChar w:fldCharType="begin"/>
      </w:r>
      <w:r>
        <w:instrText xml:space="preserve"> ADDIN ZOTERO_ITEM CSL_CITATION {"citationID":"OYFljBdP","properties":{"formattedCitation":"Loch K. Johnson, \\uc0\\u8220{}The Myths of America\\uc0\\u8217{}s Shadow War,\\uc0\\u8221{} {\\i{}The Atlantic}, January 31, 2013, https://www.theatlantic.com/international/archive/2013/01/the-myths-of-americas-shadow-war/272712/.","plainCitation":"Loch K. Johnson, “The Myths of America’s Shadow War,” The Atlantic, January 31, 2013, https://www.theatlantic.com/international/archive/2013/01/the-myths-of-americas-shadow-war/272712/.","noteIndex":11},"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 K."}],"issued":{"date-parts":[["2013",1,31]]},"accessed":{"date-parts":[["2019",2,7]]}}}],"schema":"https://github.com/citation-style-language/schema/raw/master/csl-citation.json"} </w:instrText>
      </w:r>
      <w:r>
        <w:fldChar w:fldCharType="separate"/>
      </w:r>
      <w:r w:rsidRPr="006C2BC2">
        <w:rPr>
          <w:rFonts w:cs="Times New Roman"/>
          <w:szCs w:val="24"/>
        </w:rPr>
        <w:t xml:space="preserve">Loch K. Johnson, “The Myths of America’s Shadow War,” </w:t>
      </w:r>
      <w:r w:rsidRPr="006C2BC2">
        <w:rPr>
          <w:rFonts w:cs="Times New Roman"/>
          <w:i/>
          <w:iCs/>
          <w:szCs w:val="24"/>
        </w:rPr>
        <w:t>The Atlantic</w:t>
      </w:r>
      <w:r w:rsidRPr="006C2BC2">
        <w:rPr>
          <w:rFonts w:cs="Times New Roman"/>
          <w:szCs w:val="24"/>
        </w:rPr>
        <w:t>, January 31, 2013, https://www.theatlantic.com/international/archive/2013/01/the-myths-of-americas-shadow-war/272712/.</w:t>
      </w:r>
      <w:r>
        <w:fldChar w:fldCharType="end"/>
      </w:r>
    </w:p>
  </w:footnote>
  <w:footnote w:id="11">
    <w:p w14:paraId="293CF8D1" w14:textId="474DA62D" w:rsidR="006C2BC2" w:rsidRDefault="006C2BC2">
      <w:pPr>
        <w:pStyle w:val="FootnoteText"/>
      </w:pPr>
      <w:r>
        <w:rPr>
          <w:rStyle w:val="FootnoteReference"/>
        </w:rPr>
        <w:footnoteRef/>
      </w:r>
      <w:r>
        <w:t xml:space="preserve"> </w:t>
      </w:r>
      <w:r>
        <w:fldChar w:fldCharType="begin"/>
      </w:r>
      <w:r>
        <w:instrText xml:space="preserve"> 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12},"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separate"/>
      </w:r>
      <w:r w:rsidRPr="006C2BC2">
        <w:rPr>
          <w:rFonts w:cs="Times New Roman"/>
          <w:szCs w:val="24"/>
        </w:rPr>
        <w:t xml:space="preserve">Joseph Votel et al., “Unconventional Warfare in the Gray Zone,” </w:t>
      </w:r>
      <w:r w:rsidRPr="006C2BC2">
        <w:rPr>
          <w:rFonts w:cs="Times New Roman"/>
          <w:i/>
          <w:iCs/>
          <w:szCs w:val="24"/>
        </w:rPr>
        <w:t>Joint Force Quarterly</w:t>
      </w:r>
      <w:r w:rsidRPr="006C2BC2">
        <w:rPr>
          <w:rFonts w:cs="Times New Roman"/>
          <w:szCs w:val="24"/>
        </w:rPr>
        <w:t xml:space="preserve"> 80 (January 2016), http://ndupress.ndu.edu/Portals/68/Documents/jfq/jfq-80/jfq-80_101-109_Votel-et-al.pdf.</w:t>
      </w:r>
      <w:r>
        <w:fldChar w:fldCharType="end"/>
      </w:r>
    </w:p>
  </w:footnote>
  <w:footnote w:id="12">
    <w:p w14:paraId="0FB38590" w14:textId="022C88BD" w:rsidR="006C2BC2" w:rsidRDefault="006C2BC2">
      <w:pPr>
        <w:pStyle w:val="FootnoteText"/>
      </w:pPr>
      <w:r>
        <w:rPr>
          <w:rStyle w:val="FootnoteReference"/>
        </w:rPr>
        <w:footnoteRef/>
      </w:r>
      <w:r>
        <w:t xml:space="preserve"> </w:t>
      </w:r>
      <w:r>
        <w:fldChar w:fldCharType="begin"/>
      </w:r>
      <w:r>
        <w:instrText xml:space="preserve"> ADDIN ZOTERO_ITEM CSL_CITATION {"citationID":"m1plCybf","properties":{"formattedCitation":"Belinda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13},"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fldChar w:fldCharType="separate"/>
      </w:r>
      <w:r w:rsidRPr="006C2BC2">
        <w:rPr>
          <w:rFonts w:cs="Times New Roman"/>
          <w:szCs w:val="24"/>
        </w:rPr>
        <w:t>Belinda Bragg, “Integration Report: Gray Zone Conflicts, Challenges, and Opportunities,” Strategic Multi-Layer Assessment (SMA) (Arlington, VA, July 2017), http://nsiteam.com/social/wp-content/uploads/2017/07/Integration-Report-Final-07-13-2017-R.pdf.</w:t>
      </w:r>
      <w:r>
        <w:fldChar w:fldCharType="end"/>
      </w:r>
    </w:p>
  </w:footnote>
  <w:footnote w:id="13">
    <w:p w14:paraId="32999DF6" w14:textId="683B2B64" w:rsidR="006C2BC2" w:rsidRDefault="006C2BC2">
      <w:pPr>
        <w:pStyle w:val="FootnoteText"/>
      </w:pPr>
      <w:r>
        <w:rPr>
          <w:rStyle w:val="FootnoteReference"/>
        </w:rPr>
        <w:footnoteRef/>
      </w:r>
      <w:r>
        <w:t xml:space="preserve"> </w:t>
      </w:r>
      <w:r>
        <w:fldChar w:fldCharType="begin"/>
      </w:r>
      <w:r>
        <w:instrText xml:space="preserve"> ADDIN ZOTERO_ITEM CSL_CITATION {"citationID":"lB26b0My","properties":{"formattedCitation":"Richard Ned Lebow, \\uc0\\u8220{}The Past and Future of War,\\uc0\\u8221{} {\\i{}International Relations} 24, no. 3 (September 1, 2010): 243\\uc0\\u8211{}70, https://doi.org/10.1177/0047117810377277.","plainCitation":"Richard Ned Lebow, “The Past and Future of War,” International Relations 24, no. 3 (September 1, 2010): 243–70, https://doi.org/10.1177/0047117810377277.","noteIndex":14},"citationItems":[{"id":6933,"uris":["http://zotero.org/users/2506258/items/E2IQU78U"],"uri":["http://zotero.org/users/2506258/items/E2IQU78U"],"itemData":{"id":6933,"type":"article-journal","title":"The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 </w:instrText>
      </w:r>
      <w:r>
        <w:fldChar w:fldCharType="separate"/>
      </w:r>
      <w:r w:rsidRPr="006C2BC2">
        <w:rPr>
          <w:rFonts w:cs="Times New Roman"/>
          <w:szCs w:val="24"/>
        </w:rPr>
        <w:t xml:space="preserve">Richard Ned Lebow, “The Past and Future of War,” </w:t>
      </w:r>
      <w:r w:rsidRPr="006C2BC2">
        <w:rPr>
          <w:rFonts w:cs="Times New Roman"/>
          <w:i/>
          <w:iCs/>
          <w:szCs w:val="24"/>
        </w:rPr>
        <w:t>International Relations</w:t>
      </w:r>
      <w:r w:rsidRPr="006C2BC2">
        <w:rPr>
          <w:rFonts w:cs="Times New Roman"/>
          <w:szCs w:val="24"/>
        </w:rPr>
        <w:t xml:space="preserve"> 24, no. 3 (September 1, 2010): 243–70, https://doi.org/10.1177/0047117810377277.</w:t>
      </w:r>
      <w:r>
        <w:fldChar w:fldCharType="end"/>
      </w:r>
    </w:p>
  </w:footnote>
  <w:footnote w:id="14">
    <w:p w14:paraId="2E54717E" w14:textId="2B080179" w:rsidR="006C2BC2" w:rsidRDefault="006C2BC2">
      <w:pPr>
        <w:pStyle w:val="FootnoteText"/>
      </w:pPr>
      <w:r>
        <w:rPr>
          <w:rStyle w:val="FootnoteReference"/>
        </w:rPr>
        <w:footnoteRef/>
      </w:r>
      <w:r>
        <w:t xml:space="preserve"> </w:t>
      </w:r>
      <w:r>
        <w:fldChar w:fldCharType="begin"/>
      </w:r>
      <w:r>
        <w:instrText xml:space="preserve"> ADDIN ZOTERO_ITEM CSL_CITATION {"citationID":"Sp1Cginw","properties":{"formattedCitation":"George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15},"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fldChar w:fldCharType="separate"/>
      </w:r>
      <w:r w:rsidRPr="006C2BC2">
        <w:rPr>
          <w:rFonts w:cs="Times New Roman"/>
          <w:szCs w:val="24"/>
        </w:rPr>
        <w:t>George Kennan, “269. Policy Planning Staff Memorandum,” Records of the National Security Council NSC 10/2 (Washington: National Archives and Records Administration, May 4, 1948), http://academic.brooklyn.cuny.edu/history/johnson/65ciafounding3.htm.</w:t>
      </w:r>
      <w:r>
        <w:fldChar w:fldCharType="end"/>
      </w:r>
    </w:p>
  </w:footnote>
  <w:footnote w:id="15">
    <w:p w14:paraId="516EF92C" w14:textId="6FD3EEDC" w:rsidR="006C2BC2" w:rsidRDefault="006C2BC2">
      <w:pPr>
        <w:pStyle w:val="FootnoteText"/>
      </w:pPr>
      <w:r>
        <w:rPr>
          <w:rStyle w:val="FootnoteReference"/>
        </w:rPr>
        <w:footnoteRef/>
      </w:r>
      <w:r>
        <w:t xml:space="preserve"> </w:t>
      </w:r>
      <w:r>
        <w:fldChar w:fldCharType="begin"/>
      </w:r>
      <w:r>
        <w:instrText xml:space="preserve"> ADDIN ZOTERO_ITEM CSL_CITATION {"citationID":"GOziCDm0","properties":{"formattedCitation":"Osgood,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https://doi.org/10.2307/2669259.","noteIndex":16},"citationItems":[{"id":14060,"uris":["http://zotero.org/users/2506258/items/ILDNW8W7"],"uri":["http://zotero.org/users/2506258/items/ILDNW8W7"],"itemData":{"id":14060,"type":"article-journal","title":"The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 </w:instrText>
      </w:r>
      <w:r>
        <w:fldChar w:fldCharType="separate"/>
      </w:r>
      <w:r w:rsidRPr="006C2BC2">
        <w:rPr>
          <w:rFonts w:cs="Times New Roman"/>
          <w:szCs w:val="24"/>
        </w:rPr>
        <w:t xml:space="preserve">Osgood, “The Reappraisal of Limited War”; R. Harrison Wagner, “Bargaining and War,” </w:t>
      </w:r>
      <w:r w:rsidRPr="006C2BC2">
        <w:rPr>
          <w:rFonts w:cs="Times New Roman"/>
          <w:i/>
          <w:iCs/>
          <w:szCs w:val="24"/>
        </w:rPr>
        <w:t>American Journal of Political Science</w:t>
      </w:r>
      <w:r w:rsidRPr="006C2BC2">
        <w:rPr>
          <w:rFonts w:cs="Times New Roman"/>
          <w:szCs w:val="24"/>
        </w:rPr>
        <w:t xml:space="preserve"> 44, no. 3 (2000): 469–84, https://doi.org/10.2307/2669259.</w:t>
      </w:r>
      <w:r>
        <w:fldChar w:fldCharType="end"/>
      </w:r>
    </w:p>
  </w:footnote>
  <w:footnote w:id="16">
    <w:p w14:paraId="403DE002" w14:textId="0DD8A1BB" w:rsidR="006C2BC2" w:rsidRDefault="006C2BC2">
      <w:pPr>
        <w:pStyle w:val="FootnoteText"/>
      </w:pPr>
      <w:r>
        <w:rPr>
          <w:rStyle w:val="FootnoteReference"/>
        </w:rPr>
        <w:footnoteRef/>
      </w:r>
      <w:r>
        <w:t xml:space="preserve"> </w:t>
      </w:r>
      <w:r>
        <w:fldChar w:fldCharType="begin"/>
      </w:r>
      <w:r>
        <w:instrText xml:space="preserve"> ADDIN ZOTERO_ITEM CSL_CITATION {"citationID":"AiqY7TcW","properties":{"formattedCitation":"Kissinger,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A.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A. Kissinger, “Strategy and Organization,” Foreign Affairs 35, no. 3 (1957): 379–94, https://doi.org/10.2307/20031235.","noteIndex":17},"citationItems":[{"id":14067,"uris":["http://zotero.org/users/2506258/items/VLFRFPPZ"],"uri":["http://zotero.org/users/2506258/items/VLFRFPPZ"],"itemData":{"id":14067,"type":"article-journal","title":"Military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 A."}],"issued":{"date-parts":[["1957"]]}}}],"schema":"https://github.com/citation-style-language/schema/raw/master/csl-citation.json"} </w:instrText>
      </w:r>
      <w:r>
        <w:fldChar w:fldCharType="separate"/>
      </w:r>
      <w:r w:rsidRPr="006C2BC2">
        <w:rPr>
          <w:rFonts w:cs="Times New Roman"/>
          <w:szCs w:val="24"/>
        </w:rPr>
        <w:t xml:space="preserve">Kissinger, “Military Policy and Defense of the ‘Grey Areas’”; Bernard Brodie, “More About Limited War,” ed. RN Rear Admiral Sir Anthony W. Buzzard, Robert E. Osgood, and P. M. S. Blackett, </w:t>
      </w:r>
      <w:r w:rsidRPr="006C2BC2">
        <w:rPr>
          <w:rFonts w:cs="Times New Roman"/>
          <w:i/>
          <w:iCs/>
          <w:szCs w:val="24"/>
        </w:rPr>
        <w:t>World Politics</w:t>
      </w:r>
      <w:r w:rsidRPr="006C2BC2">
        <w:rPr>
          <w:rFonts w:cs="Times New Roman"/>
          <w:szCs w:val="24"/>
        </w:rPr>
        <w:t xml:space="preserve"> 10, no. 1 (1957): 112–22, https://doi.org/10.2307/2009228; Henry A. Kissinger, “Strategy and Organization,” </w:t>
      </w:r>
      <w:r w:rsidRPr="006C2BC2">
        <w:rPr>
          <w:rFonts w:cs="Times New Roman"/>
          <w:i/>
          <w:iCs/>
          <w:szCs w:val="24"/>
        </w:rPr>
        <w:t>Foreign Affairs</w:t>
      </w:r>
      <w:r w:rsidRPr="006C2BC2">
        <w:rPr>
          <w:rFonts w:cs="Times New Roman"/>
          <w:szCs w:val="24"/>
        </w:rPr>
        <w:t xml:space="preserve"> 35, no. 3 (1957): 379–94, https://doi.org/10.2307/20031235.</w:t>
      </w:r>
      <w:r>
        <w:fldChar w:fldCharType="end"/>
      </w:r>
    </w:p>
  </w:footnote>
  <w:footnote w:id="17">
    <w:p w14:paraId="5DFA5D41" w14:textId="1BCD9216" w:rsidR="006C2BC2" w:rsidRDefault="006C2BC2">
      <w:pPr>
        <w:pStyle w:val="FootnoteText"/>
      </w:pPr>
      <w:r>
        <w:rPr>
          <w:rStyle w:val="FootnoteReference"/>
        </w:rPr>
        <w:footnoteRef/>
      </w:r>
      <w:r>
        <w:t xml:space="preserve"> </w:t>
      </w:r>
      <w:r>
        <w:fldChar w:fldCharType="begin"/>
      </w:r>
      <w:r>
        <w:instrText xml:space="preserve"> ADDIN ZOTERO_ITEM CSL_CITATION {"citationID":"sZJH6q61","properties":{"formattedCitation":"Dr Stewart Woodman, \\uc0\\u8220{}Defining Limited Conflict: A Case of Mistaken Identity,\\uc0\\u8221{} {\\i{}Small Wars &amp; Insurgencies} 2, no. 3 (December 1, 1991): 24\\uc0\\u8211{}43, https://doi.org/10.1080/09592319108422992.","plainCitation":"Dr Stewart Woodman, “Defining Limited Conflict: A Case of Mistaken Identity,” Small Wars &amp; Insurgencies 2, no. 3 (December 1, 1991): 24–43, https://doi.org/10.1080/09592319108422992.","noteIndex":18},"citationItems":[{"id":6649,"uris":["http://zotero.org/users/2506258/items/3SRW8KE3"],"uri":["http://zotero.org/users/2506258/items/3SRW8KE3"],"itemData":{"id":6649,"type":"article-journal","title":"Defining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conflict","author":[{"family":"Woodman","given":"Dr Stewart"}],"issued":{"date-parts":[["1991",12,1]]}}}],"schema":"https://github.com/citation-style-language/schema/raw/master/csl-citation.json"} </w:instrText>
      </w:r>
      <w:r>
        <w:fldChar w:fldCharType="separate"/>
      </w:r>
      <w:r w:rsidRPr="006C2BC2">
        <w:rPr>
          <w:rFonts w:cs="Times New Roman"/>
          <w:szCs w:val="24"/>
        </w:rPr>
        <w:t xml:space="preserve">Dr Stewart Woodman, “Defining Limited Conflict: A Case of Mistaken Identity,” </w:t>
      </w:r>
      <w:r w:rsidRPr="006C2BC2">
        <w:rPr>
          <w:rFonts w:cs="Times New Roman"/>
          <w:i/>
          <w:iCs/>
          <w:szCs w:val="24"/>
        </w:rPr>
        <w:t>Small Wars &amp; Insurgencies</w:t>
      </w:r>
      <w:r w:rsidRPr="006C2BC2">
        <w:rPr>
          <w:rFonts w:cs="Times New Roman"/>
          <w:szCs w:val="24"/>
        </w:rPr>
        <w:t xml:space="preserve"> 2, no. 3 (December 1, 1991): 24–43, https://doi.org/10.1080/09592319108422992.</w:t>
      </w:r>
      <w:r>
        <w:fldChar w:fldCharType="end"/>
      </w:r>
    </w:p>
  </w:footnote>
  <w:footnote w:id="18">
    <w:p w14:paraId="1240A7D1" w14:textId="57C33440" w:rsidR="006C2BC2" w:rsidRDefault="006C2BC2">
      <w:pPr>
        <w:pStyle w:val="FootnoteText"/>
      </w:pPr>
      <w:r>
        <w:rPr>
          <w:rStyle w:val="FootnoteReference"/>
        </w:rPr>
        <w:footnoteRef/>
      </w:r>
      <w:r>
        <w:t xml:space="preserve"> </w:t>
      </w:r>
      <w:r>
        <w:fldChar w:fldCharType="begin"/>
      </w:r>
      <w:r>
        <w:instrText xml:space="preserve"> ADDIN ZOTERO_ITEM CSL_CITATION {"citationID":"47e6lsjD","properties":{"formattedCitation":"Schelling, \\uc0\\u8220{}Bargaining, Communication, and Limited War.\\uc0\\u8221{}","plainCitation":"Schelling, “Bargaining, Communication, and Limited War.”","noteIndex":19},"citationItems":[{"id":5757,"uris":["http://zotero.org/users/2506258/items/E5E4AAR5"],"uri":["http://zotero.org/users/2506258/items/E5E4AAR5"],"itemData":{"id":5757,"type":"article-journal","title":"Bargaining,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C."}],"issued":{"date-parts":[["1957"]]}}}],"schema":"https://github.com/citation-style-language/schema/raw/master/csl-citation.json"} </w:instrText>
      </w:r>
      <w:r>
        <w:fldChar w:fldCharType="separate"/>
      </w:r>
      <w:r w:rsidRPr="006C2BC2">
        <w:rPr>
          <w:rFonts w:cs="Times New Roman"/>
          <w:szCs w:val="24"/>
        </w:rPr>
        <w:t>Schelling, “Bargaining, Communication, and Limited War.”</w:t>
      </w:r>
      <w:r>
        <w:fldChar w:fldCharType="end"/>
      </w:r>
    </w:p>
  </w:footnote>
  <w:footnote w:id="19">
    <w:p w14:paraId="09E29D48" w14:textId="1EC5CE73" w:rsidR="006C2BC2" w:rsidRDefault="006C2BC2">
      <w:pPr>
        <w:pStyle w:val="FootnoteText"/>
      </w:pPr>
      <w:r>
        <w:rPr>
          <w:rStyle w:val="FootnoteReference"/>
        </w:rPr>
        <w:footnoteRef/>
      </w:r>
      <w:r>
        <w:t xml:space="preserve"> </w:t>
      </w:r>
      <w:r>
        <w:fldChar w:fldCharType="begin"/>
      </w:r>
      <w:r>
        <w:instrText xml:space="preserve"> ADDIN ZOTERO_ITEM CSL_CITATION {"citationID":"Sf2xiUZf","properties":{"formattedCitation":"Michael Carver, \\uc0\\u8220{}Conventional Warfare in the Nuclear Age,\\uc0\\u8221{} in {\\i{}Makers of Modern Strategy from Machiavelli to the Nuclear Age.}, ed. Peter Paret, Gordon A Craig, and Felix Gilbert (New Jersey: Princeton University Press, 1986), 779\\uc0\\u8211{}814, http://public.eblib.com/choice/publicfullrecord.aspx?p=827816.","plainCitation":"Michael Carver, “Conventional Warfare in the Nuclear Age,” in Makers of Modern Strategy from Machiavelli to the Nuclear Age., ed. Peter Paret, Gordon A Craig, and Felix Gilbert (New Jersey: Princeton University Press, 1986), 779–814, http://public.eblib.com/choice/publicfullrecord.aspx?p=827816.","noteIndex":20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repint.","URL":"http://public.eblib.com/choice/publicfullrecord.aspx?p=827816","ISBN":"978-1-4008-3546-1","note":"OCLC: 958519223","language":"English","editor":[{"family":"Paret","given":"Peter"},{"family":"Craig","given":"Gordon A"},{"family":"Gilbert","given":"Felix"}],"author":[{"family":"Carver","given":"Michael"}],"issued":{"date-parts":[["1986"]]},"accessed":{"date-parts":[["2018",1,14]]}}}],"schema":"https://github.com/citation-style-language/schema/raw/master/csl-citation.json"} </w:instrText>
      </w:r>
      <w:r>
        <w:fldChar w:fldCharType="separate"/>
      </w:r>
      <w:r w:rsidRPr="006C2BC2">
        <w:rPr>
          <w:rFonts w:cs="Times New Roman"/>
          <w:szCs w:val="24"/>
        </w:rPr>
        <w:t xml:space="preserve">Michael Carver, “Conventional Warfare in the Nuclear Age,” in </w:t>
      </w:r>
      <w:r w:rsidRPr="006C2BC2">
        <w:rPr>
          <w:rFonts w:cs="Times New Roman"/>
          <w:i/>
          <w:iCs/>
          <w:szCs w:val="24"/>
        </w:rPr>
        <w:t>Makers of Modern Strategy from Machiavelli to the Nuclear Age.</w:t>
      </w:r>
      <w:r w:rsidRPr="006C2BC2">
        <w:rPr>
          <w:rFonts w:cs="Times New Roman"/>
          <w:szCs w:val="24"/>
        </w:rPr>
        <w:t>, ed. Peter Paret, Gordon A Craig, and Felix Gilbert (New Jersey: Princeton University Press, 1986), 779–814, http://public.eblib.com/choice/publicfullrecord.aspx?p=827816.</w:t>
      </w:r>
      <w:r>
        <w:fldChar w:fldCharType="end"/>
      </w:r>
    </w:p>
  </w:footnote>
  <w:footnote w:id="20">
    <w:p w14:paraId="39F22948" w14:textId="5796682B" w:rsidR="006C2BC2" w:rsidRDefault="006C2BC2">
      <w:pPr>
        <w:pStyle w:val="FootnoteText"/>
      </w:pPr>
      <w:r>
        <w:rPr>
          <w:rStyle w:val="FootnoteReference"/>
        </w:rPr>
        <w:footnoteRef/>
      </w:r>
      <w:r>
        <w:t xml:space="preserve"> </w:t>
      </w:r>
      <w:r>
        <w:fldChar w:fldCharType="begin"/>
      </w:r>
      <w:r>
        <w:instrText xml:space="preserve"> ADDIN ZOTERO_ITEM CSL_CITATION {"citationID":"fBIx7KZI","properties":{"formattedCitation":"Glenn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fldChar w:fldCharType="separate"/>
      </w:r>
      <w:r w:rsidRPr="006C2BC2">
        <w:rPr>
          <w:rFonts w:cs="Times New Roman"/>
          <w:szCs w:val="24"/>
        </w:rPr>
        <w:t xml:space="preserve">Glenn Snyder, “The Balance of Power and the Balance of Terror,” in </w:t>
      </w:r>
      <w:r w:rsidRPr="006C2BC2">
        <w:rPr>
          <w:rFonts w:cs="Times New Roman"/>
          <w:i/>
          <w:iCs/>
          <w:szCs w:val="24"/>
        </w:rPr>
        <w:t>World in Crisis: Readings in International Relations</w:t>
      </w:r>
      <w:r w:rsidRPr="006C2BC2">
        <w:rPr>
          <w:rFonts w:cs="Times New Roman"/>
          <w:szCs w:val="24"/>
        </w:rPr>
        <w:t xml:space="preserve">, ed. Frederick Hartmann (New York: The Macmillan Company, 1965), 180–91; Robert Jervis, </w:t>
      </w:r>
      <w:r w:rsidRPr="006C2BC2">
        <w:rPr>
          <w:rFonts w:cs="Times New Roman"/>
          <w:i/>
          <w:iCs/>
          <w:szCs w:val="24"/>
        </w:rPr>
        <w:t>The Illogic of American Nuclear Strategy</w:t>
      </w:r>
      <w:r w:rsidRPr="006C2BC2">
        <w:rPr>
          <w:rFonts w:cs="Times New Roman"/>
          <w:szCs w:val="24"/>
        </w:rPr>
        <w:t xml:space="preserve"> (Cornell University Press, 1984).</w:t>
      </w:r>
      <w:r>
        <w:fldChar w:fldCharType="end"/>
      </w:r>
    </w:p>
  </w:footnote>
  <w:footnote w:id="21">
    <w:p w14:paraId="4CF627EC" w14:textId="6D6FC466" w:rsidR="006C2BC2" w:rsidRDefault="006C2BC2">
      <w:pPr>
        <w:pStyle w:val="FootnoteText"/>
      </w:pPr>
      <w:r>
        <w:rPr>
          <w:rStyle w:val="FootnoteReference"/>
        </w:rPr>
        <w:footnoteRef/>
      </w:r>
      <w:r>
        <w:t xml:space="preserve"> </w:t>
      </w:r>
      <w:r>
        <w:fldChar w:fldCharType="begin"/>
      </w:r>
      <w:r>
        <w:instrText xml:space="preserve"> ADDIN ZOTERO_ITEM CSL_CITATION {"citationID":"XBPucETS","properties":{"formattedCitation":"Snyder, \\uc0\\u8220{}The Balance of Power and the Balance of Terror.\\uc0\\u8221{}","plainCitation":"Snyder, “The Balance of Power and the Balance of Terror.”","noteIndex":22},"citationItems":[{"id":5744,"uris":["http://zotero.org/users/2506258/items/MPUN27KV"],"uri":["http://zotero.org/users/2506258/items/MPUN27KV"],"itemData":{"id":5744,"type":"chapter","title":"The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r>
        <w:fldChar w:fldCharType="separate"/>
      </w:r>
      <w:r w:rsidRPr="006C2BC2">
        <w:rPr>
          <w:rFonts w:cs="Times New Roman"/>
          <w:szCs w:val="24"/>
        </w:rPr>
        <w:t>Snyder, “The Balance of Power and the Balance of Terror.”</w:t>
      </w:r>
      <w:r>
        <w:fldChar w:fldCharType="end"/>
      </w:r>
    </w:p>
  </w:footnote>
  <w:footnote w:id="22">
    <w:p w14:paraId="12F49E73" w14:textId="2183CB82" w:rsidR="006C2BC2" w:rsidRDefault="006C2BC2">
      <w:pPr>
        <w:pStyle w:val="FootnoteText"/>
      </w:pPr>
      <w:r>
        <w:rPr>
          <w:rStyle w:val="FootnoteReference"/>
        </w:rPr>
        <w:footnoteRef/>
      </w:r>
      <w:r>
        <w:t xml:space="preserve"> </w:t>
      </w:r>
      <w:r>
        <w:fldChar w:fldCharType="begin"/>
      </w:r>
      <w:r>
        <w:instrText xml:space="preserve"> ADDIN ZOTERO_ITEM CSL_CITATION {"citationID":"NOJEErEH","properties":{"formattedCitation":"Richard L. Russell, \\uc0\\u8220{}The Nuclear Peace Fallacy: How Deterrence Can Fail,\\uc0\\u8221{} {\\i{}Journal of Strategic Studies} 26, no. 1 (March 1, 2003): 136\\uc0\\u8211{}55, https://doi.org/10.1080/01402390308559311; Scott Douglas Sagan and Kenneth Neal Waltz, {\\i{}The Spread of Nuclear Weapons: A Debate Renewed} (Norton, 2003); S. Paul Kapur, {\\i{}Dangerous Deterrent: Nuclear Weapons Proliferation and Conflict in South Asia} (Stanford University Press, 2007).","plainCitation":"Richard L. Russell, “The Nuclear Peace Fallacy: How Deterrence Can Fail,” Journal of Strategic Studies 26, no. 1 (March 1, 2003): 136–55, https://doi.org/10.1080/01402390308559311; Scott Douglas Sagan and Kenneth Neal Waltz, The Spread of Nuclear Weapons: A Debate Renewed (Norton, 2003); S. Paul Kapur, Dangerous Deterrent: Nuclear Weapons Proliferation and Conflict in South Asia (Stanford University Press, 2007).","noteIndex":23},"citationItems":[{"id":6779,"uris":["http://zotero.org/users/2506258/items/9ZHHS6PX"],"uri":["http://zotero.org/users/2506258/items/9ZHHS6PX"],"itemData":{"id":6779,"type":"article-journal","title":"The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 L."}],"issued":{"date-parts":[["2003",3,1]]}}},{"id":6775,"uris":["http://zotero.org/users/2506258/items/FGBVBVDV"],"uri":["http://zotero.org/users/2506258/items/FGBVBVDV"],"itemData":{"id":6775,"type":"book","title":"The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 Douglas"},{"family":"Waltz","given":"Kenneth Neal"}],"issued":{"date-parts":[["2003"]]}}},{"id":6777,"uris":["http://zotero.org/users/2506258/items/4HIXW7R3"],"uri":["http://zotero.org/users/2506258/items/4HIXW7R3"],"itemData":{"id":6777,"type":"book","title":"Dangerous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 </w:instrText>
      </w:r>
      <w:r>
        <w:fldChar w:fldCharType="separate"/>
      </w:r>
      <w:r w:rsidRPr="006C2BC2">
        <w:rPr>
          <w:rFonts w:cs="Times New Roman"/>
          <w:szCs w:val="24"/>
        </w:rPr>
        <w:t xml:space="preserve">Richard L. Russell, “The Nuclear Peace Fallacy: How Deterrence Can Fail,” </w:t>
      </w:r>
      <w:r w:rsidRPr="006C2BC2">
        <w:rPr>
          <w:rFonts w:cs="Times New Roman"/>
          <w:i/>
          <w:iCs/>
          <w:szCs w:val="24"/>
        </w:rPr>
        <w:t>Journal of Strategic Studies</w:t>
      </w:r>
      <w:r w:rsidRPr="006C2BC2">
        <w:rPr>
          <w:rFonts w:cs="Times New Roman"/>
          <w:szCs w:val="24"/>
        </w:rPr>
        <w:t xml:space="preserve"> 26, no. 1 (March 1, 2003): 136–55, https://doi.org/10.1080/01402390308559311; Scott Douglas Sagan and Kenneth Neal Waltz, </w:t>
      </w:r>
      <w:r w:rsidRPr="006C2BC2">
        <w:rPr>
          <w:rFonts w:cs="Times New Roman"/>
          <w:i/>
          <w:iCs/>
          <w:szCs w:val="24"/>
        </w:rPr>
        <w:t>The Spread of Nuclear Weapons: A Debate Renewed</w:t>
      </w:r>
      <w:r w:rsidRPr="006C2BC2">
        <w:rPr>
          <w:rFonts w:cs="Times New Roman"/>
          <w:szCs w:val="24"/>
        </w:rPr>
        <w:t xml:space="preserve"> (Norton, 2003); S. Paul Kapur, </w:t>
      </w:r>
      <w:r w:rsidRPr="006C2BC2">
        <w:rPr>
          <w:rFonts w:cs="Times New Roman"/>
          <w:i/>
          <w:iCs/>
          <w:szCs w:val="24"/>
        </w:rPr>
        <w:t>Dangerous Deterrent: Nuclear Weapons Proliferation and Conflict in South Asia</w:t>
      </w:r>
      <w:r w:rsidRPr="006C2BC2">
        <w:rPr>
          <w:rFonts w:cs="Times New Roman"/>
          <w:szCs w:val="24"/>
        </w:rPr>
        <w:t xml:space="preserve"> (Stanford University Press, 2007).</w:t>
      </w:r>
      <w:r>
        <w:fldChar w:fldCharType="end"/>
      </w:r>
    </w:p>
  </w:footnote>
  <w:footnote w:id="23">
    <w:p w14:paraId="0BEAC6C8" w14:textId="12EF244B" w:rsidR="006C2BC2" w:rsidRDefault="006C2BC2">
      <w:pPr>
        <w:pStyle w:val="FootnoteText"/>
      </w:pPr>
      <w:r>
        <w:rPr>
          <w:rStyle w:val="FootnoteReference"/>
        </w:rPr>
        <w:footnoteRef/>
      </w:r>
      <w:r>
        <w:t xml:space="preserve"> </w:t>
      </w:r>
      <w:r>
        <w:fldChar w:fldCharType="begin"/>
      </w:r>
      <w:r>
        <w:instrText xml:space="preserve"> ADDIN ZOTERO_ITEM CSL_CITATION {"citationID":"MPI8YXkj","properties":{"formattedCitation":"Sir Basil Henry Liddell Hart, {\\i{}Strategy: The Indirect Approach} (Faber &amp; Faber, 1954).","plainCitation":"Sir Basil Henry Liddell Hart, Strategy: The Indirect Approach (Faber &amp; Faber, 1954).","noteIndex":24},"citationItems":[{"id":14048,"uris":["http://zotero.org/users/2506258/items/KVCWYUFB"],"uri":["http://zotero.org/users/2506258/items/KVCWYUFB"],"itemData":{"id":14048,"type":"book","title":"Strategy: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r>
        <w:fldChar w:fldCharType="separate"/>
      </w:r>
      <w:r w:rsidRPr="006C2BC2">
        <w:rPr>
          <w:rFonts w:cs="Times New Roman"/>
          <w:szCs w:val="24"/>
        </w:rPr>
        <w:t xml:space="preserve">Sir Basil Henry Liddell Hart, </w:t>
      </w:r>
      <w:r w:rsidRPr="006C2BC2">
        <w:rPr>
          <w:rFonts w:cs="Times New Roman"/>
          <w:i/>
          <w:iCs/>
          <w:szCs w:val="24"/>
        </w:rPr>
        <w:t>Strategy: The Indirect Approach</w:t>
      </w:r>
      <w:r w:rsidRPr="006C2BC2">
        <w:rPr>
          <w:rFonts w:cs="Times New Roman"/>
          <w:szCs w:val="24"/>
        </w:rPr>
        <w:t xml:space="preserve"> (Faber &amp; Faber, 1954).</w:t>
      </w:r>
      <w:r>
        <w:fldChar w:fldCharType="end"/>
      </w:r>
    </w:p>
  </w:footnote>
  <w:footnote w:id="24">
    <w:p w14:paraId="29499820" w14:textId="0169C119" w:rsidR="006C2BC2" w:rsidRDefault="006C2BC2">
      <w:pPr>
        <w:pStyle w:val="FootnoteText"/>
      </w:pPr>
      <w:r>
        <w:rPr>
          <w:rStyle w:val="FootnoteReference"/>
        </w:rPr>
        <w:footnoteRef/>
      </w:r>
      <w:r>
        <w:t xml:space="preserve"> </w:t>
      </w:r>
      <w:r>
        <w:fldChar w:fldCharType="begin"/>
      </w:r>
      <w:r>
        <w:instrText xml:space="preserve"> ADDIN ZOTERO_ITEM CSL_CITATION {"citationID":"bI44pjGA","properties":{"formattedCitation":"R.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0, no. 0 (October 2, 2018): 1\\uc0\\u8211{}25,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0, no. 0 (October 2, 2018): 1–25,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181–98.","noteIndex":25},"citationItems":[{"id":9252,"uris":["http://zotero.org/users/2506258/items/DH8QBN7T"],"uri":["http://zotero.org/users/2506258/items/DH8QBN7T"],"itemData":{"id":9252,"type":"article-journal","title":"Evaluating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issued":{"date-parts":[["2009",1,27]]}}},{"id":16659,"uris":["http://zotero.org/users/2506258/items/C9BLYJ5W"],"uri":["http://zotero.org/users/2506258/items/C9BLYJ5W"],"itemData":{"id":16659,"type":"article-journal","title":"Nuclear weapons, existential threats, and the stability–instability paradox","container-title":"The Nonproliferation Review","page":"1-25","volume":"0","issue":"0","source":"Taylor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10,2]]}}},{"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 </w:instrText>
      </w:r>
      <w:r>
        <w:fldChar w:fldCharType="separate"/>
      </w:r>
      <w:r w:rsidRPr="006C2BC2">
        <w:rPr>
          <w:rFonts w:cs="Times New Roman"/>
          <w:szCs w:val="24"/>
        </w:rPr>
        <w:t xml:space="preserve">R. Rauchhaus, “Evaluating the Nuclear Peace Hypothesis: A Quantitative Approach,” </w:t>
      </w:r>
      <w:r w:rsidRPr="006C2BC2">
        <w:rPr>
          <w:rFonts w:cs="Times New Roman"/>
          <w:i/>
          <w:iCs/>
          <w:szCs w:val="24"/>
        </w:rPr>
        <w:t>Journal of Conflict Resolution</w:t>
      </w:r>
      <w:r w:rsidRPr="006C2BC2">
        <w:rPr>
          <w:rFonts w:cs="Times New Roman"/>
          <w:szCs w:val="24"/>
        </w:rPr>
        <w:t xml:space="preserve"> 53, no. 2 (January 27, 2009): 258–77, https://doi.org/10.1177/0022002708330387; Bryan Early and Victor Asal, “Nuclear Weapons, Existential Threats, and the Stability–Instability Paradox,” </w:t>
      </w:r>
      <w:r w:rsidRPr="006C2BC2">
        <w:rPr>
          <w:rFonts w:cs="Times New Roman"/>
          <w:i/>
          <w:iCs/>
          <w:szCs w:val="24"/>
        </w:rPr>
        <w:t>The Nonproliferation Review</w:t>
      </w:r>
      <w:r w:rsidRPr="006C2BC2">
        <w:rPr>
          <w:rFonts w:cs="Times New Roman"/>
          <w:szCs w:val="24"/>
        </w:rPr>
        <w:t xml:space="preserve"> 0, no. 0 (October 2, 2018): 1–25, https://doi.org/10.1080/10736700.2018.1518757; Sumit Ganguly, “Indo‐Pakistani Nuclear Issues and the Stability/Instability Paradox,” </w:t>
      </w:r>
      <w:r w:rsidRPr="006C2BC2">
        <w:rPr>
          <w:rFonts w:cs="Times New Roman"/>
          <w:i/>
          <w:iCs/>
          <w:szCs w:val="24"/>
        </w:rPr>
        <w:t>Studies in Conflict &amp; Terrorism</w:t>
      </w:r>
      <w:r w:rsidRPr="006C2BC2">
        <w:rPr>
          <w:rFonts w:cs="Times New Roman"/>
          <w:szCs w:val="24"/>
        </w:rPr>
        <w:t xml:space="preserve"> 18, no. 4 (January 1, 1995): 325–34, https://doi.org/10.1080/10576109508435989; V.R. Raghavan, “Limited War and Nuclear Escalation in South Asia,” </w:t>
      </w:r>
      <w:r w:rsidRPr="006C2BC2">
        <w:rPr>
          <w:rFonts w:cs="Times New Roman"/>
          <w:i/>
          <w:iCs/>
          <w:szCs w:val="24"/>
        </w:rPr>
        <w:t>The Nonproliferation Review</w:t>
      </w:r>
      <w:r w:rsidRPr="006C2BC2">
        <w:rPr>
          <w:rFonts w:cs="Times New Roman"/>
          <w:szCs w:val="24"/>
        </w:rPr>
        <w:t xml:space="preserve"> 8, no. 3 (September 2001): 82–98, https://doi.org/10.1080/10736700108436865; Terence Roehrig, “North Korea, Nuclear Weapons, and the Stability-Instability Paradox,” </w:t>
      </w:r>
      <w:r w:rsidRPr="006C2BC2">
        <w:rPr>
          <w:rFonts w:cs="Times New Roman"/>
          <w:i/>
          <w:iCs/>
          <w:szCs w:val="24"/>
        </w:rPr>
        <w:t>Korean Journal of Defense Analysis</w:t>
      </w:r>
      <w:r w:rsidRPr="006C2BC2">
        <w:rPr>
          <w:rFonts w:cs="Times New Roman"/>
          <w:szCs w:val="24"/>
        </w:rPr>
        <w:t xml:space="preserve"> 28, no. 2 (June 2016): 181–98.</w:t>
      </w:r>
      <w:r>
        <w:fldChar w:fldCharType="end"/>
      </w:r>
    </w:p>
  </w:footnote>
  <w:footnote w:id="25">
    <w:p w14:paraId="09BCD0B0" w14:textId="1F1CDA26" w:rsidR="006C2BC2" w:rsidRDefault="006C2BC2">
      <w:pPr>
        <w:pStyle w:val="FootnoteText"/>
      </w:pPr>
      <w:r>
        <w:rPr>
          <w:rStyle w:val="FootnoteReference"/>
        </w:rPr>
        <w:footnoteRef/>
      </w:r>
      <w:r>
        <w:t xml:space="preserve"> </w:t>
      </w:r>
      <w:r>
        <w:fldChar w:fldCharType="begin"/>
      </w:r>
      <w:r>
        <w:instrText xml:space="preserve"> ADDIN ZOTERO_ITEM CSL_CITATION {"citationID":"OP4HKSqH","properties":{"formattedCitation":"Schelling, {\\i{}Arms and Influence}.","plainCitation":"Schelling, Arms and Influence.","noteIndex":26},"citationItems":[{"id":5900,"uris":["http://zotero.org/users/2506258/items/P7ABFQJU"],"uri":["http://zotero.org/users/2506258/items/P7ABFQJU"],"itemData":{"id":5900,"type":"book","title":"Arms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C."}],"issued":{"date-parts":[["1966"]]}}}],"schema":"https://github.com/citation-style-language/schema/raw/master/csl-citation.json"} </w:instrText>
      </w:r>
      <w:r>
        <w:fldChar w:fldCharType="separate"/>
      </w:r>
      <w:r w:rsidRPr="006C2BC2">
        <w:rPr>
          <w:rFonts w:cs="Times New Roman"/>
          <w:szCs w:val="24"/>
        </w:rPr>
        <w:t xml:space="preserve">Schelling, </w:t>
      </w:r>
      <w:r w:rsidRPr="006C2BC2">
        <w:rPr>
          <w:rFonts w:cs="Times New Roman"/>
          <w:i/>
          <w:iCs/>
          <w:szCs w:val="24"/>
        </w:rPr>
        <w:t>Arms and Influence</w:t>
      </w:r>
      <w:r w:rsidRPr="006C2BC2">
        <w:rPr>
          <w:rFonts w:cs="Times New Roman"/>
          <w:szCs w:val="24"/>
        </w:rPr>
        <w:t>.</w:t>
      </w:r>
      <w:r>
        <w:fldChar w:fldCharType="end"/>
      </w:r>
    </w:p>
  </w:footnote>
  <w:footnote w:id="26">
    <w:p w14:paraId="20355259" w14:textId="128551CA" w:rsidR="006C2BC2" w:rsidRDefault="006C2BC2">
      <w:pPr>
        <w:pStyle w:val="FootnoteText"/>
      </w:pPr>
      <w:r>
        <w:rPr>
          <w:rStyle w:val="FootnoteReference"/>
        </w:rPr>
        <w:footnoteRef/>
      </w:r>
      <w:r>
        <w:t xml:space="preserve"> </w:t>
      </w:r>
      <w:r>
        <w:fldChar w:fldCharType="begin"/>
      </w:r>
      <w:r>
        <w:instrText xml:space="preserve"> ADDIN ZOTERO_ITEM CSL_CITATION {"citationID":"iDnNVHvy","properties":{"formattedCitation":"Peter Schram, \\uc0\\u8220{}Better Living Through Hassling: How to Prevent a Preventative War\\uc0\\u8221{} (Working Paper, 2019).","plainCitation":"Peter Schram, “Better Living Through Hassling: How to Prevent a Preventative War” (Working Paper, 2019).","noteIndex":27},"citationItems":[{"id":8315,"uris":["http://zotero.org/users/2506258/items/9DA9NTZD"],"uri":["http://zotero.org/users/2506258/items/9DA9NTZD"],"itemData":{"id":8315,"type":"manuscript","title":"Better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fldChar w:fldCharType="separate"/>
      </w:r>
      <w:r w:rsidRPr="006C2BC2">
        <w:rPr>
          <w:rFonts w:cs="Times New Roman"/>
          <w:szCs w:val="24"/>
        </w:rPr>
        <w:t>Peter Schram, “Better Living Through Hassling: How to Prevent a Preventative War” (Working Paper, 2019).</w:t>
      </w:r>
      <w:r>
        <w:fldChar w:fldCharType="end"/>
      </w:r>
    </w:p>
  </w:footnote>
  <w:footnote w:id="27">
    <w:p w14:paraId="0937C3D7" w14:textId="2CD57AFC" w:rsidR="006C2BC2" w:rsidRDefault="006C2BC2">
      <w:pPr>
        <w:pStyle w:val="FootnoteText"/>
      </w:pPr>
      <w:r>
        <w:rPr>
          <w:rStyle w:val="FootnoteReference"/>
        </w:rPr>
        <w:footnoteRef/>
      </w:r>
      <w:r>
        <w:t xml:space="preserve"> </w:t>
      </w:r>
      <w:r>
        <w:fldChar w:fldCharType="begin"/>
      </w:r>
      <w:r>
        <w:instrText xml:space="preserve"> ADDIN ZOTERO_ITEM CSL_CITATION {"citationID":"hPxIYu0p","properties":{"formattedCitation":"Powell, \\uc0\\u8220{}Nuclear Brinkmanship, Limited War, and Military Power.\\uc0\\u8221{}","plainCitation":"Powell, “Nuclear Brinkmanship, Limited War, and Military Power.”","noteIndex":28},"citationItems":[{"id":1138,"uris":["http://zotero.org/users/2506258/items/V8R47VRD"],"uri":["http://zotero.org/users/2506258/items/V8R47VRD"],"itemData":{"id":1138,"type":"article-journal","title":"Nuclear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fldChar w:fldCharType="separate"/>
      </w:r>
      <w:r w:rsidRPr="006C2BC2">
        <w:rPr>
          <w:rFonts w:cs="Times New Roman"/>
          <w:szCs w:val="24"/>
        </w:rPr>
        <w:t>Powell, “Nuclear Brinkmanship, Limited War, and Military Power.”</w:t>
      </w:r>
      <w:r>
        <w:fldChar w:fldCharType="end"/>
      </w:r>
    </w:p>
  </w:footnote>
  <w:footnote w:id="28">
    <w:p w14:paraId="128DD7E9" w14:textId="02495E5C" w:rsidR="006C2BC2" w:rsidRDefault="006C2BC2">
      <w:pPr>
        <w:pStyle w:val="FootnoteText"/>
      </w:pPr>
      <w:r>
        <w:rPr>
          <w:rStyle w:val="FootnoteReference"/>
        </w:rPr>
        <w:footnoteRef/>
      </w:r>
      <w:r>
        <w:t xml:space="preserve"> </w:t>
      </w:r>
      <w:r>
        <w:fldChar w:fldCharType="begin"/>
      </w:r>
      <w:r>
        <w:instrText xml:space="preserve"> ADDIN ZOTERO_ITEM CSL_CITATION {"citationID":"sIRegDId","properties":{"formattedCitation":"Alexander L. George and Richard Smoke, {\\i{}Deterrence in American Foreign Policy: Theory and Practice} (Columbia University Press, 1974); Alexander L. George and Richard Smoke, \\uc0\\u8220{}Deterrence and Foreign Policy,\\uc0\\u8221{} {\\i{}World Politics} 41, no. 2 (1989): 170\\uc0\\u8211{}82, https://doi.org/10.2307/2010406.","plainCitation":"Alexander L. George and Richard Smoke, Deterrence in American Foreign Policy: Theory and Practice (Columbia University Press, 1974); Alexander L. George and Richard Smoke, “Deterrence and Foreign Policy,” World Politics 41, no. 2 (1989): 170–82, https://doi.org/10.2307/2010406.","noteIndex":29},"citationItems":[{"id":6878,"uris":["http://zotero.org/users/2506258/items/8H8C5K3N"],"uri":["http://zotero.org/users/2506258/items/8H8C5K3N"],"itemData":{"id":6878,"type":"book","title":"Deterrence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 L."},{"family":"Smoke","given":"Richard"}],"issued":{"date-parts":[["1974",1]]}}},{"id":7477,"uris":["http://zotero.org/users/2506258/items/AEVFWN7N"],"uri":["http://zotero.org/users/2506258/items/AEVFWN7N"],"itemData":{"id":7477,"type":"article-journal","title":"Deterrence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 L."},{"family":"Smoke","given":"Richard"}],"issued":{"date-parts":[["1989"]]}}}],"schema":"https://github.com/citation-style-language/schema/raw/master/csl-citation.json"} </w:instrText>
      </w:r>
      <w:r>
        <w:fldChar w:fldCharType="separate"/>
      </w:r>
      <w:r w:rsidRPr="006C2BC2">
        <w:rPr>
          <w:rFonts w:cs="Times New Roman"/>
          <w:szCs w:val="24"/>
        </w:rPr>
        <w:t xml:space="preserve">Alexander L. George and Richard Smoke, </w:t>
      </w:r>
      <w:r w:rsidRPr="006C2BC2">
        <w:rPr>
          <w:rFonts w:cs="Times New Roman"/>
          <w:i/>
          <w:iCs/>
          <w:szCs w:val="24"/>
        </w:rPr>
        <w:t>Deterrence in American Foreign Policy: Theory and Practice</w:t>
      </w:r>
      <w:r w:rsidRPr="006C2BC2">
        <w:rPr>
          <w:rFonts w:cs="Times New Roman"/>
          <w:szCs w:val="24"/>
        </w:rPr>
        <w:t xml:space="preserve"> (Columbia University Press, 1974); Alexander L. George and Richard Smoke, “Deterrence and Foreign Policy,” </w:t>
      </w:r>
      <w:r w:rsidRPr="006C2BC2">
        <w:rPr>
          <w:rFonts w:cs="Times New Roman"/>
          <w:i/>
          <w:iCs/>
          <w:szCs w:val="24"/>
        </w:rPr>
        <w:t>World Politics</w:t>
      </w:r>
      <w:r w:rsidRPr="006C2BC2">
        <w:rPr>
          <w:rFonts w:cs="Times New Roman"/>
          <w:szCs w:val="24"/>
        </w:rPr>
        <w:t xml:space="preserve"> 41, no. 2 (1989): 170–82, https://doi.org/10.2307/2010406.</w:t>
      </w:r>
      <w:r>
        <w:fldChar w:fldCharType="end"/>
      </w:r>
    </w:p>
  </w:footnote>
  <w:footnote w:id="29">
    <w:p w14:paraId="3C3C8C60" w14:textId="2CA38B7A" w:rsidR="006C2BC2" w:rsidRDefault="006C2BC2">
      <w:pPr>
        <w:pStyle w:val="FootnoteText"/>
      </w:pPr>
      <w:r>
        <w:rPr>
          <w:rStyle w:val="FootnoteReference"/>
        </w:rPr>
        <w:footnoteRef/>
      </w:r>
      <w:r>
        <w:t xml:space="preserve"> </w:t>
      </w:r>
      <w:r>
        <w:fldChar w:fldCharType="begin"/>
      </w:r>
      <w:r>
        <w:instrText xml:space="preserve"> ADDIN ZOTERO_ITEM CSL_CITATION {"citationID":"vqsZEIXZ","properties":{"formattedCitation":"Janice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1989).","noteIndex":30},"citationItems":[{"id":8372,"uris":["http://zotero.org/users/2506258/items/CIUR75N6"],"uri":["http://zotero.org/users/2506258/items/CIUR75N6"],"itemData":{"id":8372,"type":"chapter","title":"Calculation,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fldChar w:fldCharType="separate"/>
      </w:r>
      <w:r w:rsidRPr="006C2BC2">
        <w:rPr>
          <w:rFonts w:cs="Times New Roman"/>
          <w:szCs w:val="24"/>
        </w:rPr>
        <w:t xml:space="preserve">Janice Gross Stein, “Calculation, Miscalculation, and Conventional Deterrence,” in </w:t>
      </w:r>
      <w:r w:rsidRPr="006C2BC2">
        <w:rPr>
          <w:rFonts w:cs="Times New Roman"/>
          <w:i/>
          <w:iCs/>
          <w:szCs w:val="24"/>
        </w:rPr>
        <w:t>Psychology and Deterrence</w:t>
      </w:r>
      <w:r w:rsidRPr="006C2BC2">
        <w:rPr>
          <w:rFonts w:cs="Times New Roman"/>
          <w:szCs w:val="24"/>
        </w:rPr>
        <w:t>, by Richard Ned Lebow and Robert Jervis (JHU Press, 1989).</w:t>
      </w:r>
      <w:r>
        <w:fldChar w:fldCharType="end"/>
      </w:r>
    </w:p>
  </w:footnote>
  <w:footnote w:id="30">
    <w:p w14:paraId="29A714CA" w14:textId="345A0FC4" w:rsidR="006C2BC2" w:rsidRDefault="006C2BC2">
      <w:pPr>
        <w:pStyle w:val="FootnoteText"/>
      </w:pPr>
      <w:r>
        <w:rPr>
          <w:rStyle w:val="FootnoteReference"/>
        </w:rPr>
        <w:footnoteRef/>
      </w:r>
      <w:r>
        <w:t xml:space="preserve"> </w:t>
      </w:r>
      <w:r>
        <w:fldChar w:fldCharType="begin"/>
      </w:r>
      <w:r>
        <w:instrText xml:space="preserve"> ADDIN ZOTERO_ITEM CSL_CITATION {"citationID":"jl3EACx0","properties":{"formattedCitation":"Elli Lieberman, {\\i{}Reconceptualizing Deterrence: Nudging Toward Rationality in Middle Eastern Rivalries} (Routledge, 2012).","plainCitation":"Elli Lieberman, Reconceptualizing Deterrence: Nudging Toward Rationality in Middle Eastern Rivalries (Routledge, 2012).","noteIndex":31},"citationItems":[{"id":8368,"uris":["http://zotero.org/users/2506258/items/UN7658ND"],"uri":["http://zotero.org/users/2506258/items/UN7658ND"],"itemData":{"id":8368,"type":"book","title":"Reconceptualizing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fldChar w:fldCharType="separate"/>
      </w:r>
      <w:r w:rsidRPr="006C2BC2">
        <w:rPr>
          <w:rFonts w:cs="Times New Roman"/>
          <w:szCs w:val="24"/>
        </w:rPr>
        <w:t xml:space="preserve">Elli Lieberman, </w:t>
      </w:r>
      <w:r w:rsidRPr="006C2BC2">
        <w:rPr>
          <w:rFonts w:cs="Times New Roman"/>
          <w:i/>
          <w:iCs/>
          <w:szCs w:val="24"/>
        </w:rPr>
        <w:t>Reconceptualizing Deterrence: Nudging Toward Rationality in Middle Eastern Rivalries</w:t>
      </w:r>
      <w:r w:rsidRPr="006C2BC2">
        <w:rPr>
          <w:rFonts w:cs="Times New Roman"/>
          <w:szCs w:val="24"/>
        </w:rPr>
        <w:t xml:space="preserve"> (Routledge, 2012).</w:t>
      </w:r>
      <w:r>
        <w:fldChar w:fldCharType="end"/>
      </w:r>
    </w:p>
  </w:footnote>
  <w:footnote w:id="31">
    <w:p w14:paraId="62D11444" w14:textId="6E169C94" w:rsidR="006C2BC2" w:rsidRDefault="006C2BC2">
      <w:pPr>
        <w:pStyle w:val="FootnoteText"/>
      </w:pPr>
      <w:r>
        <w:rPr>
          <w:rStyle w:val="FootnoteReference"/>
        </w:rPr>
        <w:footnoteRef/>
      </w:r>
      <w:r>
        <w:t xml:space="preserve"> </w:t>
      </w:r>
      <w:r>
        <w:fldChar w:fldCharType="begin"/>
      </w:r>
      <w:r>
        <w:instrText xml:space="preserve"> ADDIN ZOTERO_ITEM CSL_CITATION {"citationID":"0Bx9R6or","properties":{"formattedCitation":"George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https://www.jstor.org/stable/pdf/20692938.pdf.","noteIndex":32},"citationItems":[{"id":6658,"uris":["http://zotero.org/users/2506258/items/B67U53DR"],"uri":["http://zotero.org/users/2506258/items/B67U53DR"],"itemData":{"id":6658,"type":"speech","title":"Low-Intensity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fldChar w:fldCharType="separate"/>
      </w:r>
      <w:r w:rsidRPr="006C2BC2">
        <w:rPr>
          <w:rFonts w:cs="Times New Roman"/>
          <w:szCs w:val="24"/>
        </w:rPr>
        <w:t>George Schultz, “Low-Intensity Warfare: The Challenge of Ambiguity” (Conference Address, January 15, 1986), https://www.jstor.org/stable/pdf/20692938.pdf.</w:t>
      </w:r>
      <w:r>
        <w:fldChar w:fldCharType="end"/>
      </w:r>
    </w:p>
  </w:footnote>
  <w:footnote w:id="32">
    <w:p w14:paraId="55D93CCE" w14:textId="0A3861C0" w:rsidR="006C2BC2" w:rsidRDefault="006C2BC2">
      <w:pPr>
        <w:pStyle w:val="FootnoteText"/>
      </w:pPr>
      <w:r>
        <w:rPr>
          <w:rStyle w:val="FootnoteReference"/>
        </w:rPr>
        <w:footnoteRef/>
      </w:r>
      <w:r>
        <w:t xml:space="preserve"> Analysis of tactics can be found in </w:t>
      </w:r>
      <w:r>
        <w:fldChar w:fldCharType="begin"/>
      </w:r>
      <w:r>
        <w:instrText xml:space="preserve"> ADDIN ZOTERO_ITEM CSL_CITATION {"citationID":"QcYg9fdf","properties":{"formattedCitation":"Peter Kornbluh and Joy Hackel, \\uc0\\u8220{}Low-Intensity Conflict Is It Live or Is It Memorex?,\\uc0\\u8221{} {\\i{}NACLA Report on the Americas} 20, no. 3 (June 1986): 8\\uc0\\u8211{}11, https://doi.org/10.1080/10714839.1986.11723411; Thomas K. Adams, \\uc0\\u8220{}LIC (Low Intensity Clausewitz),\\uc0\\u8221{} {\\i{}Small Wars and Insurgencies} 1, no. 3 (December 1, 1990): 266\\uc0\\u8211{}75, https://doi.org/10.1080/09592319008422959; Richard D. Downie, \\uc0\\u8220{}Low Intensity Conflict Doctrine and Policy: Old Wine in a New Bottle?,\\uc0\\u8221{} {\\i{}Studies in Conflict &amp; Terrorism} 15, no. 1 (January 1, 1992): 53\\uc0\\u8211{}67, https://doi.org/10.1080/10576109208435891; Kinross, \\uc0\\u8220{}Clausewitz and Low-Intensity Conflict.\\uc0\\u8221{}","plainCitation":"Peter Kornbluh and Joy Hackel, “Low-Intensity Conflict Is It Live or Is It Memorex?,” NACLA Report on the Americas 20, no. 3 (June 1986): 8–11, https://doi.org/10.1080/10714839.1986.11723411; Thomas K. Adams, “LIC (Low Intensity Clausewitz),” Small Wars and Insurgencies 1, no. 3 (December 1, 1990): 266–75, https://doi.org/10.1080/09592319008422959; Richard D. Downie, “Low Intensity Conflict Doctrine and Policy: Old Wine in a New Bottle?,” Studies in Conflict &amp; Terrorism 15, no. 1 (January 1, 1992): 53–67, https://doi.org/10.1080/10576109208435891; Kinross, “Clausewitz and Low-Intensity Conflict.”","noteIndex":33},"citationItems":[{"id":6646,"uris":["http://zotero.org/users/2506258/items/9EHV7PG6"],"uri":["http://zotero.org/users/2506258/items/9EHV7PG6"],"itemData":{"id":6646,"type":"article-journal","title":"Low-Intensity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 K."}],"issued":{"date-parts":[["1990",12,1]]}}},{"id":6640,"uris":["http://zotero.org/users/2506258/items/ZDNEM544"],"uri":["http://zotero.org/users/2506258/items/ZDNEM544"],"itemData":{"id":6640,"type":"article-journal","title":"Low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 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r w:rsidRPr="006C2BC2">
        <w:rPr>
          <w:rFonts w:cs="Times New Roman"/>
          <w:szCs w:val="24"/>
        </w:rPr>
        <w:t xml:space="preserve">Peter Kornbluh and Joy Hackel, “Low-Intensity Conflict Is It Live or Is It Memorex?,” </w:t>
      </w:r>
      <w:r w:rsidRPr="006C2BC2">
        <w:rPr>
          <w:rFonts w:cs="Times New Roman"/>
          <w:i/>
          <w:iCs/>
          <w:szCs w:val="24"/>
        </w:rPr>
        <w:t>NACLA Report on the Americas</w:t>
      </w:r>
      <w:r w:rsidRPr="006C2BC2">
        <w:rPr>
          <w:rFonts w:cs="Times New Roman"/>
          <w:szCs w:val="24"/>
        </w:rPr>
        <w:t xml:space="preserve"> 20, no. 3 (June 1986): 8–11, https://doi.org/10.1080/10714839.1986.11723411; Thomas K. Adams, “LIC (Low Intensity Clausewitz),” </w:t>
      </w:r>
      <w:r w:rsidRPr="006C2BC2">
        <w:rPr>
          <w:rFonts w:cs="Times New Roman"/>
          <w:i/>
          <w:iCs/>
          <w:szCs w:val="24"/>
        </w:rPr>
        <w:t>Small Wars and Insurgencies</w:t>
      </w:r>
      <w:r w:rsidRPr="006C2BC2">
        <w:rPr>
          <w:rFonts w:cs="Times New Roman"/>
          <w:szCs w:val="24"/>
        </w:rPr>
        <w:t xml:space="preserve"> 1, no. 3 (December 1, 1990): 266–75, https://doi.org/10.1080/09592319008422959</w:t>
      </w:r>
      <w:r>
        <w:rPr>
          <w:rFonts w:cs="Times New Roman"/>
          <w:szCs w:val="24"/>
        </w:rPr>
        <w:t>. A focus on non-state actors is provided in</w:t>
      </w:r>
      <w:r w:rsidRPr="006C2BC2">
        <w:rPr>
          <w:rFonts w:cs="Times New Roman"/>
          <w:szCs w:val="24"/>
        </w:rPr>
        <w:t xml:space="preserve"> Richard D. Downie, “Low Intensity Conflict Doctrine and Policy: Old Wine in a New Bottle?,” </w:t>
      </w:r>
      <w:r w:rsidRPr="006C2BC2">
        <w:rPr>
          <w:rFonts w:cs="Times New Roman"/>
          <w:i/>
          <w:iCs/>
          <w:szCs w:val="24"/>
        </w:rPr>
        <w:t>Studies in Conflict &amp; Terrorism</w:t>
      </w:r>
      <w:r w:rsidRPr="006C2BC2">
        <w:rPr>
          <w:rFonts w:cs="Times New Roman"/>
          <w:szCs w:val="24"/>
        </w:rPr>
        <w:t xml:space="preserve"> 15, no. 1 (January 1, 1992): 53–67, https://doi.org/10.1080/10576109208435891; Kinross, “Clausewitz and Low-Intensity Conflict.”</w:t>
      </w:r>
      <w:r>
        <w:fldChar w:fldCharType="end"/>
      </w:r>
    </w:p>
  </w:footnote>
  <w:footnote w:id="33">
    <w:p w14:paraId="0D9418EE" w14:textId="654C0644" w:rsidR="006C2BC2" w:rsidRDefault="006C2BC2">
      <w:pPr>
        <w:pStyle w:val="FootnoteText"/>
      </w:pPr>
      <w:r>
        <w:rPr>
          <w:rStyle w:val="FootnoteReference"/>
        </w:rPr>
        <w:footnoteRef/>
      </w:r>
      <w:r>
        <w:t xml:space="preserve"> </w:t>
      </w:r>
      <w:r>
        <w:fldChar w:fldCharType="begin"/>
      </w:r>
      <w:r>
        <w:instrText xml:space="preserve"> ADDIN ZOTERO_ITEM CSL_CITATION {"citationID":"zEFtOqk7","properties":{"formattedCitation":"Kornbluh and Hackel, \\uc0\\u8220{}Low-Intensity Conflict Is It Live or Is It Memorex?\\uc0\\u8221{}; Grant T. Hammond, \\uc0\\u8220{}Low Intensity Conflict: War by Another Name,\\uc0\\u8221{} {\\i{}Small Wars &amp; Insurgencies} 1, no. 3 (December 1, 1990): 226\\uc0\\u8211{}38, https://doi.org/10.1080/09592319008422957; Avi Kober, \\uc0\\u8220{}Low-Intensity Conflicts: Why the Gap Between Theory and Practise?,\\uc0\\u8221{} {\\i{}Defense &amp; Security Analysis} 18, no. 1 (March 1, 2002): 15\\uc0\\u8211{}38, https://doi.org/10.1080/07430170120113712.","plainCitation":"Kornbluh and Hackel, “Low-Intensity Conflict Is It Live or Is It Memorex?”; Grant T. Hammond, “Low Intensity Conflict: War by Another Name,” Small Wars &amp; Insurgencies 1, no. 3 (December 1, 1990): 226–38, https://doi.org/10.1080/09592319008422957; Avi Kober, “Low-Intensity Conflicts: Why the Gap Between Theory and Practise?,” Defense &amp; Security Analysis 18, no. 1 (March 1, 2002): 15–38, https://doi.org/10.1080/07430170120113712.","noteIndex":34},"citationItems":[{"id":6646,"uris":["http://zotero.org/users/2506258/items/9EHV7PG6"],"uri":["http://zotero.org/users/2506258/items/9EHV7PG6"],"itemData":{"id":6646,"type":"article-journal","title":"Low-Intensity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T."}],"issued":{"date-parts":[["1990",12,1]]}}},{"id":6628,"uris":["http://zotero.org/users/2506258/items/W3NVQZ7P"],"uri":["http://zotero.org/users/2506258/items/W3NVQZ7P"],"itemData":{"id":6628,"type":"article-journal","title":"Low-intensity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Conflicts","author":[{"family":"Kober","given":"Avi"}],"issued":{"date-parts":[["2002",3,1]]}}}],"schema":"https://github.com/citation-style-language/schema/raw/master/csl-citation.json"} </w:instrText>
      </w:r>
      <w:r>
        <w:fldChar w:fldCharType="separate"/>
      </w:r>
      <w:r w:rsidRPr="006C2BC2">
        <w:rPr>
          <w:rFonts w:cs="Times New Roman"/>
          <w:szCs w:val="24"/>
        </w:rPr>
        <w:t xml:space="preserve">Kornbluh and Hackel, “Low-Intensity Conflict Is It Live or Is It Memorex?”; Grant T. Hammond, “Low Intensity Conflict: War by Another Name,” </w:t>
      </w:r>
      <w:r w:rsidRPr="006C2BC2">
        <w:rPr>
          <w:rFonts w:cs="Times New Roman"/>
          <w:i/>
          <w:iCs/>
          <w:szCs w:val="24"/>
        </w:rPr>
        <w:t>Small Wars &amp; Insurgencies</w:t>
      </w:r>
      <w:r w:rsidRPr="006C2BC2">
        <w:rPr>
          <w:rFonts w:cs="Times New Roman"/>
          <w:szCs w:val="24"/>
        </w:rPr>
        <w:t xml:space="preserve"> 1, no. 3 (December 1, 1990): 226–38, https://doi.org/10.1080/09592319008422957; Avi Kober, “Low-Intensity Conflicts: Why the Gap Between Theory and Practise?,” </w:t>
      </w:r>
      <w:r w:rsidRPr="006C2BC2">
        <w:rPr>
          <w:rFonts w:cs="Times New Roman"/>
          <w:i/>
          <w:iCs/>
          <w:szCs w:val="24"/>
        </w:rPr>
        <w:t>Defense &amp; Security Analysis</w:t>
      </w:r>
      <w:r w:rsidRPr="006C2BC2">
        <w:rPr>
          <w:rFonts w:cs="Times New Roman"/>
          <w:szCs w:val="24"/>
        </w:rPr>
        <w:t xml:space="preserve"> 18, no. 1 (March 1, 2002): 15–38, https://doi.org/10.1080/07430170120113712.</w:t>
      </w:r>
      <w:r>
        <w:fldChar w:fldCharType="end"/>
      </w:r>
    </w:p>
  </w:footnote>
  <w:footnote w:id="34">
    <w:p w14:paraId="130FD6E7" w14:textId="439BF346" w:rsidR="006C2BC2" w:rsidRDefault="006C2BC2">
      <w:pPr>
        <w:pStyle w:val="FootnoteText"/>
      </w:pPr>
      <w:r>
        <w:rPr>
          <w:rStyle w:val="FootnoteReference"/>
        </w:rPr>
        <w:footnoteRef/>
      </w:r>
      <w:r>
        <w:t xml:space="preserve"> For foundational work, see </w:t>
      </w:r>
      <w:r>
        <w:fldChar w:fldCharType="begin"/>
      </w:r>
      <w:r>
        <w:instrText xml:space="preserve"> ADDIN ZOTERO_ITEM CSL_CITATION {"citationID":"0wg3KkWi","properties":{"formattedCitation":"David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S. Blaufarb, {\\i{}The Counterinsurgency Era: U.S. Doctrine and Performance, 1950 to the Present} (Free Press, 1977); John A. Nagl, {\\i{}Learning to Eat Soup with a Knife: Counterinsurgency Lessons from Malaya and Vietnam} (University of Chicago Press, 2005); US Army, \\uc0\\u8220{}Army Field Manual 3-24: Counterinsurgency,\\uc0\\u8221{} November 30, 2006, https://www.hsdl.org/?abstract&amp;did=; David Kilcullen, {\\i{}Counterinsurgency} (Hurst, 2010).","plainCitation":"David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S. Blaufarb, The Counterinsurgency Era: U.S. Doctrine and Performance, 1950 to the Present (Free Press, 1977); John A. Nagl, Learning to Eat Soup with a Knife: Counterinsurgency Lessons from Malaya and Vietnam (University of Chicago Press, 2005); US Army, “Army Field Manual 3-24: Counterinsurgency,” November 30, 2006, https://www.hsdl.org/?abstract&amp;did=; David Kilcullen, Counterinsurgency (Hurst, 2010).","noteIndex":35},"citationItems":[{"id":17468,"uris":["http://zotero.org/users/2506258/items/7PRFJYHK"],"uri":["http://zotero.org/users/2506258/items/7PRFJYHK"],"itemData":{"id":17468,"type":"book","title":"Counterinsurgency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 S."}],"issued":{"date-parts":[["1977"]]}}},{"id":17463,"uris":["http://zotero.org/users/2506258/items/A69T62ML"],"uri":["http://zotero.org/users/2506258/items/A69T62ML"],"itemData":{"id":17463,"type":"book","title":"Learning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 A."}],"issued":{"date-parts":[["2005"]]}}},{"id":17464,"uris":["http://zotero.org/users/2506258/items/XQYEWU3I"],"uri":["http://zotero.org/users/2506258/items/XQYEWU3I"],"itemData":{"id":17464,"type":"article-journal","title":"Army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them.","URL":"https://www.hsdl.org/?abstract&amp;did=","title-short":"Army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r w:rsidRPr="006C2BC2">
        <w:rPr>
          <w:rFonts w:cs="Times New Roman"/>
          <w:szCs w:val="24"/>
        </w:rPr>
        <w:t xml:space="preserve">David Galula, </w:t>
      </w:r>
      <w:r w:rsidRPr="006C2BC2">
        <w:rPr>
          <w:rFonts w:cs="Times New Roman"/>
          <w:i/>
          <w:iCs/>
          <w:szCs w:val="24"/>
        </w:rPr>
        <w:t>Counterinsurgency Warfare: Theory and Practice</w:t>
      </w:r>
      <w:r w:rsidRPr="006C2BC2">
        <w:rPr>
          <w:rFonts w:cs="Times New Roman"/>
          <w:szCs w:val="24"/>
        </w:rPr>
        <w:t xml:space="preserve"> (Hailer Publishing, 1964); Robert Taber, </w:t>
      </w:r>
      <w:r w:rsidRPr="006C2BC2">
        <w:rPr>
          <w:rFonts w:cs="Times New Roman"/>
          <w:i/>
          <w:iCs/>
          <w:szCs w:val="24"/>
        </w:rPr>
        <w:t>War of the Flea: The Classic Study of Guerrilla Warfare</w:t>
      </w:r>
      <w:r w:rsidRPr="006C2BC2">
        <w:rPr>
          <w:rFonts w:cs="Times New Roman"/>
          <w:szCs w:val="24"/>
        </w:rPr>
        <w:t xml:space="preserve"> (L. Stewart, 1965); Sir Robert Grainger Ker Thompson, </w:t>
      </w:r>
      <w:r w:rsidRPr="006C2BC2">
        <w:rPr>
          <w:rFonts w:cs="Times New Roman"/>
          <w:i/>
          <w:iCs/>
          <w:szCs w:val="24"/>
        </w:rPr>
        <w:t>Defeating Communist Insurgency: The Lessons of Malaya and Vietnam</w:t>
      </w:r>
      <w:r w:rsidRPr="006C2BC2">
        <w:rPr>
          <w:rFonts w:cs="Times New Roman"/>
          <w:szCs w:val="24"/>
        </w:rPr>
        <w:t xml:space="preserve"> (F. A. Praeger, 1966); Frank Kitson, </w:t>
      </w:r>
      <w:r w:rsidRPr="006C2BC2">
        <w:rPr>
          <w:rFonts w:cs="Times New Roman"/>
          <w:i/>
          <w:iCs/>
          <w:szCs w:val="24"/>
        </w:rPr>
        <w:t>Low Intensity Operations: Subversion, Insurgency, Peace-Keeping</w:t>
      </w:r>
      <w:r w:rsidRPr="006C2BC2">
        <w:rPr>
          <w:rFonts w:cs="Times New Roman"/>
          <w:szCs w:val="24"/>
        </w:rPr>
        <w:t xml:space="preserve"> (Faber &amp; Faber, 1971); Douglas S. Blaufarb, </w:t>
      </w:r>
      <w:r w:rsidRPr="006C2BC2">
        <w:rPr>
          <w:rFonts w:cs="Times New Roman"/>
          <w:i/>
          <w:iCs/>
          <w:szCs w:val="24"/>
        </w:rPr>
        <w:t>The Counterinsurgency Era: U.S. Doctrine and Performance, 1950 to the Present</w:t>
      </w:r>
      <w:r w:rsidRPr="006C2BC2">
        <w:rPr>
          <w:rFonts w:cs="Times New Roman"/>
          <w:szCs w:val="24"/>
        </w:rPr>
        <w:t xml:space="preserve"> (Free Press, 1977)</w:t>
      </w:r>
      <w:r>
        <w:rPr>
          <w:rFonts w:cs="Times New Roman"/>
          <w:szCs w:val="24"/>
        </w:rPr>
        <w:t>. Modern iterations include</w:t>
      </w:r>
      <w:r w:rsidRPr="006C2BC2">
        <w:rPr>
          <w:rFonts w:cs="Times New Roman"/>
          <w:szCs w:val="24"/>
        </w:rPr>
        <w:t xml:space="preserve"> John A. Nagl, </w:t>
      </w:r>
      <w:r w:rsidRPr="006C2BC2">
        <w:rPr>
          <w:rFonts w:cs="Times New Roman"/>
          <w:i/>
          <w:iCs/>
          <w:szCs w:val="24"/>
        </w:rPr>
        <w:t>Learning to Eat Soup with a Knife: Counterinsurgency Lessons from Malaya and Vietnam</w:t>
      </w:r>
      <w:r w:rsidRPr="006C2BC2">
        <w:rPr>
          <w:rFonts w:cs="Times New Roman"/>
          <w:szCs w:val="24"/>
        </w:rPr>
        <w:t xml:space="preserve"> (University of Chicago Press, 2005); US Army, “Army Field Manual 3-24: Counterinsurgency,” November 30, 2006, https://www.hsdl.org/?abstract&amp;did=; David Kilcullen, </w:t>
      </w:r>
      <w:r w:rsidRPr="006C2BC2">
        <w:rPr>
          <w:rFonts w:cs="Times New Roman"/>
          <w:i/>
          <w:iCs/>
          <w:szCs w:val="24"/>
        </w:rPr>
        <w:t>Counterinsurgency</w:t>
      </w:r>
      <w:r w:rsidRPr="006C2BC2">
        <w:rPr>
          <w:rFonts w:cs="Times New Roman"/>
          <w:szCs w:val="24"/>
        </w:rPr>
        <w:t xml:space="preserve"> (Hurst, 2010).</w:t>
      </w:r>
      <w:r>
        <w:fldChar w:fldCharType="end"/>
      </w:r>
    </w:p>
  </w:footnote>
  <w:footnote w:id="35">
    <w:p w14:paraId="280248F5" w14:textId="022EBBDA" w:rsidR="006C2BC2" w:rsidRDefault="006C2BC2">
      <w:pPr>
        <w:pStyle w:val="FootnoteText"/>
      </w:pPr>
      <w:r>
        <w:rPr>
          <w:rStyle w:val="FootnoteReference"/>
        </w:rPr>
        <w:footnoteRef/>
      </w:r>
      <w:r>
        <w:t xml:space="preserve"> </w:t>
      </w:r>
      <w:r>
        <w:fldChar w:fldCharType="begin"/>
      </w:r>
      <w:r>
        <w:instrText xml:space="preserve"> 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https://doi.org/10.1162/ISEC_a_00283.","noteIndex":36},"citationItems":[{"id":17459,"uris":["http://zotero.org/users/2506258/items/G4X3YEFP"],"uri":["http://zotero.org/users/2506258/items/G4X3YEFP"],"itemData":{"id":17459,"type":"book","title":"Resistance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 D."}],"issued":{"date-parts":[["2001"]]},"accessed":{"date-parts":[["2018",12,3]]}}},{"id":17458,"uris":["http://zotero.org/users/2506258/items/YRIEGIU5"],"uri":["http://zotero.org/users/2506258/items/YRIEGIU5"],"itemData":{"id":17458,"type":"book","title":"Insurgent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Politics","volume":"6","issue":"02","source":"Crossref","URL":"http://www.journals.cambridge.org/abstract_S1537592708081164","DOI":"10.1017/S1537592708081164","ISSN":"1537-5927,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 H."}],"issued":{"date-parts":[["2009",7,2]]}}},{"id":18948,"uris":["http://zotero.org/users/2506258/items/X8MGL2EC"],"uri":["http://zotero.org/users/2506258/items/X8MGL2EC"],"itemData":{"id":18948,"type":"book","title":"The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 L."}],"issued":{"date-parts":[["2017",7,1]]}}}],"schema":"https://github.com/citation-style-language/schema/raw/master/csl-citation.json"} </w:instrText>
      </w:r>
      <w:r>
        <w:fldChar w:fldCharType="separate"/>
      </w:r>
      <w:r>
        <w:t xml:space="preserve">On organizational structures, see </w:t>
      </w:r>
      <w:r w:rsidRPr="006C2BC2">
        <w:rPr>
          <w:rFonts w:cs="Times New Roman"/>
          <w:szCs w:val="24"/>
        </w:rPr>
        <w:t xml:space="preserve">Roger D. Petersen, </w:t>
      </w:r>
      <w:r w:rsidRPr="006C2BC2">
        <w:rPr>
          <w:rFonts w:cs="Times New Roman"/>
          <w:i/>
          <w:iCs/>
          <w:szCs w:val="24"/>
        </w:rPr>
        <w:t>Resistance and Rebellion: Lessons From Eastern Europe</w:t>
      </w:r>
      <w:r w:rsidRPr="006C2BC2">
        <w:rPr>
          <w:rFonts w:cs="Times New Roman"/>
          <w:szCs w:val="24"/>
        </w:rPr>
        <w:t xml:space="preserve"> (Cambridge: Cambridge University Press, 2001), https://doi.org/10.1017/CBO9780511612725; Elisabeth Jean Wood, </w:t>
      </w:r>
      <w:r w:rsidRPr="006C2BC2">
        <w:rPr>
          <w:rFonts w:cs="Times New Roman"/>
          <w:i/>
          <w:iCs/>
          <w:szCs w:val="24"/>
        </w:rPr>
        <w:t>Insurgent Collective Action and Civil War in El Salvador</w:t>
      </w:r>
      <w:r w:rsidRPr="006C2BC2">
        <w:rPr>
          <w:rFonts w:cs="Times New Roman"/>
          <w:szCs w:val="24"/>
        </w:rPr>
        <w:t xml:space="preserve"> (Cambridge University Press, 2003); Stathis Kalyvas, “Review of The New U.S. Army/Marine Corps Counterinsurgency Field Manual,” </w:t>
      </w:r>
      <w:r w:rsidRPr="006C2BC2">
        <w:rPr>
          <w:rFonts w:cs="Times New Roman"/>
          <w:i/>
          <w:iCs/>
          <w:szCs w:val="24"/>
        </w:rPr>
        <w:t>Perspectives on Politics</w:t>
      </w:r>
      <w:r w:rsidRPr="006C2BC2">
        <w:rPr>
          <w:rFonts w:cs="Times New Roman"/>
          <w:szCs w:val="24"/>
        </w:rPr>
        <w:t xml:space="preserve"> 6, no. 02 (June 2008), https://doi.org/10.1017/S1537592708081164; Paul Staniland, </w:t>
      </w:r>
      <w:r w:rsidRPr="006C2BC2">
        <w:rPr>
          <w:rFonts w:cs="Times New Roman"/>
          <w:i/>
          <w:iCs/>
          <w:szCs w:val="24"/>
        </w:rPr>
        <w:t>Networks of Rebellion: Explaining Insurgent Cohesion and Collapse</w:t>
      </w:r>
      <w:r w:rsidRPr="006C2BC2">
        <w:rPr>
          <w:rFonts w:cs="Times New Roman"/>
          <w:szCs w:val="24"/>
        </w:rPr>
        <w:t xml:space="preserve"> (Cornell University Press, 2014)</w:t>
      </w:r>
      <w:r>
        <w:rPr>
          <w:rFonts w:cs="Times New Roman"/>
          <w:szCs w:val="24"/>
        </w:rPr>
        <w:t>. On the actors involved, see</w:t>
      </w:r>
      <w:r w:rsidRPr="006C2BC2">
        <w:rPr>
          <w:rFonts w:cs="Times New Roman"/>
          <w:szCs w:val="24"/>
        </w:rPr>
        <w:t xml:space="preserve"> David H. Ucko, </w:t>
      </w:r>
      <w:r w:rsidRPr="006C2BC2">
        <w:rPr>
          <w:rFonts w:cs="Times New Roman"/>
          <w:i/>
          <w:iCs/>
          <w:szCs w:val="24"/>
        </w:rPr>
        <w:t>The New Counterinsurgency Era: Transforming the U.S. Military for Modern Wars</w:t>
      </w:r>
      <w:r w:rsidRPr="006C2BC2">
        <w:rPr>
          <w:rFonts w:cs="Times New Roman"/>
          <w:szCs w:val="24"/>
        </w:rPr>
        <w:t xml:space="preserve"> (Georgetown University Press, 2009); Austin Long, </w:t>
      </w:r>
      <w:r w:rsidRPr="006C2BC2">
        <w:rPr>
          <w:rFonts w:cs="Times New Roman"/>
          <w:i/>
          <w:iCs/>
          <w:szCs w:val="24"/>
        </w:rPr>
        <w:t>The Soul of Armies: Counterinsurgency Doctrine and Military Culture in the US and UK</w:t>
      </w:r>
      <w:r w:rsidRPr="006C2BC2">
        <w:rPr>
          <w:rFonts w:cs="Times New Roman"/>
          <w:szCs w:val="24"/>
        </w:rPr>
        <w:t xml:space="preserve"> (Cornell University Press, 2016); Jacqueline L. Hazelton, “The ‘Hearts and Minds’ Fallacy: Violence, Coercion, and Success in Counterinsurgency Warfare,” </w:t>
      </w:r>
      <w:r w:rsidRPr="006C2BC2">
        <w:rPr>
          <w:rFonts w:cs="Times New Roman"/>
          <w:i/>
          <w:iCs/>
          <w:szCs w:val="24"/>
        </w:rPr>
        <w:t>International Security</w:t>
      </w:r>
      <w:r w:rsidRPr="006C2BC2">
        <w:rPr>
          <w:rFonts w:cs="Times New Roman"/>
          <w:szCs w:val="24"/>
        </w:rPr>
        <w:t xml:space="preserve"> 42, no. 1 (July 1, 2017): 80–113, https://doi.org/10.1162/ISEC_a_00283.</w:t>
      </w:r>
      <w:r>
        <w:fldChar w:fldCharType="end"/>
      </w:r>
    </w:p>
  </w:footnote>
  <w:footnote w:id="36">
    <w:p w14:paraId="62B075AA" w14:textId="1B602310" w:rsidR="006C2BC2" w:rsidRDefault="006C2BC2">
      <w:pPr>
        <w:pStyle w:val="FootnoteText"/>
      </w:pPr>
      <w:r>
        <w:rPr>
          <w:rStyle w:val="FootnoteReference"/>
        </w:rPr>
        <w:footnoteRef/>
      </w:r>
      <w:r>
        <w:t xml:space="preserve"> </w:t>
      </w:r>
      <w:r>
        <w:fldChar w:fldCharType="begin"/>
      </w:r>
      <w:r>
        <w:instrText xml:space="preserve"> ADDIN ZOTERO_ITEM CSL_CITATION {"citationID":"VaDxNw7e","properties":{"formattedCitation":"Michael Mazarr, \\uc0\\u8220{}Mastering the Gray Zone: Understanding a Changing Era of Conflict\\uc0\\u8221{} (Monogram, February 2, 2015), http://www.strategicstudiesinstitute.army.mil/pubs/display.cfm?pubID=1303.","plainCitation":"Michael Mazarr, “Mastering the Gray Zone: Understanding a Changing Era of Conflict” (Monogram, February 2, 2015), http://www.strategicstudiesinstitute.army.mil/pubs/display.cfm?pubID=1303.","noteIndex":37},"citationItems":[{"id":3537,"uris":["http://zotero.org/users/2506258/items/9ZDIJFAI"],"uri":["http://zotero.org/users/2506258/items/9ZDIJFAI"],"itemData":{"id":3537,"type":"manuscript","title":"Mastering the Gray Zone: Understanding a Changing Era of Conflict","number-of-pages":"159","genre":"Monogram","abstract":"Discussions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URL":"http://www.strategicstudiesinstitute.army.mil/pubs/display.cfm?pubID=1303","author":[{"family":"Mazarr","given":"Michael"}],"issued":{"date-parts":[["2015",2,2]]},"accessed":{"date-parts":[["2016",7,22]]}}}],"schema":"https://github.com/citation-style-language/schema/raw/master/csl-citation.json"} </w:instrText>
      </w:r>
      <w:r>
        <w:fldChar w:fldCharType="separate"/>
      </w:r>
      <w:r w:rsidRPr="006C2BC2">
        <w:rPr>
          <w:rFonts w:cs="Times New Roman"/>
          <w:szCs w:val="24"/>
        </w:rPr>
        <w:t>Michael Mazarr, “Mastering the Gray Zone: Understanding a Changing Era of Conflict” (Monogram, February 2, 2015), http://www.strategicstudiesinstitute.army.mil/pubs/display.cfm?pubID=1303.</w:t>
      </w:r>
      <w:r>
        <w:fldChar w:fldCharType="end"/>
      </w:r>
    </w:p>
  </w:footnote>
  <w:footnote w:id="37">
    <w:p w14:paraId="0C9975FD" w14:textId="237424EC" w:rsidR="006C2BC2" w:rsidRDefault="006C2BC2">
      <w:pPr>
        <w:pStyle w:val="FootnoteText"/>
      </w:pPr>
      <w:r>
        <w:rPr>
          <w:rStyle w:val="FootnoteReference"/>
        </w:rPr>
        <w:footnoteRef/>
      </w:r>
      <w:r>
        <w:t xml:space="preserve"> </w:t>
      </w:r>
      <w:r>
        <w:fldChar w:fldCharType="begin"/>
      </w:r>
      <w:r>
        <w:instrText xml:space="preserve"> ADDIN ZOTERO_ITEM CSL_CITATION {"citationID":"tV6c763l","properties":{"formattedCitation":"Joshua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noteIndex":38},"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Wrong","author":[{"family":"Santoro","given":"David"},{"family":"Blosserman","given":"Brad"}],"issued":{"date-parts":[["2016",10,14]]},"accessed":{"date-parts":[["2016",10,31]]}}}],"schema":"https://github.com/citation-style-language/schema/raw/master/csl-citation.json"} </w:instrText>
      </w:r>
      <w:r>
        <w:fldChar w:fldCharType="separate"/>
      </w:r>
      <w:r w:rsidRPr="006C2BC2">
        <w:rPr>
          <w:rFonts w:cs="Times New Roman"/>
          <w:szCs w:val="24"/>
        </w:rPr>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sidRPr="006C2BC2">
        <w:rPr>
          <w:rFonts w:cs="Times New Roman"/>
          <w:i/>
          <w:iCs/>
          <w:szCs w:val="24"/>
        </w:rPr>
        <w:t>Foreign Affairs</w:t>
      </w:r>
      <w:r w:rsidRPr="006C2BC2">
        <w:rPr>
          <w:rFonts w:cs="Times New Roman"/>
          <w:szCs w:val="24"/>
        </w:rPr>
        <w:t>, September 11, 2016, https://www.foreignaffairs.com/articles/north-korea/2016-09-11/preventing-nuclear-war-north-korea; David Santoro and Brad Blosserman, “Healey’s Wrong: It’s Deterrence, Stupid,” War on the Rocks, October 14, 2016, http://warontherocks.com/2016/10/healeys-wrong-its-deterrence-stupid/.</w:t>
      </w:r>
      <w:r>
        <w:fldChar w:fldCharType="end"/>
      </w:r>
    </w:p>
  </w:footnote>
  <w:footnote w:id="38">
    <w:p w14:paraId="207F4ED2" w14:textId="0C2841C5" w:rsidR="006C2BC2" w:rsidRDefault="006C2BC2">
      <w:pPr>
        <w:pStyle w:val="FootnoteText"/>
      </w:pPr>
      <w:r>
        <w:rPr>
          <w:rStyle w:val="FootnoteReference"/>
        </w:rPr>
        <w:footnoteRef/>
      </w:r>
      <w:r>
        <w:t xml:space="preserve"> </w:t>
      </w:r>
      <w:r>
        <w:fldChar w:fldCharType="begin"/>
      </w:r>
      <w:r>
        <w:instrText xml:space="preserve"> ADDIN ZOTERO_ITEM CSL_CITATION {"citationID":"VqNvDjYU","properties":{"formattedCitation":"Kimberly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https://doi.org/10.1080/13518046.2015.1061819.","noteIndex":39},"citationItems":[{"id":6702,"uris":["http://zotero.org/users/2506258/items/NTMEZZFH"],"uri":["http://zotero.org/users/2506258/items/NTMEZZFH"],"itemData":{"id":6702,"type":"article-journal","title":"Putin's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 </w:instrText>
      </w:r>
      <w:r>
        <w:fldChar w:fldCharType="separate"/>
      </w:r>
      <w:r w:rsidRPr="006C2BC2">
        <w:rPr>
          <w:rFonts w:cs="Times New Roman"/>
          <w:szCs w:val="24"/>
        </w:rPr>
        <w:t xml:space="preserve">Kimberly Marten, “Putin’s Choices: Explaining Russian Foreign Policy and Intervention in Ukraine,” </w:t>
      </w:r>
      <w:r w:rsidRPr="006C2BC2">
        <w:rPr>
          <w:rFonts w:cs="Times New Roman"/>
          <w:i/>
          <w:iCs/>
          <w:szCs w:val="24"/>
        </w:rPr>
        <w:t>The Washington Quarterly</w:t>
      </w:r>
      <w:r w:rsidRPr="006C2BC2">
        <w:rPr>
          <w:rFonts w:cs="Times New Roman"/>
          <w:szCs w:val="24"/>
        </w:rPr>
        <w:t xml:space="preserve"> 38, no. 2 (April 3, 2015): 189–204, https://doi.org/10.1080/0163660X.2015.1064717; Timothy Thomas, “Russia’s Military Strategy and Ukraine: Indirect, Asymmetric—and Putin-Led,” </w:t>
      </w:r>
      <w:r w:rsidRPr="006C2BC2">
        <w:rPr>
          <w:rFonts w:cs="Times New Roman"/>
          <w:i/>
          <w:iCs/>
          <w:szCs w:val="24"/>
        </w:rPr>
        <w:t>The Journal of Slavic Military Studies</w:t>
      </w:r>
      <w:r w:rsidRPr="006C2BC2">
        <w:rPr>
          <w:rFonts w:cs="Times New Roman"/>
          <w:szCs w:val="24"/>
        </w:rPr>
        <w:t xml:space="preserve"> 28, no. 3 (July 3, 2015): 445–61, https://doi.org/10.1080/13518046.2015.1061819.</w:t>
      </w:r>
      <w:r>
        <w:fldChar w:fldCharType="end"/>
      </w:r>
    </w:p>
  </w:footnote>
  <w:footnote w:id="39">
    <w:p w14:paraId="18EE3D32" w14:textId="28735F33" w:rsidR="006C2BC2" w:rsidRDefault="006C2BC2">
      <w:pPr>
        <w:pStyle w:val="FootnoteText"/>
      </w:pPr>
      <w:r>
        <w:rPr>
          <w:rStyle w:val="FootnoteReference"/>
        </w:rPr>
        <w:footnoteRef/>
      </w:r>
      <w:r>
        <w:t xml:space="preserve"> </w:t>
      </w:r>
      <w:r>
        <w:fldChar w:fldCharType="begin"/>
      </w:r>
      <w:r>
        <w:instrText xml:space="preserve"> ADDIN ZOTERO_ITEM CSL_CITATION {"citationID":"cjzw0VmQ","properties":{"formattedCitation":"Samuel Charap, \\uc0\\u8220{}The Ghost of Hybrid War,\\uc0\\u8221{} {\\i{}Survival} 57, no. 6 (November 2, 2015): 51\\uc0\\u8211{}58, https://doi.org/10.1080/00396338.2015.1116147; Christopher S.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S. Chivvis, “Hybrid War: Russian Contemporary Political Warfare,” Bulletin of the Atomic Scientists 73, no. 5 (September 3, 2017): 316–21, https://doi.org/10.1080/00963402.2017.1362903.","noteIndex":40},"citationItems":[{"id":6684,"uris":["http://zotero.org/users/2506258/items/M9PGVIM5"],"uri":["http://zotero.org/users/2506258/items/M9PGVIM5"],"itemData":{"id":6684,"type":"article-journal","title":"The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 </w:instrText>
      </w:r>
      <w:r>
        <w:fldChar w:fldCharType="separate"/>
      </w:r>
      <w:r w:rsidRPr="006C2BC2">
        <w:rPr>
          <w:rFonts w:cs="Times New Roman"/>
          <w:szCs w:val="24"/>
        </w:rPr>
        <w:t xml:space="preserve">Samuel Charap, “The Ghost of Hybrid War,” </w:t>
      </w:r>
      <w:r w:rsidRPr="006C2BC2">
        <w:rPr>
          <w:rFonts w:cs="Times New Roman"/>
          <w:i/>
          <w:iCs/>
          <w:szCs w:val="24"/>
        </w:rPr>
        <w:t>Survival</w:t>
      </w:r>
      <w:r w:rsidRPr="006C2BC2">
        <w:rPr>
          <w:rFonts w:cs="Times New Roman"/>
          <w:szCs w:val="24"/>
        </w:rPr>
        <w:t xml:space="preserve"> 57, no. 6 (November 2, 2015): 51–58, https://doi.org/10.1080/00396338.2015.1116147; Christopher S. Chivvis, “Hybrid War: Russian Contemporary Political Warfare,” </w:t>
      </w:r>
      <w:r w:rsidRPr="006C2BC2">
        <w:rPr>
          <w:rFonts w:cs="Times New Roman"/>
          <w:i/>
          <w:iCs/>
          <w:szCs w:val="24"/>
        </w:rPr>
        <w:t>Bulletin of the Atomic Scientists</w:t>
      </w:r>
      <w:r w:rsidRPr="006C2BC2">
        <w:rPr>
          <w:rFonts w:cs="Times New Roman"/>
          <w:szCs w:val="24"/>
        </w:rPr>
        <w:t xml:space="preserve"> 73, no. 5 (September 3, 2017): 316–21, https://doi.org/10.1080/00963402.2017.1362903.</w:t>
      </w:r>
      <w:r>
        <w:fldChar w:fldCharType="end"/>
      </w:r>
    </w:p>
  </w:footnote>
  <w:footnote w:id="40">
    <w:p w14:paraId="04A2A454" w14:textId="2D21E6E5" w:rsidR="006C2BC2" w:rsidRDefault="006C2BC2">
      <w:pPr>
        <w:pStyle w:val="FootnoteText"/>
      </w:pPr>
      <w:r>
        <w:rPr>
          <w:rStyle w:val="FootnoteReference"/>
        </w:rPr>
        <w:footnoteRef/>
      </w:r>
      <w:r>
        <w:t xml:space="preserve"> </w:t>
      </w:r>
      <w:r>
        <w:fldChar w:fldCharType="begin"/>
      </w:r>
      <w:r>
        <w:instrText xml:space="preserve"> ADDIN ZOTERO_ITEM CSL_CITATION {"citationID":"DTTf80L5","properties":{"formattedCitation":"Alexander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 </w:instrText>
      </w:r>
      <w:r>
        <w:fldChar w:fldCharType="separate"/>
      </w:r>
      <w:r w:rsidRPr="006C2BC2">
        <w:rPr>
          <w:rFonts w:cs="Times New Roman"/>
          <w:szCs w:val="24"/>
        </w:rPr>
        <w:t xml:space="preserve">Alexander Lanoszka, “Russian Hybrid Warfare and Extended Deterrence in Eastern Europe,” </w:t>
      </w:r>
      <w:r w:rsidRPr="006C2BC2">
        <w:rPr>
          <w:rFonts w:cs="Times New Roman"/>
          <w:i/>
          <w:iCs/>
          <w:szCs w:val="24"/>
        </w:rPr>
        <w:t>International Affairs</w:t>
      </w:r>
      <w:r w:rsidRPr="006C2BC2">
        <w:rPr>
          <w:rFonts w:cs="Times New Roman"/>
          <w:szCs w:val="24"/>
        </w:rPr>
        <w:t xml:space="preserve"> 92, no. 1 (January 2016): 175–95, https://doi.org/10.1111/1468-2346.12509; Dan Altman, “Advancing without Attacking: The Strategic Game around the Use of Force,” </w:t>
      </w:r>
      <w:r w:rsidRPr="006C2BC2">
        <w:rPr>
          <w:rFonts w:cs="Times New Roman"/>
          <w:i/>
          <w:iCs/>
          <w:szCs w:val="24"/>
        </w:rPr>
        <w:t>Security Studies</w:t>
      </w:r>
      <w:r w:rsidRPr="006C2BC2">
        <w:rPr>
          <w:rFonts w:cs="Times New Roman"/>
          <w:szCs w:val="24"/>
        </w:rPr>
        <w:t>, August 16, 2017, 1–31, https://doi.org/10.1080/09636412.2017.1360074; Jackson, “Tactics of Strategic Competition: Gray Zones, Redlines, and Conflict before War.”</w:t>
      </w:r>
      <w:r>
        <w:fldChar w:fldCharType="end"/>
      </w:r>
    </w:p>
  </w:footnote>
  <w:footnote w:id="41">
    <w:p w14:paraId="09FDE2EF" w14:textId="25F4FFEE" w:rsidR="006C2BC2" w:rsidRDefault="006C2BC2">
      <w:pPr>
        <w:pStyle w:val="FootnoteText"/>
      </w:pPr>
      <w:r>
        <w:rPr>
          <w:rStyle w:val="FootnoteReference"/>
        </w:rPr>
        <w:footnoteRef/>
      </w:r>
      <w:r>
        <w:t xml:space="preserve"> </w:t>
      </w:r>
      <w:r>
        <w:fldChar w:fldCharType="begin"/>
      </w:r>
      <w:r>
        <w:instrText xml:space="preserve"> ADDIN ZOTERO_ITEM CSL_CITATION {"citationID":"0MptDY6b","properties":{"formattedCitation":"Jon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2018).","noteIndex":42},"citationItems":[{"id":15449,"uris":["http://zotero.org/users/2506258/items/222ETN4Z"],"uri":["http://zotero.org/users/2506258/items/222ETN4Z"],"itemData":{"id":15449,"type":"chapter","title":"Coercion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fldChar w:fldCharType="separate"/>
      </w:r>
      <w:r w:rsidRPr="006C2BC2">
        <w:rPr>
          <w:rFonts w:cs="Times New Roman"/>
          <w:szCs w:val="24"/>
        </w:rPr>
        <w:t xml:space="preserve">Jon R. Lindsay and Erik Gartzke, “Coercion through Cyberspace: The Stability-Instability Paradox Revisited,” in </w:t>
      </w:r>
      <w:r w:rsidRPr="006C2BC2">
        <w:rPr>
          <w:rFonts w:cs="Times New Roman"/>
          <w:i/>
          <w:iCs/>
          <w:szCs w:val="24"/>
        </w:rPr>
        <w:t>Coercion: The Power to Hurt in International Politics</w:t>
      </w:r>
      <w:r w:rsidRPr="006C2BC2">
        <w:rPr>
          <w:rFonts w:cs="Times New Roman"/>
          <w:szCs w:val="24"/>
        </w:rPr>
        <w:t>, ed. Kelly M. Greenhill and Peter Krause (New York, NY: Oxford University Press, 2018).</w:t>
      </w:r>
      <w:r>
        <w:fldChar w:fldCharType="end"/>
      </w:r>
    </w:p>
  </w:footnote>
  <w:footnote w:id="42">
    <w:p w14:paraId="15E9784A" w14:textId="59D1E42F" w:rsidR="006C2BC2" w:rsidRDefault="006C2BC2">
      <w:pPr>
        <w:pStyle w:val="FootnoteText"/>
      </w:pPr>
      <w:r>
        <w:rPr>
          <w:rStyle w:val="FootnoteReference"/>
        </w:rPr>
        <w:footnoteRef/>
      </w:r>
      <w:r>
        <w:t xml:space="preserve"> </w:t>
      </w:r>
      <w:r>
        <w:fldChar w:fldCharType="begin"/>
      </w:r>
      <w:r>
        <w:instrText xml:space="preserve"> ADDIN ZOTERO_ITEM CSL_CITATION {"citationID":"0wAA7ZPm","properties":{"formattedCitation":"Thomas Rid, \\uc0\\u8220{}Cyberwar and Peace,\\uc0\\u8221{} 2013, https://www.foreignaffairs.com/articles/2013-10-15/cyberwar-and-peace; Benjamin Jensen, Brandon Valeriano, and Ryan Maness, \\uc0\\u8220{}Fancy Bears and Digital Trolls: Cyber Strategy with a Russian Twist,\\uc0\\u8221{} {\\i{}Journal of Strategic Studies} 0, no. 0 (January 10, 2019): 1\\uc0\\u8211{}23, https://doi.org/10.1080/01402390.2018.1559152.","plainCitation":"Thomas Rid, “Cyberwar and Peace,” 2013, https://www.foreignaffairs.com/articles/2013-10-15/cyberwar-and-peace; Benjamin Jensen, Brandon Valeriano, and Ryan Maness, “Fancy Bears and Digital Trolls: Cyber Strategy with a Russian Twist,” Journal of Strategic Studies 0, no. 0 (January 10, 2019): 1–23, https://doi.org/10.1080/01402390.2018.1559152.","noteIndex":43},"citationItems":[{"id":19180,"uris":["http://zotero.org/users/2506258/items/GXTZPUJI"],"uri":["http://zotero.org/users/2506258/items/GXTZPUJI"],"itemData":{"id":19180,"type":"article-magazine","title":"Cyberwar and Peace","source":"www.foreignaffairs.com","abstract":"Forget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language":"en-US","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fldChar w:fldCharType="separate"/>
      </w:r>
      <w:r w:rsidRPr="006C2BC2">
        <w:rPr>
          <w:rFonts w:cs="Times New Roman"/>
          <w:szCs w:val="24"/>
        </w:rPr>
        <w:t xml:space="preserve">Thomas Rid, “Cyberwar and Peace,” 2013, https://www.foreignaffairs.com/articles/2013-10-15/cyberwar-and-peace; Benjamin Jensen, Brandon Valeriano, and Ryan Maness, “Fancy Bears and Digital Trolls: Cyber Strategy with a Russian Twist,” </w:t>
      </w:r>
      <w:r w:rsidRPr="006C2BC2">
        <w:rPr>
          <w:rFonts w:cs="Times New Roman"/>
          <w:i/>
          <w:iCs/>
          <w:szCs w:val="24"/>
        </w:rPr>
        <w:t>Journal of Strategic Studies</w:t>
      </w:r>
      <w:r w:rsidRPr="006C2BC2">
        <w:rPr>
          <w:rFonts w:cs="Times New Roman"/>
          <w:szCs w:val="24"/>
        </w:rPr>
        <w:t xml:space="preserve"> 0, no. 0 (January 10, 2019): 1–23, https://doi.org/10.1080/01402390.2018.1559152.</w:t>
      </w:r>
      <w:r>
        <w:fldChar w:fldCharType="end"/>
      </w:r>
    </w:p>
  </w:footnote>
  <w:footnote w:id="43">
    <w:p w14:paraId="4FCE294F" w14:textId="11C9F735" w:rsidR="006C2BC2" w:rsidRDefault="006C2BC2">
      <w:pPr>
        <w:pStyle w:val="FootnoteText"/>
      </w:pPr>
      <w:r>
        <w:rPr>
          <w:rStyle w:val="FootnoteReference"/>
        </w:rPr>
        <w:footnoteRef/>
      </w:r>
      <w:r>
        <w:t xml:space="preserve"> </w:t>
      </w:r>
      <w:r>
        <w:fldChar w:fldCharType="begin"/>
      </w:r>
      <w:r>
        <w:instrText xml:space="preserve"> ADDIN ZOTERO_ITEM CSL_CITATION {"citationID":"A5km4QXh","properties":{"formattedCitation":"Schultz, \\uc0\\u8220{}Low-Intensity Warfare: The Challenge of Ambiguity.\\uc0\\u8221{}","plainCitation":"Schultz, “Low-Intensity Warfare: The Challenge of Ambiguity.”","noteIndex":44},"citationItems":[{"id":6658,"uris":["http://zotero.org/users/2506258/items/B67U53DR"],"uri":["http://zotero.org/users/2506258/items/B67U53DR"],"itemData":{"id":6658,"type":"speech","title":"Low-Intensity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fldChar w:fldCharType="separate"/>
      </w:r>
      <w:r w:rsidRPr="006C2BC2">
        <w:rPr>
          <w:rFonts w:cs="Times New Roman"/>
          <w:szCs w:val="24"/>
        </w:rPr>
        <w:t>Schultz, “Low-Intensity Warfare: The Challenge of Ambiguity.”</w:t>
      </w:r>
      <w:r>
        <w:fldChar w:fldCharType="end"/>
      </w:r>
    </w:p>
  </w:footnote>
  <w:footnote w:id="44">
    <w:p w14:paraId="4476AE55" w14:textId="1E4B42BE" w:rsidR="006C2BC2" w:rsidRDefault="006C2BC2">
      <w:pPr>
        <w:pStyle w:val="FootnoteText"/>
      </w:pPr>
      <w:r>
        <w:rPr>
          <w:rStyle w:val="FootnoteReference"/>
        </w:rPr>
        <w:footnoteRef/>
      </w:r>
      <w:r>
        <w:t xml:space="preserve"> </w:t>
      </w:r>
      <w:r>
        <w:fldChar w:fldCharType="begin"/>
      </w:r>
      <w:r>
        <w:instrText xml:space="preserve"> ADDIN ZOTERO_ITEM CSL_CITATION {"citationID":"XywyJ0fl","properties":{"formattedCitation":"Paul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243–64.","noteIndex":45},"citationItems":[{"id":18946,"uris":["http://zotero.org/users/2506258/items/W23SU9FT"],"uri":["http://zotero.org/users/2506258/items/W23SU9FT"],"itemData":{"id":18946,"type":"article-journal","title":"States,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fldChar w:fldCharType="separate"/>
      </w:r>
      <w:r w:rsidRPr="006C2BC2">
        <w:rPr>
          <w:rFonts w:cs="Times New Roman"/>
          <w:szCs w:val="24"/>
        </w:rPr>
        <w:t xml:space="preserve">Paul Staniland, “States, Insurgents, and Wartime Political Orders,” </w:t>
      </w:r>
      <w:r w:rsidRPr="006C2BC2">
        <w:rPr>
          <w:rFonts w:cs="Times New Roman"/>
          <w:i/>
          <w:iCs/>
          <w:szCs w:val="24"/>
        </w:rPr>
        <w:t>Perspectives on Politics</w:t>
      </w:r>
      <w:r w:rsidRPr="006C2BC2">
        <w:rPr>
          <w:rFonts w:cs="Times New Roman"/>
          <w:szCs w:val="24"/>
        </w:rPr>
        <w:t xml:space="preserve"> 10, no. 2 (2012): 243–64.</w:t>
      </w:r>
      <w:r>
        <w:fldChar w:fldCharType="end"/>
      </w:r>
    </w:p>
  </w:footnote>
  <w:footnote w:id="45">
    <w:p w14:paraId="5F70AE97" w14:textId="320B85D6" w:rsidR="006C2BC2" w:rsidRDefault="006C2BC2">
      <w:pPr>
        <w:pStyle w:val="FootnoteText"/>
      </w:pPr>
      <w:r>
        <w:rPr>
          <w:rStyle w:val="FootnoteReference"/>
        </w:rPr>
        <w:footnoteRef/>
      </w:r>
      <w:r>
        <w:t xml:space="preserve"> </w:t>
      </w:r>
      <w:r>
        <w:fldChar w:fldCharType="begin"/>
      </w:r>
      <w:r>
        <w:instrText xml:space="preserve"> ADDIN ZOTERO_ITEM CSL_CITATION {"citationID":"a2hbdup31no","properties":{"formattedCitation":"\\uldash{Austin Carson, \\uc0\\u8220{}Facing Off and Saving Face: Covert Intervention and Escalation Management in the Korean War,\\uc0\\u8221{} {\\i{}International Organization} FirstView (October 2015): 1\\uc0\\u8211{}29, https://doi.org/10.1017/S0020818315000284; Austin Carson, {\\i{}Secret Wars: Covert Conflict in International Politics}, Princeton Studies in International History and Politics (Princeton, NJ: Princeton University Press, 2018).}","plainCitation":"Austin Carson, “Facing Off and Saving Face: Covert Intervention and Escalation Management in the Korean War,” International Organization FirstView (October 2015): 1–29, https://doi.org/10.1017/S0020818315000284; Austin Carson, Secret Wars: Covert Conflict in International Politics, Princeton Studies in International History and Politics (Princeton, NJ: Princeton University Press, 2018).","noteIndex":46},"citationItems":[{"id":668,"uris":["http://zotero.org/users/2506258/items/BHW4FEPQ"],"uri":["http://zotero.org/users/2506258/items/BHW4FEPQ"],"itemData":{"id":668,"type":"article-journal","title":"Facing Off and Saving Face: Covert Intervention and Escalation Management in the Korean War","container-title":"International Organization","page":"1–29","volume":"FirstView","source":"Cambridge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Face","author":[{"family":"Carson","given":"Austin"}],"issued":{"date-parts":[["2015",10]]}}},{"id":17470,"uris":["http://zotero.org/users/2506258/items/PEFPVY5I"],"uri":["http://zotero.org/users/2506258/items/PEFPVY5I"],"itemData":{"id":17470,"type":"book","title":"Secret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fldChar w:fldCharType="separate"/>
      </w:r>
      <w:r w:rsidRPr="006C2BC2">
        <w:rPr>
          <w:rFonts w:cs="Times New Roman"/>
          <w:szCs w:val="24"/>
          <w:u w:val="dash"/>
        </w:rPr>
        <w:t xml:space="preserve">Austin Carson, “Facing Off and Saving Face: Covert Intervention and Escalation Management in the Korean War,” </w:t>
      </w:r>
      <w:r w:rsidRPr="006C2BC2">
        <w:rPr>
          <w:rFonts w:cs="Times New Roman"/>
          <w:i/>
          <w:iCs/>
          <w:szCs w:val="24"/>
          <w:u w:val="dash"/>
        </w:rPr>
        <w:t>International Organization</w:t>
      </w:r>
      <w:r w:rsidRPr="006C2BC2">
        <w:rPr>
          <w:rFonts w:cs="Times New Roman"/>
          <w:szCs w:val="24"/>
          <w:u w:val="dash"/>
        </w:rPr>
        <w:t xml:space="preserve"> FirstView (October 2015): 1–29, https://doi.org/10.1017/S0020818315000284; Carson, </w:t>
      </w:r>
      <w:r w:rsidRPr="006C2BC2">
        <w:rPr>
          <w:rFonts w:cs="Times New Roman"/>
          <w:i/>
          <w:iCs/>
          <w:szCs w:val="24"/>
          <w:u w:val="dash"/>
        </w:rPr>
        <w:t>Secret Wars: Covert Conflict in International Politics</w:t>
      </w:r>
      <w:r w:rsidRPr="006C2BC2">
        <w:rPr>
          <w:rFonts w:cs="Times New Roman"/>
          <w:szCs w:val="24"/>
          <w:u w:val="dash"/>
        </w:rPr>
        <w:t>.</w:t>
      </w:r>
      <w:r>
        <w:fldChar w:fldCharType="end"/>
      </w:r>
    </w:p>
  </w:footnote>
  <w:footnote w:id="46">
    <w:p w14:paraId="280C4DC4" w14:textId="7419C10A" w:rsidR="006C2BC2" w:rsidRDefault="006C2BC2">
      <w:pPr>
        <w:pStyle w:val="FootnoteText"/>
      </w:pPr>
      <w:r>
        <w:rPr>
          <w:rStyle w:val="FootnoteReference"/>
        </w:rPr>
        <w:footnoteRef/>
      </w:r>
      <w:r>
        <w:t xml:space="preserve"> </w:t>
      </w:r>
      <w:r w:rsidDel="003E120B">
        <w:rPr>
          <w:lang w:val="en-CA"/>
        </w:rPr>
        <w:t xml:space="preserve">and counterinsurgency in Iraq </w:t>
      </w:r>
      <w:r>
        <w:rPr>
          <w:lang w:val="en-CA"/>
        </w:rPr>
        <w:fldChar w:fldCharType="begin"/>
      </w:r>
      <w:r>
        <w:rPr>
          <w:lang w:val="en-CA"/>
        </w:rPr>
        <w:instrText xml:space="preserve"> ADDIN ZOTERO_ITEM CSL_CITATION {"citationID":"m8hUjUc6","properties":{"formattedCitation":"Risa Brooks, {\\i{}Shaping Strategy: The Civil-Military Politics of Strategic Assessment} (Princeton, NJ: Princeton University Press, 2008), 226\\uc0\\u8211{}55; Joshua Rovner, {\\i{}Fixing the Facts: National Security and the Politics of Intelligence} (Ithaca, NY: Cornell University Press, 2011), 137\\uc0\\u8211{}84.","plainCitation":"Risa Brooks, Shaping Strategy: The Civil-Military Politics of Strategic Assessment (Princeton, NJ: Princeton University Press, 2008), 226–55; Joshua Rovner, Fixing the Facts: National Security and the Politics of Intelligence (Ithaca, NY: Cornell University Press, 2011), 137–84.","noteIndex":47},"citationItems":[{"id":"I50fQzQx/uQVXOZgn","uris":["http://zotero.org/users/471208/items/43AD9G32"],"uri":["http://zotero.org/users/471208/items/43AD9G32"],"itemData":{"id":8354,"type":"book","title":"Shaping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I50fQzQx/hBrvlRSK","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 </w:instrText>
      </w:r>
      <w:r>
        <w:rPr>
          <w:lang w:val="en-CA"/>
        </w:rPr>
        <w:fldChar w:fldCharType="separate"/>
      </w:r>
      <w:r w:rsidRPr="006C2BC2">
        <w:rPr>
          <w:rFonts w:cs="Times New Roman"/>
          <w:szCs w:val="24"/>
        </w:rPr>
        <w:t xml:space="preserve">Risa Brooks, </w:t>
      </w:r>
      <w:r w:rsidRPr="006C2BC2">
        <w:rPr>
          <w:rFonts w:cs="Times New Roman"/>
          <w:i/>
          <w:iCs/>
          <w:szCs w:val="24"/>
        </w:rPr>
        <w:t>Shaping Strategy: The Civil-Military Politics of Strategic Assessment</w:t>
      </w:r>
      <w:r w:rsidRPr="006C2BC2">
        <w:rPr>
          <w:rFonts w:cs="Times New Roman"/>
          <w:szCs w:val="24"/>
        </w:rPr>
        <w:t xml:space="preserve"> (Princeton, NJ: Princeton University Press, 2008), 226–55; Joshua Rovner, </w:t>
      </w:r>
      <w:r w:rsidRPr="006C2BC2">
        <w:rPr>
          <w:rFonts w:cs="Times New Roman"/>
          <w:i/>
          <w:iCs/>
          <w:szCs w:val="24"/>
        </w:rPr>
        <w:t>Fixing the Facts: National Security and the Politics of Intelligence</w:t>
      </w:r>
      <w:r w:rsidRPr="006C2BC2">
        <w:rPr>
          <w:rFonts w:cs="Times New Roman"/>
          <w:szCs w:val="24"/>
        </w:rPr>
        <w:t xml:space="preserve"> (Ithaca, NY: Cornell University Press, 2011), 137–84.</w:t>
      </w:r>
      <w:r>
        <w:rPr>
          <w:lang w:val="en-CA"/>
        </w:rPr>
        <w:fldChar w:fldCharType="end"/>
      </w:r>
    </w:p>
  </w:footnote>
  <w:footnote w:id="47">
    <w:p w14:paraId="5269FFB7" w14:textId="6CD177CA" w:rsidR="006C2BC2" w:rsidRDefault="006C2BC2">
      <w:pPr>
        <w:pStyle w:val="FootnoteText"/>
      </w:pPr>
      <w:r>
        <w:rPr>
          <w:rStyle w:val="FootnoteReference"/>
        </w:rPr>
        <w:footnoteRef/>
      </w:r>
      <w:r>
        <w:t xml:space="preserve"> </w:t>
      </w:r>
      <w:r w:rsidDel="00BA600B">
        <w:rPr>
          <w:lang w:val="en-CA"/>
        </w:rPr>
        <w:t>.</w:t>
      </w:r>
      <w:r>
        <w:rPr>
          <w:lang w:val="en-CA"/>
        </w:rPr>
        <w:fldChar w:fldCharType="begin"/>
      </w:r>
      <w:r>
        <w:rPr>
          <w:lang w:val="en-CA"/>
        </w:rPr>
        <w:instrText xml:space="preserve"> ADDIN ZOTERO_ITEM CSL_CITATION {"citationID":"vm7HzcqF","properties":{"formattedCitation":"Michael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2015).","noteIndex":48},"citationItems":[{"id":"I50fQzQx/PaHO70Ef","uris":["http://zotero.org/users/471208/items/W2MZNEX8"],"uri":["http://zotero.org/users/471208/items/W2MZNEX8"],"itemData":{"id":1464,"type":"book","title":"Cobra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E."}],"issued":{"date-parts":[["2007"]]}}},{"id":"I50fQzQx/JNS3pfDc","uris":["http://zotero.org/users/471208/items/XK8FBW7C"],"uri":["http://zotero.org/users/471208/items/XK8FBW7C"],"itemData":{"id":1442,"type":"book","title":"The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E."}],"issued":{"date-parts":[["2012"]]}}},{"id":"I50fQzQx/mtJtDjGN","uris":["http://zotero.org/users/471208/items/6AA6WTW8"],"uri":["http://zotero.org/users/471208/items/6AA6WTW8"],"itemData":{"id":826,"type":"report","title":"Varieties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R."},{"family":"Petersen","given":"Roger"}],"issued":{"date-parts":[["2012"]]}}},{"id":"I50fQzQx/z3UiSSH8","uris":["http://zotero.org/users/471208/items/Q732M7WE"],"uri":["http://zotero.org/users/471208/items/Q732M7WE"],"itemData":{"id":1443,"type":"book","title":"Relentless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Pr>
          <w:lang w:val="en-CA"/>
        </w:rPr>
        <w:fldChar w:fldCharType="separate"/>
      </w:r>
      <w:r w:rsidRPr="006C2BC2">
        <w:rPr>
          <w:rFonts w:cs="Times New Roman"/>
          <w:szCs w:val="24"/>
        </w:rPr>
        <w:t xml:space="preserve">Michael R. Gordon and Bernard E. Trainor, </w:t>
      </w:r>
      <w:r w:rsidRPr="006C2BC2">
        <w:rPr>
          <w:rFonts w:cs="Times New Roman"/>
          <w:i/>
          <w:iCs/>
          <w:szCs w:val="24"/>
        </w:rPr>
        <w:t>Cobra II: The Inside Story of the Invasion And Occupation of Iraq</w:t>
      </w:r>
      <w:r w:rsidRPr="006C2BC2">
        <w:rPr>
          <w:rFonts w:cs="Times New Roman"/>
          <w:szCs w:val="24"/>
        </w:rPr>
        <w:t xml:space="preserve"> (New York: Vintage Books, 2007); Michael R. Gordon and Bernard E. Trainor, </w:t>
      </w:r>
      <w:r w:rsidRPr="006C2BC2">
        <w:rPr>
          <w:rFonts w:cs="Times New Roman"/>
          <w:i/>
          <w:iCs/>
          <w:szCs w:val="24"/>
        </w:rPr>
        <w:t>The Endgame: The Inside Story of the Struggle for Iraq, from George W. Bush to Barack Obama</w:t>
      </w:r>
      <w:r w:rsidRPr="006C2BC2">
        <w:rPr>
          <w:rFonts w:cs="Times New Roman"/>
          <w:szCs w:val="24"/>
        </w:rPr>
        <w:t xml:space="preserve"> (Pantheon Books, 2012); Jon R. Lindsay and Roger Petersen, “Varieties of Insurgency and Counterinsurgency in Iraq, 2003-2009,” Center for Irregular Warfare and Armed Groups Case Study Series (Newport, RI: Naval War College, 2012); Sean Naylor, </w:t>
      </w:r>
      <w:r w:rsidRPr="006C2BC2">
        <w:rPr>
          <w:rFonts w:cs="Times New Roman"/>
          <w:i/>
          <w:iCs/>
          <w:szCs w:val="24"/>
        </w:rPr>
        <w:t>Relentless Strike: The Secret History of Joint Special Operations Command</w:t>
      </w:r>
      <w:r w:rsidRPr="006C2BC2">
        <w:rPr>
          <w:rFonts w:cs="Times New Roman"/>
          <w:szCs w:val="24"/>
        </w:rPr>
        <w:t xml:space="preserve"> (St. Martin’s Press, 2015).</w:t>
      </w:r>
      <w:r>
        <w:rPr>
          <w:lang w:val="en-CA"/>
        </w:rPr>
        <w:fldChar w:fldCharType="end"/>
      </w:r>
    </w:p>
  </w:footnote>
  <w:footnote w:id="48">
    <w:p w14:paraId="6813349F" w14:textId="56061BD9" w:rsidR="006C2BC2" w:rsidRDefault="006C2BC2">
      <w:pPr>
        <w:pStyle w:val="FootnoteText"/>
      </w:pPr>
      <w:r>
        <w:rPr>
          <w:rStyle w:val="FootnoteReference"/>
        </w:rPr>
        <w:footnoteRef/>
      </w:r>
      <w:r>
        <w:t xml:space="preserve"> The U.S. invasion of Iraq was prompted by pessimism about efforts in the gray zone, and an exogenous shock in the form of the 911 terrorist attacks. In other words, the desire for gray zone was no longer mutual. </w:t>
      </w:r>
    </w:p>
  </w:footnote>
  <w:footnote w:id="49">
    <w:p w14:paraId="53B3F2DE" w14:textId="77DEAF25" w:rsidR="006C2BC2" w:rsidRPr="00BF58C4" w:rsidRDefault="006C2BC2">
      <w:pPr>
        <w:pStyle w:val="FootnoteText"/>
        <w:rPr>
          <w:lang w:val="en-CA"/>
        </w:rPr>
      </w:pPr>
      <w:r w:rsidRPr="00BF58C4">
        <w:rPr>
          <w:rStyle w:val="FootnoteReference"/>
        </w:rPr>
        <w:footnoteRef/>
      </w:r>
      <w:r>
        <w:t xml:space="preserve"> </w:t>
      </w:r>
      <w:r>
        <w:rPr>
          <w:lang w:val="en-CA"/>
        </w:rPr>
        <w:t xml:space="preserve">Conversely, as the Iraq case illustrates, “gray zone” is a poor description of cases where actors fail to exercise restraint because they do not understand their own deterrence sensitivities. </w:t>
      </w:r>
    </w:p>
  </w:footnote>
  <w:footnote w:id="50">
    <w:p w14:paraId="4D8AC268" w14:textId="13D8BCAE" w:rsidR="006C2BC2" w:rsidRDefault="006C2BC2">
      <w:pPr>
        <w:pStyle w:val="FootnoteText"/>
      </w:pPr>
      <w:r>
        <w:rPr>
          <w:rStyle w:val="FootnoteReference"/>
        </w:rPr>
        <w:footnoteRef/>
      </w:r>
      <w:r>
        <w:t xml:space="preserve"> </w:t>
      </w:r>
      <w:r>
        <w:fldChar w:fldCharType="begin"/>
      </w:r>
      <w:r>
        <w:instrText xml:space="preserve"> ADDIN ZOTERO_ITEM CSL_CITATION {"citationID":"QUxrFd9Y","properties":{"formattedCitation":"Altman, \\uc0\\u8220{}Advancing without Attacking.\\uc0\\u8221{}","plainCitation":"Altman, “Advancing without Attacking.”","noteIndex":51},"citationItems":[{"id":10397,"uris":["http://zotero.org/users/2506258/items/XXNEL3R5"],"uri":["http://zotero.org/users/2506258/items/XXNEL3R5"],"itemData":{"id":10397,"type":"article-journal","title":"Advancing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Attacking","language":"en","author":[{"family":"Altman","given":"Dan"}],"issued":{"date-parts":[["2017",8,16]]}}}],"schema":"https://github.com/citation-style-language/schema/raw/master/csl-citation.json"} </w:instrText>
      </w:r>
      <w:r>
        <w:fldChar w:fldCharType="separate"/>
      </w:r>
      <w:r w:rsidRPr="006C2BC2">
        <w:rPr>
          <w:rFonts w:cs="Times New Roman"/>
          <w:szCs w:val="24"/>
        </w:rPr>
        <w:t>Altman, “Advancing without Attacking.”</w:t>
      </w:r>
      <w:r>
        <w:fldChar w:fldCharType="end"/>
      </w:r>
    </w:p>
  </w:footnote>
  <w:footnote w:id="51">
    <w:p w14:paraId="3D778DBF" w14:textId="6A088D22" w:rsidR="006C2BC2" w:rsidRDefault="006C2BC2">
      <w:pPr>
        <w:pStyle w:val="FootnoteText"/>
      </w:pPr>
      <w:r>
        <w:rPr>
          <w:rStyle w:val="FootnoteReference"/>
        </w:rPr>
        <w:footnoteRef/>
      </w:r>
      <w:r>
        <w:t xml:space="preserve"> </w:t>
      </w:r>
      <w:r>
        <w:fldChar w:fldCharType="begin"/>
      </w:r>
      <w:r>
        <w:instrText xml:space="preserve"> ADDIN ZOTERO_ITEM CSL_CITATION {"citationID":"fuVJVfoX","properties":{"formattedCitation":"Robert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587–623.","noteIndex":52},"citationItems":[{"id":"I50fQzQx/BptKrwQ7","uris":["http://zotero.org/users/471208/items/RVGPZ94F"],"uri":["http://zotero.org/users/471208/items/RVGPZ94F"],"itemData":{"id":1219,"type":"article-journal","title":"Cooperation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I50fQzQx/WVZxiGQn","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fldChar w:fldCharType="separate"/>
      </w:r>
      <w:r w:rsidRPr="006C2BC2">
        <w:rPr>
          <w:rFonts w:cs="Times New Roman"/>
          <w:szCs w:val="24"/>
        </w:rPr>
        <w:t xml:space="preserve">Robert Jervis, “Cooperation Under the Security Dilemma,” </w:t>
      </w:r>
      <w:r w:rsidRPr="006C2BC2">
        <w:rPr>
          <w:rFonts w:cs="Times New Roman"/>
          <w:i/>
          <w:iCs/>
          <w:szCs w:val="24"/>
        </w:rPr>
        <w:t>World Politics</w:t>
      </w:r>
      <w:r w:rsidRPr="006C2BC2">
        <w:rPr>
          <w:rFonts w:cs="Times New Roman"/>
          <w:szCs w:val="24"/>
        </w:rPr>
        <w:t xml:space="preserve"> 30, no. 2 (1978): 167–214; Shiping Tang, “The Security Dilemma: A Conceptual Analysis,” </w:t>
      </w:r>
      <w:r w:rsidRPr="006C2BC2">
        <w:rPr>
          <w:rFonts w:cs="Times New Roman"/>
          <w:i/>
          <w:iCs/>
          <w:szCs w:val="24"/>
        </w:rPr>
        <w:t>Security Studies</w:t>
      </w:r>
      <w:r w:rsidRPr="006C2BC2">
        <w:rPr>
          <w:rFonts w:cs="Times New Roman"/>
          <w:szCs w:val="24"/>
        </w:rPr>
        <w:t xml:space="preserve"> 18, no. 3 (2009): 587–623.</w:t>
      </w:r>
      <w:r>
        <w:fldChar w:fldCharType="end"/>
      </w:r>
    </w:p>
  </w:footnote>
  <w:footnote w:id="52">
    <w:p w14:paraId="7595A127" w14:textId="2A95CB52" w:rsidR="006C2BC2" w:rsidRDefault="006C2BC2">
      <w:pPr>
        <w:pStyle w:val="FootnoteText"/>
      </w:pPr>
      <w:r>
        <w:rPr>
          <w:rStyle w:val="FootnoteReference"/>
        </w:rPr>
        <w:footnoteRef/>
      </w:r>
      <w:r>
        <w:t xml:space="preserve"> </w:t>
      </w:r>
      <w:r>
        <w:fldChar w:fldCharType="begin"/>
      </w:r>
      <w:r>
        <w:instrText xml:space="preserve"> ADDIN ZOTERO_ITEM CSL_CITATION {"citationID":"5JJP9cAx","properties":{"formattedCitation":"Randall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53},"citationItems":[{"id":"I50fQzQx/UPHT6uTz","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fldChar w:fldCharType="separate"/>
      </w:r>
      <w:r w:rsidRPr="006C2BC2">
        <w:rPr>
          <w:rFonts w:cs="Times New Roman"/>
          <w:szCs w:val="24"/>
        </w:rPr>
        <w:t xml:space="preserve">Randall L. Schweller, “Neorealism’s Status‐quo Bias: What Security Dilemma?,” </w:t>
      </w:r>
      <w:r w:rsidRPr="006C2BC2">
        <w:rPr>
          <w:rFonts w:cs="Times New Roman"/>
          <w:i/>
          <w:iCs/>
          <w:szCs w:val="24"/>
        </w:rPr>
        <w:t>Security Studies</w:t>
      </w:r>
      <w:r w:rsidRPr="006C2BC2">
        <w:rPr>
          <w:rFonts w:cs="Times New Roman"/>
          <w:szCs w:val="24"/>
        </w:rPr>
        <w:t xml:space="preserve"> 5, no. 3 (March 1, 1996): 90–121, https://doi.org/10.1080/09636419608429277.</w:t>
      </w:r>
      <w:r>
        <w:fldChar w:fldCharType="end"/>
      </w:r>
    </w:p>
  </w:footnote>
  <w:footnote w:id="53">
    <w:p w14:paraId="6175E28F" w14:textId="563C14AE" w:rsidR="006C2BC2" w:rsidRDefault="006C2BC2">
      <w:pPr>
        <w:pStyle w:val="FootnoteText"/>
      </w:pPr>
      <w:r>
        <w:rPr>
          <w:rStyle w:val="FootnoteReference"/>
        </w:rPr>
        <w:footnoteRef/>
      </w:r>
      <w:r>
        <w:t xml:space="preserve"> </w:t>
      </w:r>
      <w:r>
        <w:fldChar w:fldCharType="begin"/>
      </w:r>
      <w:r>
        <w:instrText xml:space="preserve"> ADDIN ZOTERO_ITEM CSL_CITATION {"citationID":"GNgcP1O3","properties":{"formattedCitation":"Boulding, {\\i{}Conflict and Defense}.","plainCitation":"Boulding, Conflict and Defense.","noteIndex":54},"citationItems":[{"id":10396,"uris":["http://zotero.org/users/2506258/items/KBT55NX8"],"uri":["http://zotero.org/users/2506258/items/KBT55NX8"],"itemData":{"id":10396,"type":"book","title":"Conflict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 </w:instrText>
      </w:r>
      <w:r>
        <w:fldChar w:fldCharType="separate"/>
      </w:r>
      <w:r w:rsidRPr="006C2BC2">
        <w:rPr>
          <w:rFonts w:cs="Times New Roman"/>
          <w:szCs w:val="24"/>
        </w:rPr>
        <w:t xml:space="preserve">Boulding, </w:t>
      </w:r>
      <w:r w:rsidRPr="006C2BC2">
        <w:rPr>
          <w:rFonts w:cs="Times New Roman"/>
          <w:i/>
          <w:iCs/>
          <w:szCs w:val="24"/>
        </w:rPr>
        <w:t>Conflict and Defense</w:t>
      </w:r>
      <w:r w:rsidRPr="006C2BC2">
        <w:rPr>
          <w:rFonts w:cs="Times New Roman"/>
          <w:szCs w:val="24"/>
        </w:rPr>
        <w:t>.</w:t>
      </w:r>
      <w:r>
        <w:fldChar w:fldCharType="end"/>
      </w:r>
    </w:p>
  </w:footnote>
  <w:footnote w:id="54">
    <w:p w14:paraId="0F45546A" w14:textId="6239A8A9" w:rsidR="006C2BC2" w:rsidRDefault="006C2BC2">
      <w:pPr>
        <w:pStyle w:val="FootnoteText"/>
      </w:pPr>
      <w:r>
        <w:rPr>
          <w:rStyle w:val="FootnoteReference"/>
        </w:rPr>
        <w:footnoteRef/>
      </w:r>
      <w:r>
        <w:t xml:space="preserve"> </w:t>
      </w:r>
      <w:r>
        <w:fldChar w:fldCharType="begin"/>
      </w:r>
      <w:r>
        <w:instrText xml:space="preserve"> ADDIN ZOTERO_ITEM CSL_CITATION {"citationID":"a2p5p39j0lu","properties":{"formattedCitation":"\\uldash{Barry R.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R.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 R."}],"issued":{"date-parts":[["2003",7,1]]}}},{"id":19183,"uris":["http://zotero.org/users/2506258/items/YBB7BQ8Z"],"uri":["http://zotero.org/users/2506258/items/YBB7BQ8Z"],"itemData":{"id":19183,"type":"manuscript","title":"The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 </w:instrText>
      </w:r>
      <w:r>
        <w:fldChar w:fldCharType="separate"/>
      </w:r>
      <w:r w:rsidRPr="006C2BC2">
        <w:rPr>
          <w:rFonts w:cs="Times New Roman"/>
          <w:szCs w:val="24"/>
          <w:u w:val="dash"/>
        </w:rPr>
        <w:t xml:space="preserve">Barry R. Posen, “Command of the Commons: The Military Foundation of U.S. Hegemony,” </w:t>
      </w:r>
      <w:r w:rsidRPr="006C2BC2">
        <w:rPr>
          <w:rFonts w:cs="Times New Roman"/>
          <w:i/>
          <w:iCs/>
          <w:szCs w:val="24"/>
          <w:u w:val="dash"/>
        </w:rPr>
        <w:t>International Security</w:t>
      </w:r>
      <w:r w:rsidRPr="006C2BC2">
        <w:rPr>
          <w:rFonts w:cs="Times New Roman"/>
          <w:szCs w:val="24"/>
          <w:u w:val="dash"/>
        </w:rPr>
        <w:t xml:space="preserve"> 28, no. 1 (July 1, 2003): 5–46, https://doi.org/10.1162/016228803322427965; Erik Gartzke and Patrick </w:t>
      </w:r>
      <w:proofErr w:type="spellStart"/>
      <w:r w:rsidRPr="006C2BC2">
        <w:rPr>
          <w:rFonts w:cs="Times New Roman"/>
          <w:szCs w:val="24"/>
          <w:u w:val="dash"/>
        </w:rPr>
        <w:t>Hulme</w:t>
      </w:r>
      <w:proofErr w:type="spellEnd"/>
      <w:r w:rsidRPr="006C2BC2">
        <w:rPr>
          <w:rFonts w:cs="Times New Roman"/>
          <w:szCs w:val="24"/>
          <w:u w:val="dash"/>
        </w:rPr>
        <w:t>, “The Tyranny of Distance: Assessing and Explaining the Apparent Decline in U.S. Military Performance” (Manuscript, June 2019).</w:t>
      </w:r>
      <w:r>
        <w:fldChar w:fldCharType="end"/>
      </w:r>
    </w:p>
  </w:footnote>
  <w:footnote w:id="55">
    <w:p w14:paraId="0E6593CE" w14:textId="49B2D2E1" w:rsidR="006C2BC2" w:rsidRDefault="006C2BC2">
      <w:pPr>
        <w:pStyle w:val="FootnoteText"/>
      </w:pPr>
      <w:r>
        <w:rPr>
          <w:rStyle w:val="FootnoteReference"/>
        </w:rPr>
        <w:footnoteRef/>
      </w:r>
      <w:r>
        <w:t xml:space="preserve"> </w:t>
      </w:r>
      <w:r>
        <w:fldChar w:fldCharType="begin"/>
      </w:r>
      <w:r>
        <w:instrText xml:space="preserve"> ADDIN ZOTERO_ITEM CSL_CITATION {"citationID":"Nok5JPpd","properties":{"formattedCitation":"Julian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 </w:instrText>
      </w:r>
      <w:r>
        <w:fldChar w:fldCharType="separate"/>
      </w:r>
      <w:r w:rsidRPr="006C2BC2">
        <w:rPr>
          <w:rFonts w:cs="Times New Roman"/>
          <w:szCs w:val="24"/>
        </w:rPr>
        <w:t xml:space="preserve">Julian Corbett, </w:t>
      </w:r>
      <w:r w:rsidRPr="006C2BC2">
        <w:rPr>
          <w:rFonts w:cs="Times New Roman"/>
          <w:i/>
          <w:iCs/>
          <w:szCs w:val="24"/>
        </w:rPr>
        <w:t>Some Principles of Maritime Strategy</w:t>
      </w:r>
      <w:r w:rsidRPr="006C2BC2">
        <w:rPr>
          <w:rFonts w:cs="Times New Roman"/>
          <w:szCs w:val="24"/>
        </w:rPr>
        <w:t xml:space="preserve"> (Longmans, Green and Co., 1911); Norman Friedman, </w:t>
      </w:r>
      <w:r w:rsidRPr="006C2BC2">
        <w:rPr>
          <w:rFonts w:cs="Times New Roman"/>
          <w:i/>
          <w:iCs/>
          <w:szCs w:val="24"/>
        </w:rPr>
        <w:t>Seapower as Strategy: Navies and National Interests</w:t>
      </w:r>
      <w:r w:rsidRPr="006C2BC2">
        <w:rPr>
          <w:rFonts w:cs="Times New Roman"/>
          <w:szCs w:val="24"/>
        </w:rPr>
        <w:t xml:space="preserve"> (Naval Institute Press, 2001).</w:t>
      </w:r>
      <w:r>
        <w:fldChar w:fldCharType="end"/>
      </w:r>
    </w:p>
  </w:footnote>
  <w:footnote w:id="56">
    <w:p w14:paraId="6BF34E27" w14:textId="0D827347" w:rsidR="006C2BC2" w:rsidRDefault="006C2BC2">
      <w:pPr>
        <w:pStyle w:val="FootnoteText"/>
      </w:pPr>
      <w:r>
        <w:rPr>
          <w:rStyle w:val="FootnoteReference"/>
        </w:rPr>
        <w:footnoteRef/>
      </w:r>
      <w:r>
        <w:t xml:space="preserve"> </w:t>
      </w:r>
      <w:r>
        <w:fldChar w:fldCharType="begin"/>
      </w:r>
      <w:r>
        <w:instrText xml:space="preserve"> ADDIN ZOTERO_ITEM CSL_CITATION {"citationID":"A5AJSqEI","properties":{"formattedCitation":"Daehee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https://doi.org/10.1080/03050629.2017.1320995.","noteIndex":57},"citationItems":[{"id":14410,"uris":["http://zotero.org/users/2506258/items/XG4BQTL6"],"uri":["http://zotero.org/users/2506258/items/XG4BQTL6"],"itemData":{"id":14410,"type":"article-journal","title":"Alliance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fldChar w:fldCharType="separate"/>
      </w:r>
      <w:r w:rsidRPr="006C2BC2">
        <w:rPr>
          <w:rFonts w:cs="Times New Roman"/>
          <w:szCs w:val="24"/>
        </w:rPr>
        <w:t xml:space="preserve">Daehee Bak, “Alliance Proximity and Effectiveness of Extended Deterrence,” </w:t>
      </w:r>
      <w:r w:rsidRPr="006C2BC2">
        <w:rPr>
          <w:rFonts w:cs="Times New Roman"/>
          <w:i/>
          <w:iCs/>
          <w:szCs w:val="24"/>
        </w:rPr>
        <w:t>International Interactions</w:t>
      </w:r>
      <w:r w:rsidRPr="006C2BC2">
        <w:rPr>
          <w:rFonts w:cs="Times New Roman"/>
          <w:szCs w:val="24"/>
        </w:rPr>
        <w:t xml:space="preserve"> 44, no. 1 (January 2, 2018): 107–31, https://doi.org/10.1080/03050629.2017.1320995.</w:t>
      </w:r>
      <w:r>
        <w:fldChar w:fldCharType="end"/>
      </w:r>
    </w:p>
  </w:footnote>
  <w:footnote w:id="57">
    <w:p w14:paraId="02A23A70" w14:textId="7F60F7E6" w:rsidR="006C2BC2" w:rsidRDefault="006C2BC2">
      <w:pPr>
        <w:pStyle w:val="FootnoteText"/>
      </w:pPr>
      <w:r>
        <w:rPr>
          <w:rStyle w:val="FootnoteReference"/>
        </w:rPr>
        <w:footnoteRef/>
      </w:r>
      <w:r>
        <w:t xml:space="preserve"> </w:t>
      </w:r>
      <w:r>
        <w:fldChar w:fldCharType="begin"/>
      </w:r>
      <w:r>
        <w:instrText xml:space="preserve"> ADDIN ZOTERO_ITEM CSL_CITATION {"citationID":"RMY9HYRd","properties":{"formattedCitation":"Thomas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https://doi.org/10.1017/S0020818300035232.","noteIndex":58},"citationItems":[{"id":"I50fQzQx/FOZFYbfz","uris":["http://zotero.org/users/471208/items/6J3XQI4V"],"uri":["http://zotero.org/users/471208/items/6J3XQI4V"],"itemData":{"id":1325,"type":"article-journal","title":"Chain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fldChar w:fldCharType="separate"/>
      </w:r>
      <w:r w:rsidRPr="006C2BC2">
        <w:rPr>
          <w:rFonts w:cs="Times New Roman"/>
          <w:szCs w:val="24"/>
        </w:rPr>
        <w:t xml:space="preserve">Thomas J. Christensen and Jack Snyder, “Chain Gangs and Passed Bucks: Predicting Alliance Patterns in Multipolarity,” </w:t>
      </w:r>
      <w:r w:rsidRPr="006C2BC2">
        <w:rPr>
          <w:rFonts w:cs="Times New Roman"/>
          <w:i/>
          <w:iCs/>
          <w:szCs w:val="24"/>
        </w:rPr>
        <w:t>International Organization</w:t>
      </w:r>
      <w:r w:rsidRPr="006C2BC2">
        <w:rPr>
          <w:rFonts w:cs="Times New Roman"/>
          <w:szCs w:val="24"/>
        </w:rPr>
        <w:t xml:space="preserve"> 44, no. 02 (March 1990): 137–168, https://doi.org/10.1017/S0020818300035232.</w:t>
      </w:r>
      <w:r>
        <w:fldChar w:fldCharType="end"/>
      </w:r>
    </w:p>
  </w:footnote>
  <w:footnote w:id="58">
    <w:p w14:paraId="04DA4805" w14:textId="525661E4" w:rsidR="006C2BC2" w:rsidRDefault="006C2BC2">
      <w:pPr>
        <w:pStyle w:val="FootnoteText"/>
      </w:pPr>
      <w:r>
        <w:rPr>
          <w:rStyle w:val="FootnoteReference"/>
        </w:rPr>
        <w:footnoteRef/>
      </w:r>
      <w:r>
        <w:t xml:space="preserve"> </w:t>
      </w:r>
      <w:r>
        <w:fldChar w:fldCharType="begin"/>
      </w:r>
      <w:r>
        <w:instrText xml:space="preserve"> ADDIN ZOTERO_ITEM CSL_CITATION {"citationID":"1LVxKydv","properties":{"formattedCitation":"Matthew Fuhrmann, \\uc0\\u8220{}On Extended Nuclear Deterrence,\\uc0\\u8221{} {\\i{}Diplomacy &amp; Statecraft} 29, no. 1 (January 2, 2018): 51\\uc0\\u8211{}73, https://doi.org/10.1080/09592296.2017.1420526.","plainCitation":"Matthew Fuhrmann, “On Extended Nuclear Deterrence,” Diplomacy &amp; Statecraft 29, no. 1 (January 2, 2018): 51–73, https://doi.org/10.1080/09592296.2017.1420526.","noteIndex":59},"citationItems":[{"id":17783,"uris":["http://zotero.org/users/2506258/items/6R778F4P"],"uri":["http://zotero.org/users/2506258/items/6R778F4P"],"itemData":{"id":17783,"type":"article-journal","title":"On Extended Nuclear Deterrence","container-title":"Diplomacy &amp; Statecraft","page":"51-73","volume":"29","issue":"1","source":"Taylor and Francis+NEJM","abstract":"This analysis discusses the central challenges that countries face when they practice extended nuclear deterrence. One key problem has to do with credibility: potential aggressors may not believe that a country would fight to defend an ally, particularly if doing so risks a nuclear attack against its homeland. Countries might be able to address this issue by forging formal alliances with protégés or by stationing nuclear forces on the protégé’s territory. Do these measures discourage third-party aggression? Defence pacts involving nuclear-armed states effectively bolster extended deterrence. One risk of extending nuclear protection from the American perspective, however, is that it might pull the United States into unwanted wars by risk-acceptant protégés. Yet, in a nuclear context, the risk of alliance entrapment is generally overblown. Placing nuclear weapons on an ally’s territory does much less to bolster extended deterrence than one might initially think. Although foreign nuclear deployments may reassure allies and promote non-proliferation to some degree, their value for extended deterrence is fairly minimal. The United States continues to deploy nuclear weapons in five European countries, but the case for maintaining these deployments is decidedly weak.","DOI":"10.1080/09592296.2017.1420526","ISSN":"0959-2296","author":[{"family":"Fuhrmann","given":"Matthew"}],"issued":{"date-parts":[["2018",1,2]]}}}],"schema":"https://github.com/citation-style-language/schema/raw/master/csl-citation.json"} </w:instrText>
      </w:r>
      <w:r>
        <w:fldChar w:fldCharType="separate"/>
      </w:r>
      <w:r w:rsidRPr="006C2BC2">
        <w:rPr>
          <w:rFonts w:cs="Times New Roman"/>
          <w:szCs w:val="24"/>
        </w:rPr>
        <w:t xml:space="preserve">Matthew Fuhrmann, “On Extended Nuclear Deterrence,” </w:t>
      </w:r>
      <w:r w:rsidRPr="006C2BC2">
        <w:rPr>
          <w:rFonts w:cs="Times New Roman"/>
          <w:i/>
          <w:iCs/>
          <w:szCs w:val="24"/>
        </w:rPr>
        <w:t>Diplomacy &amp; Statecraft</w:t>
      </w:r>
      <w:r w:rsidRPr="006C2BC2">
        <w:rPr>
          <w:rFonts w:cs="Times New Roman"/>
          <w:szCs w:val="24"/>
        </w:rPr>
        <w:t xml:space="preserve"> 29, no. 1 (January 2, 2018): 51–73, https://doi.org/10.1080/09592296.2017.1420526.</w:t>
      </w:r>
      <w:r>
        <w:fldChar w:fldCharType="end"/>
      </w:r>
    </w:p>
  </w:footnote>
  <w:footnote w:id="59">
    <w:p w14:paraId="656275F0" w14:textId="6758648C" w:rsidR="006C2BC2" w:rsidRDefault="006C2BC2">
      <w:pPr>
        <w:pStyle w:val="FootnoteText"/>
      </w:pPr>
      <w:r>
        <w:rPr>
          <w:rStyle w:val="FootnoteReference"/>
        </w:rPr>
        <w:footnoteRef/>
      </w:r>
      <w:r>
        <w:t xml:space="preserve"> </w:t>
      </w:r>
      <w:r>
        <w:fldChar w:fldCharType="begin"/>
      </w:r>
      <w:r>
        <w:instrText xml:space="preserve"> ADDIN ZOTERO_ITEM CSL_CITATION {"citationID":"xWNHnvxj","properties":{"formattedCitation":"Justin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https://doi.org/10.1016/j.ejpoleco.2017.09.002.","noteIndex":60},"citationItems":[{"id":16295,"uris":["http://zotero.org/users/2506258/items/SMK2FVYZ"],"uri":["http://zotero.org/users/2506258/items/SMK2FVYZ"],"itemData":{"id":16295,"type":"article-journal","title":"Demand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fldChar w:fldCharType="separate"/>
      </w:r>
      <w:r w:rsidRPr="006C2BC2">
        <w:rPr>
          <w:rFonts w:cs="Times New Roman"/>
          <w:szCs w:val="24"/>
        </w:rPr>
        <w:t xml:space="preserve">Justin George and Todd Sandler, “Demand for Military Spending in NATO, 1968–2015: A Spatial Panel Approach,” </w:t>
      </w:r>
      <w:r w:rsidRPr="006C2BC2">
        <w:rPr>
          <w:rFonts w:cs="Times New Roman"/>
          <w:i/>
          <w:iCs/>
          <w:szCs w:val="24"/>
        </w:rPr>
        <w:t>European Journal of Political Economy</w:t>
      </w:r>
      <w:r w:rsidRPr="006C2BC2">
        <w:rPr>
          <w:rFonts w:cs="Times New Roman"/>
          <w:szCs w:val="24"/>
        </w:rPr>
        <w:t xml:space="preserve"> 53 (July 1, 2018): 222–36, https://doi.org/10.1016/j.ejpoleco.2017.09.002.</w:t>
      </w:r>
      <w:r>
        <w:fldChar w:fldCharType="end"/>
      </w:r>
    </w:p>
  </w:footnote>
  <w:footnote w:id="60">
    <w:p w14:paraId="79ED5F6C" w14:textId="7221F010" w:rsidR="006C2BC2" w:rsidRDefault="006C2BC2">
      <w:pPr>
        <w:pStyle w:val="FootnoteText"/>
      </w:pPr>
      <w:r>
        <w:rPr>
          <w:rStyle w:val="FootnoteReference"/>
        </w:rPr>
        <w:footnoteRef/>
      </w:r>
      <w:r>
        <w:t xml:space="preserve"> </w:t>
      </w:r>
      <w:r>
        <w:fldChar w:fldCharType="begin"/>
      </w:r>
      <w:r>
        <w:instrText xml:space="preserve"> ADDIN ZOTERO_ITEM CSL_CITATION {"citationID":"sJQmbi67","properties":{"formattedCitation":"Timo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https://doi.org/10.1057/9781137330307_14.","noteIndex":61},"citationItems":[{"id":15176,"uris":["http://zotero.org/users/2506258/items/FD7JMWZE"],"uri":["http://zotero.org/users/2506258/items/FD7JMWZE"],"itemData":{"id":15176,"type":"article-journal","title":"NATO's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fldChar w:fldCharType="separate"/>
      </w:r>
      <w:r w:rsidRPr="006C2BC2">
        <w:rPr>
          <w:rFonts w:cs="Times New Roman"/>
          <w:szCs w:val="24"/>
        </w:rPr>
        <w:t xml:space="preserve">Timo Noetzel and Benjamin Schreer, “NATO’s Vietnam? Afghanistan and the Future of the Atlantic Alliance,” </w:t>
      </w:r>
      <w:r w:rsidRPr="006C2BC2">
        <w:rPr>
          <w:rFonts w:cs="Times New Roman"/>
          <w:i/>
          <w:iCs/>
          <w:szCs w:val="24"/>
        </w:rPr>
        <w:t>Contemporary Security Policy</w:t>
      </w:r>
      <w:r w:rsidRPr="006C2BC2">
        <w:rPr>
          <w:rFonts w:cs="Times New Roman"/>
          <w:szCs w:val="24"/>
        </w:rPr>
        <w:t xml:space="preserve"> 30, no. 3 (December 1, 2009): 529–47, https://doi.org/10.1080/13523260903327618; Janne Haaland Matláry, “Partners versus Members? NATO as an Arena for Coalitions,” in </w:t>
      </w:r>
      <w:r w:rsidRPr="006C2BC2">
        <w:rPr>
          <w:rFonts w:cs="Times New Roman"/>
          <w:i/>
          <w:iCs/>
          <w:szCs w:val="24"/>
        </w:rPr>
        <w:t>NATO’s Post-Cold War Politics: The Changing Provision of Security</w:t>
      </w:r>
      <w:r w:rsidRPr="006C2BC2">
        <w:rPr>
          <w:rFonts w:cs="Times New Roman"/>
          <w:szCs w:val="24"/>
        </w:rPr>
        <w:t>, ed. Sebastian Mayer, New Security Challenges Series (London: Palgrave Macmillan UK, 2014), 251–66, https://doi.org/10.1057/9781137330307_14.</w:t>
      </w:r>
      <w:r>
        <w:fldChar w:fldCharType="end"/>
      </w:r>
    </w:p>
  </w:footnote>
  <w:footnote w:id="61">
    <w:p w14:paraId="678513B2" w14:textId="762397DF" w:rsidR="006C2BC2" w:rsidRDefault="006C2BC2">
      <w:pPr>
        <w:pStyle w:val="FootnoteText"/>
      </w:pPr>
      <w:r>
        <w:rPr>
          <w:rStyle w:val="FootnoteReference"/>
        </w:rPr>
        <w:footnoteRef/>
      </w:r>
      <w:r>
        <w:t xml:space="preserve"> </w:t>
      </w:r>
      <w:r>
        <w:fldChar w:fldCharType="begin"/>
      </w:r>
      <w:r>
        <w:instrText xml:space="preserve"> ADDIN ZOTERO_ITEM CSL_CITATION {"citationID":"SxS43Jei","properties":{"formattedCitation":"Daniel W.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W. Drezner, “The Global Governance of the Internet: Bringing the State Back In,” Political Science Quarterly 119, no. 3 (2004): 477–98, https://doi.org/10.2307/20202392; Jack Goldsmith and Tim Wu, Who Controls the Internet?: Illusions of a Borderless World (Oxford University Press, 2006).","noteIndex":62},"citationItems":[{"id":17781,"uris":["http://zotero.org/users/2506258/items/IRQ4SVU4"],"uri":["http://zotero.org/users/2506258/items/IRQ4SVU4"],"itemData":{"id":17781,"type":"article-journal","title":"The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 W."}],"issued":{"date-parts":[["2004"]]}}},{"id":17782,"uris":["http://zotero.org/users/2506258/items/UZUT7MSP"],"uri":["http://zotero.org/users/2506258/items/UZUT7MSP"],"itemData":{"id":17782,"type":"book","title":"Who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r>
        <w:fldChar w:fldCharType="separate"/>
      </w:r>
      <w:r w:rsidRPr="006C2BC2">
        <w:rPr>
          <w:rFonts w:cs="Times New Roman"/>
          <w:szCs w:val="24"/>
        </w:rPr>
        <w:t xml:space="preserve">Daniel W. Drezner, “The Global Governance of the Internet: Bringing the State Back In,” </w:t>
      </w:r>
      <w:r w:rsidRPr="006C2BC2">
        <w:rPr>
          <w:rFonts w:cs="Times New Roman"/>
          <w:i/>
          <w:iCs/>
          <w:szCs w:val="24"/>
        </w:rPr>
        <w:t>Political Science Quarterly</w:t>
      </w:r>
      <w:r w:rsidRPr="006C2BC2">
        <w:rPr>
          <w:rFonts w:cs="Times New Roman"/>
          <w:szCs w:val="24"/>
        </w:rPr>
        <w:t xml:space="preserve"> 119, no. 3 (2004): 477–98, https://doi.org/10.2307/20202392; Jack Goldsmith and Tim Wu, </w:t>
      </w:r>
      <w:r w:rsidRPr="006C2BC2">
        <w:rPr>
          <w:rFonts w:cs="Times New Roman"/>
          <w:i/>
          <w:iCs/>
          <w:szCs w:val="24"/>
        </w:rPr>
        <w:t>Who Controls the Internet?: Illusions of a Borderless World</w:t>
      </w:r>
      <w:r w:rsidRPr="006C2BC2">
        <w:rPr>
          <w:rFonts w:cs="Times New Roman"/>
          <w:szCs w:val="24"/>
        </w:rPr>
        <w:t xml:space="preserve"> (Oxford University Press, 2006).</w:t>
      </w:r>
      <w:r>
        <w:fldChar w:fldCharType="end"/>
      </w:r>
    </w:p>
  </w:footnote>
  <w:footnote w:id="62">
    <w:p w14:paraId="618B5F50" w14:textId="32F81965" w:rsidR="006C2BC2" w:rsidRDefault="006C2BC2">
      <w:pPr>
        <w:pStyle w:val="FootnoteText"/>
      </w:pPr>
      <w:r>
        <w:rPr>
          <w:rStyle w:val="FootnoteReference"/>
        </w:rPr>
        <w:footnoteRef/>
      </w:r>
      <w:r>
        <w:t xml:space="preserve"> </w:t>
      </w:r>
      <w:r>
        <w:fldChar w:fldCharType="begin"/>
      </w:r>
      <w:r>
        <w:instrText xml:space="preserve"> ADDIN ZOTERO_ITEM CSL_CITATION {"citationID":"2t3Kt227","properties":{"formattedCitation":"Mark Raymond, \\uc0\\u8220{}Puncturing the Myth of the Internet as a Commons,\\uc0\\u8221{} 2013; Jesse H. Sowell, \\uc0\\u8220{}Finding Order in a Contentious Internet\\uc0\\u8221{} (Thesis, Massachusetts Institute of Technology, 2015), http://dspace.mit.edu/handle/1721.1/97324; Jon R. Lindsay, \\uc0\\u8220{}Restrained by Design: The Political Economy of Cybersecurity,\\uc0\\u8221{} {\\i{}Digital Policy, Regulation and Governance} 19, no. 6 (July 26, 2017): 493\\uc0\\u8211{}514, https://doi.org/10.1108/DPRG-05-2017-0023; Jordan Branch, \\uc0\\u8220{}Spatial Metaphors and the Territorialization of Cybersecurity\\uc0\\u8221{} (International Studies Association Annual Conference, San Francisco, CA, 2018).","plainCitation":"Mark Raymond, “Puncturing the Myth of the Internet as a Commons,” 2013; Jesse H. Sowell, “Finding Order in a Contentious Internet” (Thesis, Massachusetts Institute of Technology, 2015), http://dspace.mit.edu/handle/1721.1/97324; Jon R. Lindsay, “Restrained by Design: The Political Economy of Cybersecurity,” Digital Policy, Regulation and Governance 19, no. 6 (July 26, 2017): 493–514, https://doi.org/10.1108/DPRG-05-2017-0023; Jordan Branch, “Spatial Metaphors and the Territorialization of Cybersecurity” (International Studies Association Annual Conference, San Francisco, CA, 2018).","noteIndex":63},"citationItems":[{"id":17780,"uris":["http://zotero.org/users/2506258/items/4BJMP2N9"],"uri":["http://zotero.org/users/2506258/items/4BJMP2N9"],"itemData":{"id":17780,"type":"paper-conference","title":"Puncturing the Myth of the Internet as a Commons","source":"Semantic Scholar","abstract":"The notion that the Internet is a commons has gone viral. It features prominently in military thinking, including a 2011 report issued by the North Atlantic Treaty Organization (NATO). It is also prevalent in journalistic thinking, in regards to the challenges of Internet governance; two recent examples from prominent news outlets illustrate the point. Bill Davidow wrote an article entitled “The Tragedy of the Internet Commons” for The Atlantic in May 2012. Dominic Basulto wrote a blog entry for the Washington Post entitled “The ‘Doomsday’ Virus and the Tragedy of the Internet Commons” in July 2012. The notion of the Internet as a commons is also evident in the thinking of Internet activists and evangelists, perhaps most notably in the declaration of the Internet Society that “the Internet is for everyone.” Unfortunately, like many things that go viral, the idea of an Internet commons is also misleading. In its first section, this article will argue that the Internet does not possess key features associated with a commons, a concept drawn from the economics literature on the provision of public goods. The article will also assert that Internet commons arguments conflate a variety of issues with the core policy problem associated with commons management: the prevention of Mark Raymond is a Research Fellow at the Centre for International Governance Innovation and has taught international relations at the University of Toronto and the University of Waterloo. He holds a Ph.D. in political science from the University of Toronto.","author":[{"family":"Raymond","given":"Mark"}],"issued":{"date-parts":[["2013"]]}}},{"id":17779,"uris":["http://zotero.org/users/2506258/items/9DCKPS52"],"uri":["http://zotero.org/users/2506258/items/9DCKPS52"],"itemData":{"id":17779,"type":"thesis","title":"Finding order in a contentious Internet","publisher":"Massachusetts Institute of Technology","genre":"Thesis","source":"dspace.mit.edu","abstract":"This inquiry started with the simple question, \"Who manages the Internet infrastructure and how?\" Since, this question evolved into an evaluation of the routing system and the institutions that manage it. This institutional complex is referred to as the number resource system (NRS). NRS authority is contingent, rooted in consensus based knowledge assessment necessary to adapt apace with Internet growth. The efficiency with which observable negative externalities are remediated is a compelling entry point to this work. The Pakistan-YouTube story is a halcyon parable of \"self-repair.\" Network operators recognized a global negative externality, traced it to the origin, and remediated the complicit networks in approximately three hours. To the casual observer, organic cooperation surfaced to remediate damages, then dissolved into the background noise of \"normal operations.\" Remediation is far from organic; rather, it is a consequence of distinct rights and obligations amongst, and enforced by, NRS participants. Explaining the rationale and mechanics of \"ad hoc\" crisis management is the first contribution of this work. The early NRS comprised \"close-knit yet loosely organized\" communities created to 1) share operational knowledge (network operator groups, NOGs); 2) delegate unique network identifiers (Regional Internet Registries, RIRs); 3) create neutral markets for exchanging routes and traffic (Internet eXchanges, IXes); and 4) limit abusive messaging (anti-spam, later anti-abuse). Alongside Internet growth, NRS norms evolved into distinct institutions, replete with function-specific constitutional, collective choice, and operational rules for managing the knowledge commons and facilities supporting routing system function. The NRS institutions form a contingent social order, rooted in shared, authoritative images of system function and externalities management. NRS institutions collectively ensure participants common interests in the jointly provisioned routing system stability. The second contribution of this work explains NRS institutional structures and how the attendant rules keep pace with a high clockspeed Internet infrastructure. NRS institutions are characteristically, and necessarily, adaptive: each comprises a unique consensus process, animated by a diverse set of nominal competitors, that creates and adapts function-specific rules and processes contributing to routing system integrity. Consensus processes evaluate the performance of common resource management rules and, when-not if-necessary, adapt these rules to satisfy changing resource demands and patterns of use in the broader Internet infrastructure industry. Anticipation and evaluation in the consensus process are essential to adaptive capability, framed as a form of joint knowledge assessment. Moreover, diverse representation, comprising experts across industry sub-sectors, animated by constructive conflict amongst these experts, mediated by consensus processes, makes for a durable family of credible knowledge assessment processes that are rare amongst conventional regulatory arrangements. Processes described thus far are largely endogenous to the NRS and its constituencies. Historically these institutions have operated quietly underneath the hood. Adaptation and the resulting policy is scoped to common interests, explicitly avoiding impinging on public policy. In contrast to conventional international regimes, the NRS self-limits to the scope of its authority, namely supporting and enhancing routing system function. Thus far, the NRS's common interests have not run counter to the public interest. Nonetheless, a path-dependent history of harmonious alignment between a common and the public does not carry the assurances of alignment resulting from explicit coordination and cooperation. Some states and state-sanctioned international governance organizations see control of NRS facilities as critical to preserving their own authority. Predatory claims to stewardship of routing system resources further complicates the alignment problem. To better frame and understand this alignment problem, the concluding chapters of the dissertation explore the question: 'Are the incentives and resources of NRS institutions commensurate with the aggregate social loss due to a partial, or worse yet, systemic, failure?\" Simply put, absent the progress on the explicit assurances above, the answer is no. Would-be state principals also fall short. State-based authorities are severely deficient in basic operational capacity that form the foundation of knowledge assessment capabilities and subsequent adaptive capabilities in the NRS. States' deficiencies correspond to those capabilities engendered by the NRS. Adding NRS stewardship to a state's portfolio of domestic regulatory interests will expose management processes to powerful short-term interests that will inevitably weaken, if not eliminate, extant credible knowledge assessment and adaptive capabilities. In effect, aggressive predatory rule would likely eliminate precisely the characteristics that make the NRS a valuable steward of a high clockspeed infrastructure. This initial conclusion is not a prediction of adaptive management doomed to failure. Although neither the NRS, nor state authorities, have sufficient capabilities and modes of authority to manage an Internet underpinning an ever-increasing array of public, private, and social goods on their own, a mix of their capabilities is sufficient. Rather, the conclusion frames a discussion of what explicit assurances will look like and the barriers to developing those assurances. The last part of this dissertation lays out the challenges for establishing such a comity, a mutual recognition of the norms and authority between the NRS and state authorities. In the global political arena, the NRS's political capital is credible knowledge assessment and adaptive capacity as the roots of authoritative policy advice. Barriers to explicit assurances draw lessons from the deconstruction and reconstruction of scientific knowledge in political environments, instances of international epistemic consensus, and characteristics of elusive, but effective, adaptation that has survived in conventional regulatory environments. Analytically, the dissertation argues the NRS and state authority need not be competitors-the two can be quite complementary. If these two sets of institutions can avoid the pitfalls of previous efforts, in particular short-term usurpation of the others' authority, the global, nondiscriminatory character of the Internet may be sustainable.","URL":"http://dspace.mit.edu/handle/1721.1/97324","language":"eng","author":[{"family":"Sowell","given":"Jesse H."}],"issued":{"date-parts":[["2015"]]},"accessed":{"date-parts":[["2019",2,3]]}}},{"id":10499,"uris":["http://zotero.org/users/2506258/items/TYWIER4D"],"uri":["http://zotero.org/users/2506258/items/TYWIER4D"],"itemData":{"id":10499,"type":"article-journal","title":"Restrained by design: the political economy of cybersecurity","container-title":"Digital Policy, Regulation and Governance","page":"493-514","volume":"19","issue":"6","source":"emeraldinsight.com (Atypon)","DOI":"10.1108/DPRG-05-2017-0023","ISSN":"2398-5038","title-short":"Restrained by design","journalAbbreviation":"Digital Policy, Regulation and Governance","author":[{"family":"Lindsay","given":"Jon R."}],"issued":{"date-parts":[["2017",7,26]]}}},{"id":17737,"uris":["http://zotero.org/users/2506258/items/RAL7KRDP"],"uri":["http://zotero.org/users/2506258/items/RAL7KRDP"],"itemData":{"id":17737,"type":"paper-conference","title":"Spatial Metaphors and the Territorialization of Cybersecurity","publisher-place":"San Francisco, CA","event":"International Studies Association Annual Conference","event-place":"San Francisco, CA","author":[{"family":"Branch","given":"Jordan"}],"issued":{"date-parts":[["2018"]]}}}],"schema":"https://github.com/citation-style-language/schema/raw/master/csl-citation.json"} </w:instrText>
      </w:r>
      <w:r>
        <w:fldChar w:fldCharType="separate"/>
      </w:r>
      <w:r w:rsidRPr="006C2BC2">
        <w:rPr>
          <w:rFonts w:cs="Times New Roman"/>
          <w:szCs w:val="24"/>
        </w:rPr>
        <w:t xml:space="preserve">Mark Raymond, “Puncturing the Myth of the Internet as a Commons,” 2013; Jesse H. Sowell, “Finding Order in a Contentious Internet” (Thesis, Massachusetts Institute of Technology, 2015), http://dspace.mit.edu/handle/1721.1/97324; Jon R. Lindsay, “Restrained by Design: The Political Economy of Cybersecurity,” </w:t>
      </w:r>
      <w:r w:rsidRPr="006C2BC2">
        <w:rPr>
          <w:rFonts w:cs="Times New Roman"/>
          <w:i/>
          <w:iCs/>
          <w:szCs w:val="24"/>
        </w:rPr>
        <w:t>Digital Policy, Regulation and Governance</w:t>
      </w:r>
      <w:r w:rsidRPr="006C2BC2">
        <w:rPr>
          <w:rFonts w:cs="Times New Roman"/>
          <w:szCs w:val="24"/>
        </w:rPr>
        <w:t xml:space="preserve"> 19, no. 6 (July 26, 2017): 493–514, https://doi.org/10.1108/DPRG-05-2017-0023; Jordan Branch, “Spatial Metaphors and the Territorialization of Cybersecurity” (International Studies Association Annual Conference, San Francisco, CA, 2018).</w:t>
      </w:r>
      <w:r>
        <w:fldChar w:fldCharType="end"/>
      </w:r>
    </w:p>
  </w:footnote>
  <w:footnote w:id="63">
    <w:p w14:paraId="02B79BC6" w14:textId="17A4026A" w:rsidR="006C2BC2" w:rsidRDefault="006C2BC2">
      <w:pPr>
        <w:pStyle w:val="FootnoteText"/>
      </w:pPr>
      <w:r>
        <w:rPr>
          <w:rStyle w:val="FootnoteReference"/>
        </w:rPr>
        <w:footnoteRef/>
      </w:r>
      <w:r>
        <w:t xml:space="preserve"> </w:t>
      </w:r>
      <w:r>
        <w:fldChar w:fldCharType="begin"/>
      </w:r>
      <w:r>
        <w:instrText xml:space="preserve"> 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347–60.","noteIndex":64},"citationItems":[{"id":"I50fQzQx/sTcCDXcP","uris":["http://zotero.org/users/471208/items/WSVEGB3T"],"uri":["http://zotero.org/users/471208/items/WSVEGB3T"],"itemData":{"id":1299,"type":"article-journal","title":"The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separate"/>
      </w:r>
      <w:r w:rsidRPr="006C2BC2">
        <w:rPr>
          <w:rFonts w:cs="Times New Roman"/>
          <w:szCs w:val="24"/>
        </w:rPr>
        <w:t xml:space="preserve">Brandon Valeriano and Ryan Maness, “The Dynamics of Cyber Conflict between Rival Antagonists, 2001-2011,” </w:t>
      </w:r>
      <w:r w:rsidRPr="006C2BC2">
        <w:rPr>
          <w:rFonts w:cs="Times New Roman"/>
          <w:i/>
          <w:iCs/>
          <w:szCs w:val="24"/>
        </w:rPr>
        <w:t>Journal of Peace Research</w:t>
      </w:r>
      <w:r w:rsidRPr="006C2BC2">
        <w:rPr>
          <w:rFonts w:cs="Times New Roman"/>
          <w:szCs w:val="24"/>
        </w:rPr>
        <w:t xml:space="preserve"> 51, no. 3 (May 2014): 347–60.</w:t>
      </w:r>
      <w:r>
        <w:fldChar w:fldCharType="end"/>
      </w:r>
    </w:p>
  </w:footnote>
  <w:footnote w:id="64">
    <w:p w14:paraId="03F4362C" w14:textId="7B15A469" w:rsidR="006C2BC2" w:rsidRDefault="006C2BC2">
      <w:pPr>
        <w:pStyle w:val="FootnoteText"/>
      </w:pPr>
      <w:r>
        <w:rPr>
          <w:rStyle w:val="FootnoteReference"/>
        </w:rPr>
        <w:footnoteRef/>
      </w:r>
      <w:r>
        <w:t xml:space="preserve"> </w:t>
      </w:r>
      <w:r>
        <w:fldChar w:fldCharType="begin"/>
      </w:r>
      <w:r>
        <w:instrText xml:space="preserve"> ADDIN ZOTERO_ITEM CSL_CITATION {"citationID":"AxMwP4j8","properties":{"formattedCitation":"Jacquelyn Schneider, {\\i{}The Information Revolution and International Stability: A Multi-Article Exploration of Computing, Cyber, and Incentives for Conflict} (ProQuest LLC, 2017).","plainCitation":"Jacquelyn Schneider, The Information Revolution and International Stability: A Multi-Article Exploration of Computing, Cyber, and Incentives for Conflict (ProQuest LLC, 2017).","noteIndex":65},"citationItems":[{"id":17812,"uris":["http://zotero.org/users/2506258/items/M2ZQ8MUD"],"uri":["http://zotero.org/users/2506258/items/M2ZQ8MUD"],"itemData":{"id":17812,"type":"book","title":"The Information Revolution and International Stability: A Multi-Article Exploration of Computing, Cyber, and Incentives for Conflict","publisher":"ProQuest LLC","source":"ERIC","abstract":"Over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http://www.proquest.com/en-US/products/dissertations/individuals.shtml.]","ISBN":"978-1-369-68445-2","title-short":"The Information Revolution and International Stability","language":"en","author":[{"family":"Schneider","given":"Jacquelyn"}],"issued":{"date-parts":[["2017"]]},"accessed":{"date-parts":[["2019",2,4]]}}}],"schema":"https://github.com/citation-style-language/schema/raw/master/csl-citation.json"} </w:instrText>
      </w:r>
      <w:r>
        <w:fldChar w:fldCharType="separate"/>
      </w:r>
      <w:r w:rsidRPr="006C2BC2">
        <w:rPr>
          <w:rFonts w:cs="Times New Roman"/>
          <w:szCs w:val="24"/>
        </w:rPr>
        <w:t xml:space="preserve">Jacquelyn Schneider, </w:t>
      </w:r>
      <w:r w:rsidRPr="006C2BC2">
        <w:rPr>
          <w:rFonts w:cs="Times New Roman"/>
          <w:i/>
          <w:iCs/>
          <w:szCs w:val="24"/>
        </w:rPr>
        <w:t>The Information Revolution and International Stability: A Multi-Article Exploration of Computing, Cyber, and Incentives for Conflict</w:t>
      </w:r>
      <w:r w:rsidRPr="006C2BC2">
        <w:rPr>
          <w:rFonts w:cs="Times New Roman"/>
          <w:szCs w:val="24"/>
        </w:rPr>
        <w:t xml:space="preserve"> (ProQuest LLC, 2017).</w:t>
      </w:r>
      <w:r>
        <w:fldChar w:fldCharType="end"/>
      </w:r>
    </w:p>
  </w:footnote>
  <w:footnote w:id="65">
    <w:p w14:paraId="2761D728" w14:textId="094F14D9" w:rsidR="006C2BC2" w:rsidRDefault="006C2BC2">
      <w:pPr>
        <w:pStyle w:val="FootnoteText"/>
      </w:pPr>
      <w:r>
        <w:rPr>
          <w:rStyle w:val="FootnoteReference"/>
        </w:rPr>
        <w:footnoteRef/>
      </w:r>
      <w:r>
        <w:t xml:space="preserve"> </w:t>
      </w:r>
      <w:r>
        <w:fldChar w:fldCharType="begin"/>
      </w:r>
      <w:r>
        <w:instrText xml:space="preserve"> ADDIN ZOTERO_ITEM CSL_CITATION {"citationID":"uik8bbCR","properties":{"formattedCitation":"Corbett, {\\i{}Some Principles of Maritime Strategy}.","plainCitation":"Corbett, Some Principles of Maritime Strategy.","noteIndex":66},"citationItems":[{"id":16092,"uris":["http://zotero.org/users/2506258/items/PBRBCXCX"],"uri":["http://zotero.org/users/2506258/items/PBRBCXCX"],"itemData":{"id":16092,"type":"book","title":"Some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 </w:instrText>
      </w:r>
      <w:r>
        <w:fldChar w:fldCharType="separate"/>
      </w:r>
      <w:r w:rsidRPr="006C2BC2">
        <w:rPr>
          <w:rFonts w:cs="Times New Roman"/>
          <w:szCs w:val="24"/>
        </w:rPr>
        <w:t xml:space="preserve">Corbett, </w:t>
      </w:r>
      <w:r w:rsidRPr="006C2BC2">
        <w:rPr>
          <w:rFonts w:cs="Times New Roman"/>
          <w:i/>
          <w:iCs/>
          <w:szCs w:val="24"/>
        </w:rPr>
        <w:t>Some Principles of Maritime Strategy</w:t>
      </w:r>
      <w:r w:rsidRPr="006C2BC2">
        <w:rPr>
          <w:rFonts w:cs="Times New Roman"/>
          <w:szCs w:val="24"/>
        </w:rPr>
        <w:t>.</w:t>
      </w:r>
      <w:r>
        <w:fldChar w:fldCharType="end"/>
      </w:r>
    </w:p>
  </w:footnote>
  <w:footnote w:id="66">
    <w:p w14:paraId="2B6F87F2" w14:textId="32310908" w:rsidR="006C2BC2" w:rsidRDefault="006C2BC2">
      <w:pPr>
        <w:pStyle w:val="FootnoteText"/>
      </w:pPr>
      <w:r>
        <w:rPr>
          <w:rStyle w:val="FootnoteReference"/>
        </w:rPr>
        <w:footnoteRef/>
      </w:r>
      <w:r>
        <w:t xml:space="preserve"> </w:t>
      </w:r>
      <w:r>
        <w:fldChar w:fldCharType="begin"/>
      </w:r>
      <w:r>
        <w:instrText xml:space="preserve"> ADDIN ZOTERO_ITEM CSL_CITATION {"citationID":"EWQEuzY6","properties":{"formattedCitation":"Valeriano and Maness, \\uc0\\u8220{}The Dynamics of Cyber Conflict between Rival Antagonists, 2001-2011.\\uc0\\u8221{}","plainCitation":"Valeriano and Maness, “The Dynamics of Cyber Conflict between Rival Antagonists, 2001-2011.”","noteIndex":67},"citationItems":[{"id":"I50fQzQx/sTcCDXcP","uris":["http://zotero.org/users/471208/items/WSVEGB3T"],"uri":["http://zotero.org/users/471208/items/WSVEGB3T"],"itemData":{"id":"I50fQzQx/sTcCDXcP","type":"article-journal","title":"The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separate"/>
      </w:r>
      <w:r w:rsidRPr="006C2BC2">
        <w:rPr>
          <w:rFonts w:cs="Times New Roman"/>
          <w:szCs w:val="24"/>
        </w:rPr>
        <w:t>Valeriano and Maness, “The Dynamics of Cyber Conflict between Rival Antagonists, 2001-2011.”</w:t>
      </w:r>
      <w:r>
        <w:fldChar w:fldCharType="end"/>
      </w:r>
    </w:p>
  </w:footnote>
  <w:footnote w:id="67">
    <w:p w14:paraId="15B0EE50" w14:textId="39E97F66" w:rsidR="006C2BC2" w:rsidRDefault="006C2BC2">
      <w:pPr>
        <w:pStyle w:val="FootnoteText"/>
      </w:pPr>
      <w:r>
        <w:rPr>
          <w:rStyle w:val="FootnoteReference"/>
        </w:rPr>
        <w:footnoteRef/>
      </w:r>
      <w:r>
        <w:t xml:space="preserve"> </w:t>
      </w:r>
      <w:r>
        <w:fldChar w:fldCharType="begin"/>
      </w:r>
      <w:r>
        <w:instrText xml:space="preserve"> ADDIN ZOTERO_ITEM CSL_CITATION {"citationID":"WvaLz6tR","properties":{"formattedCitation":"Jon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https://doi.org/10.1162/ISEC_a_00267.","noteIndex":68},"citationItems":[{"id":791,"uris":["http://zotero.org/users/2506258/items/G75B9TFI"],"uri":["http://zotero.org/users/2506258/items/G75B9TFI"],"itemData":{"id":791,"type":"article-journal","title":"Reinventing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r>
        <w:fldChar w:fldCharType="separate"/>
      </w:r>
      <w:r w:rsidRPr="006C2BC2">
        <w:rPr>
          <w:rFonts w:cs="Times New Roman"/>
          <w:szCs w:val="24"/>
        </w:rPr>
        <w:t xml:space="preserve">Jon R. Lindsay, “Reinventing the Revolution: Technological Visions, Counterinsurgent Criticism, and the Rise of Special Operations,” </w:t>
      </w:r>
      <w:r w:rsidRPr="006C2BC2">
        <w:rPr>
          <w:rFonts w:cs="Times New Roman"/>
          <w:i/>
          <w:iCs/>
          <w:szCs w:val="24"/>
        </w:rPr>
        <w:t>Journal of Strategic Studies</w:t>
      </w:r>
      <w:r w:rsidRPr="006C2BC2">
        <w:rPr>
          <w:rFonts w:cs="Times New Roman"/>
          <w:szCs w:val="24"/>
        </w:rPr>
        <w:t xml:space="preserve"> 36, no. 3 (June 1, 2013): 422–53, https://doi.org/10.1080/01402390.2012.734252; Erik Gartzke and Jon R. Lindsay, “Weaving Tangled Webs: Offense, Defense, and Deception in Cyberspace,” </w:t>
      </w:r>
      <w:r w:rsidRPr="006C2BC2">
        <w:rPr>
          <w:rFonts w:cs="Times New Roman"/>
          <w:i/>
          <w:iCs/>
          <w:szCs w:val="24"/>
        </w:rPr>
        <w:t>Security Studies</w:t>
      </w:r>
      <w:r w:rsidRPr="006C2BC2">
        <w:rPr>
          <w:rFonts w:cs="Times New Roman"/>
          <w:szCs w:val="24"/>
        </w:rPr>
        <w:t xml:space="preserve"> 24, no. 2 (April 3, 2015): 316–48, https://doi.org/10.1080/09636412.2015.1038188; Ben Buchanan, </w:t>
      </w:r>
      <w:r w:rsidRPr="006C2BC2">
        <w:rPr>
          <w:rFonts w:cs="Times New Roman"/>
          <w:i/>
          <w:iCs/>
          <w:szCs w:val="24"/>
        </w:rPr>
        <w:t>The Cybersecurity Dilemma: Hacking, Trust, and Fear Between Nations</w:t>
      </w:r>
      <w:r w:rsidRPr="006C2BC2">
        <w:rPr>
          <w:rFonts w:cs="Times New Roman"/>
          <w:szCs w:val="24"/>
        </w:rPr>
        <w:t xml:space="preserve"> (Oxford University Press, 2016); Rebecca Slayton, “What Is the Cyber Offense-Defense Balance? Conceptions, Causes, and Assessment,” </w:t>
      </w:r>
      <w:r w:rsidRPr="006C2BC2">
        <w:rPr>
          <w:rFonts w:cs="Times New Roman"/>
          <w:i/>
          <w:iCs/>
          <w:szCs w:val="24"/>
        </w:rPr>
        <w:t>International Security</w:t>
      </w:r>
      <w:r w:rsidRPr="006C2BC2">
        <w:rPr>
          <w:rFonts w:cs="Times New Roman"/>
          <w:szCs w:val="24"/>
        </w:rPr>
        <w:t xml:space="preserve"> 41, no. 3 (January 1, 2017): 72–109, https://doi.org/10.1162/ISEC_a_00267.</w:t>
      </w:r>
      <w:r>
        <w:fldChar w:fldCharType="end"/>
      </w:r>
    </w:p>
  </w:footnote>
  <w:footnote w:id="68">
    <w:p w14:paraId="572B47D1" w14:textId="41613366" w:rsidR="006C2BC2" w:rsidRDefault="006C2BC2">
      <w:pPr>
        <w:pStyle w:val="FootnoteText"/>
      </w:pPr>
      <w:r>
        <w:rPr>
          <w:rStyle w:val="FootnoteReference"/>
        </w:rPr>
        <w:footnoteRef/>
      </w:r>
      <w:r>
        <w:t xml:space="preserve"> </w:t>
      </w:r>
      <w:r>
        <w:fldChar w:fldCharType="begin"/>
      </w:r>
      <w:r>
        <w:instrText xml:space="preserve"> ADDIN ZOTERO_ITEM CSL_CITATION {"citationID":"XsRPrREj","properties":{"formattedCitation":"Erik Gartzke, \\uc0\\u8220{}The Myth of Cyberwar: Bringing War in Cyberspace Back Down to Earth,\\uc0\\u8221{} {\\i{}International Security} 38, no. 2 (October 1, 2013): 41\\uc0\\u8211{}73, https://doi.org/10.1162/ISEC_a_00136; Gartzke and Lindsay, \\uc0\\u8220{}Weaving Tangled Webs\\uc0\\u8221{}; Erica D. Borghard and Shawn W.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D. Borghard and Shawn W.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2019).","noteIndex":69},"citationItems":[{"id":17741,"uris":["http://zotero.org/users/2506258/items/I4F2QI9R"],"uri":["http://zotero.org/users/2506258/items/I4F2QI9R"],"itemData":{"id":17741,"type":"article-journal","title":"The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fldChar w:fldCharType="separate"/>
      </w:r>
      <w:r w:rsidRPr="006C2BC2">
        <w:rPr>
          <w:rFonts w:cs="Times New Roman"/>
          <w:szCs w:val="24"/>
        </w:rPr>
        <w:t xml:space="preserve">Erik Gartzke, “The Myth of Cyberwar: Bringing War in Cyberspace Back Down to Earth,” </w:t>
      </w:r>
      <w:r w:rsidRPr="006C2BC2">
        <w:rPr>
          <w:rFonts w:cs="Times New Roman"/>
          <w:i/>
          <w:iCs/>
          <w:szCs w:val="24"/>
        </w:rPr>
        <w:t>International Security</w:t>
      </w:r>
      <w:r w:rsidRPr="006C2BC2">
        <w:rPr>
          <w:rFonts w:cs="Times New Roman"/>
          <w:szCs w:val="24"/>
        </w:rPr>
        <w:t xml:space="preserve"> 38, no. 2 (October 1, 2013): 41–73, https://doi.org/10.1162/ISEC_a_00136; Gartzke and Lindsay, “Weaving Tangled Webs”; Erica D. Borghard and Shawn W. Lonergan, “The Logic of Coercion in Cyberspace,” </w:t>
      </w:r>
      <w:r w:rsidRPr="006C2BC2">
        <w:rPr>
          <w:rFonts w:cs="Times New Roman"/>
          <w:i/>
          <w:iCs/>
          <w:szCs w:val="24"/>
        </w:rPr>
        <w:t>Security Studies</w:t>
      </w:r>
      <w:r w:rsidRPr="006C2BC2">
        <w:rPr>
          <w:rFonts w:cs="Times New Roman"/>
          <w:szCs w:val="24"/>
        </w:rPr>
        <w:t xml:space="preserve"> 26, no. 3 (July 3, 2017): 452–81, https://doi.org/10.1080/09636412.2017.1306396; Jacquelyn Schneider, “Deterrence in and through Cyberspace,” in </w:t>
      </w:r>
      <w:r w:rsidRPr="006C2BC2">
        <w:rPr>
          <w:rFonts w:cs="Times New Roman"/>
          <w:i/>
          <w:iCs/>
          <w:szCs w:val="24"/>
        </w:rPr>
        <w:t>Cross-Domain Deterrence: Strategy in an Era of Complexity</w:t>
      </w:r>
      <w:r w:rsidRPr="006C2BC2">
        <w:rPr>
          <w:rFonts w:cs="Times New Roman"/>
          <w:szCs w:val="24"/>
        </w:rPr>
        <w:t>, ed. Jon R. Lindsay and Erik Gartzke, 1st edition (New York, NY: Oxford University Press, 2019).</w:t>
      </w:r>
      <w:r>
        <w:fldChar w:fldCharType="end"/>
      </w:r>
    </w:p>
  </w:footnote>
  <w:footnote w:id="69">
    <w:p w14:paraId="11E0F22C" w14:textId="166B03D6" w:rsidR="006C2BC2" w:rsidRDefault="006C2BC2">
      <w:pPr>
        <w:pStyle w:val="FootnoteText"/>
      </w:pPr>
      <w:r>
        <w:rPr>
          <w:rStyle w:val="FootnoteReference"/>
        </w:rPr>
        <w:footnoteRef/>
      </w:r>
      <w:r>
        <w:t xml:space="preserve"> At least initially. For complications, see </w:t>
      </w:r>
      <w:r>
        <w:fldChar w:fldCharType="begin"/>
      </w:r>
      <w:r>
        <w:instrText xml:space="preserve"> ADDIN ZOTERO_ITEM CSL_CITATION {"citationID":"9qrkbpVW","properties":{"unsorted":true,"formattedCitation":"Timothy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2018).","noteIndex":70},"citationItems":[{"id":"I50fQzQx/gznt3WOt","uris":["http://zotero.org/users/471208/items/CAFINTFU"],"uri":["http://zotero.org/users/471208/items/CAFINTFU"],"itemData":{"id":1824,"type":"book","title":"Pivotal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W."}],"issued":{"date-parts":[["2003"]]}}},{"id":"I50fQzQx/BSaFiWOT","uris":["http://zotero.org/users/471208/items/I6TP73ZX"],"uri":["http://zotero.org/users/471208/items/I6TP73ZX"],"itemData":{"id":8680,"type":"book","title":"Triadic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separate"/>
      </w:r>
      <w:r w:rsidRPr="006C2BC2">
        <w:rPr>
          <w:rFonts w:cs="Times New Roman"/>
          <w:szCs w:val="24"/>
        </w:rPr>
        <w:t xml:space="preserve">Timothy W. Crawford, </w:t>
      </w:r>
      <w:r w:rsidRPr="006C2BC2">
        <w:rPr>
          <w:rFonts w:cs="Times New Roman"/>
          <w:i/>
          <w:iCs/>
          <w:szCs w:val="24"/>
        </w:rPr>
        <w:t>Pivotal Deterrence: Third-Party Statecraft and the Pursuit of Peace</w:t>
      </w:r>
      <w:r w:rsidRPr="006C2BC2">
        <w:rPr>
          <w:rFonts w:cs="Times New Roman"/>
          <w:szCs w:val="24"/>
        </w:rPr>
        <w:t xml:space="preserve"> (Cornell University Press, 2003); Wendy Pearlman and Boaz Atzili, </w:t>
      </w:r>
      <w:r w:rsidRPr="006C2BC2">
        <w:rPr>
          <w:rFonts w:cs="Times New Roman"/>
          <w:i/>
          <w:iCs/>
          <w:szCs w:val="24"/>
        </w:rPr>
        <w:t>Triadic Coercion: Israel’s Targeting of States That Host Nonstate Actors</w:t>
      </w:r>
      <w:r w:rsidRPr="006C2BC2">
        <w:rPr>
          <w:rFonts w:cs="Times New Roman"/>
          <w:szCs w:val="24"/>
        </w:rPr>
        <w:t xml:space="preserve"> (New York: Columbia University Press, 2018).</w:t>
      </w:r>
      <w:r>
        <w:fldChar w:fldCharType="end"/>
      </w:r>
    </w:p>
  </w:footnote>
  <w:footnote w:id="70">
    <w:p w14:paraId="2F6590F0" w14:textId="3665DB6B" w:rsidR="006C2BC2" w:rsidRDefault="006C2BC2">
      <w:pPr>
        <w:pStyle w:val="FootnoteText"/>
      </w:pPr>
      <w:r>
        <w:rPr>
          <w:rStyle w:val="FootnoteReference"/>
        </w:rPr>
        <w:footnoteRef/>
      </w:r>
      <w:r>
        <w:t xml:space="preserve"> </w:t>
      </w:r>
      <w:r>
        <w:fldChar w:fldCharType="begin"/>
      </w:r>
      <w:r>
        <w:instrText xml:space="preserve"> ADDIN ZOTERO_ITEM CSL_CITATION {"citationID":"KSf6ZgMl","properties":{"formattedCitation":"Lanoszka, \\uc0\\u8220{}Russian Hybrid Warfare and Extended Deterrence in Eastern Europe.\\uc0\\u8221{}","plainCitation":"Lanoszka, “Russian Hybrid Warfare and Extended Deterrence in Eastern Europe.”","noteIndex":71},"citationItems":[{"id":6874,"uris":["http://zotero.org/users/2506258/items/AAWAWVXN"],"uri":["http://zotero.org/users/2506258/items/AAWAWVXN"],"itemData":{"id":6874,"type":"article-journal","title":"Russian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fldChar w:fldCharType="separate"/>
      </w:r>
      <w:r w:rsidRPr="006C2BC2">
        <w:rPr>
          <w:rFonts w:cs="Times New Roman"/>
          <w:szCs w:val="24"/>
        </w:rPr>
        <w:t>Lanoszka, “Russian Hybrid Warfare and Extended Deterrence in Eastern Europe.”</w:t>
      </w:r>
      <w:r>
        <w:fldChar w:fldCharType="end"/>
      </w:r>
    </w:p>
  </w:footnote>
  <w:footnote w:id="71">
    <w:p w14:paraId="47044493" w14:textId="1E2DC2DE" w:rsidR="006C2BC2" w:rsidRDefault="006C2BC2">
      <w:pPr>
        <w:pStyle w:val="FootnoteText"/>
      </w:pPr>
      <w:r>
        <w:rPr>
          <w:rStyle w:val="FootnoteReference"/>
        </w:rPr>
        <w:footnoteRef/>
      </w:r>
      <w:r>
        <w:t xml:space="preserve"> </w:t>
      </w:r>
      <w:r>
        <w:fldChar w:fldCharType="begin"/>
      </w:r>
      <w:r>
        <w:instrText xml:space="preserve"> ADDIN ZOTERO_ITEM CSL_CITATION {"citationID":"RCXy6lkK","properties":{"formattedCitation":"David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https://doi.org/10.1177/0022343313484047.","noteIndex":72},"citationItems":[{"id":15432,"uris":["http://zotero.org/users/2506258/items/LPRH47IP"],"uri":["http://zotero.org/users/2506258/items/LPRH47IP"],"itemData":{"id":15432,"type":"article-journal","title":"Me,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fldChar w:fldCharType="separate"/>
      </w:r>
      <w:r w:rsidRPr="006C2BC2">
        <w:rPr>
          <w:rFonts w:cs="Times New Roman"/>
          <w:szCs w:val="24"/>
        </w:rPr>
        <w:t xml:space="preserve">David Sobek and Joe Clare, “Me, Myself, and Allies: Understanding the External Sources of Power,” </w:t>
      </w:r>
      <w:r w:rsidRPr="006C2BC2">
        <w:rPr>
          <w:rFonts w:cs="Times New Roman"/>
          <w:i/>
          <w:iCs/>
          <w:szCs w:val="24"/>
        </w:rPr>
        <w:t>Journal of Peace Research</w:t>
      </w:r>
      <w:r w:rsidRPr="006C2BC2">
        <w:rPr>
          <w:rFonts w:cs="Times New Roman"/>
          <w:szCs w:val="24"/>
        </w:rPr>
        <w:t xml:space="preserve"> 50, no. 4 (July 1, 2013): 469–78, https://doi.org/10.1177/0022343313484047.</w:t>
      </w:r>
      <w:r>
        <w:fldChar w:fldCharType="end"/>
      </w:r>
    </w:p>
  </w:footnote>
  <w:footnote w:id="72">
    <w:p w14:paraId="4B9D98CD" w14:textId="42F0AD79" w:rsidR="006C2BC2" w:rsidRDefault="006C2BC2">
      <w:pPr>
        <w:pStyle w:val="FootnoteText"/>
      </w:pPr>
      <w:r>
        <w:rPr>
          <w:rStyle w:val="FootnoteReference"/>
        </w:rPr>
        <w:footnoteRef/>
      </w:r>
      <w:r>
        <w:t xml:space="preserve"> </w:t>
      </w:r>
      <w:r>
        <w:fldChar w:fldCharType="begin"/>
      </w:r>
      <w:r>
        <w:instrText xml:space="preserve"> ADDIN ZOTERO_ITEM CSL_CITATION {"citationID":"kubUnKsx","properties":{"formattedCitation":"Vesna Danilovic, \\uc0\\u8220{}The Sources of Threat Credibility in Extended Deterrence,\\uc0\\u8221{} {\\i{}Journal of Conflict Resolution} 45, no. 3 (June 1, 2001): 341\\uc0\\u8211{}69, https://doi.org/10.1177/0022002701045003005.","plainCitation":"Vesna Danilovic, “The Sources of Threat Credibility in Extended Deterrence,” Journal of Conflict Resolution 45, no. 3 (June 1, 2001): 341–69, https://doi.org/10.1177/0022002701045003005.","noteIndex":73},"citationItems":[{"id":7910,"uris":["http://zotero.org/users/2506258/items/UDXA3PUX"],"uri":["http://zotero.org/users/2506258/items/UDXA3PUX"],"itemData":{"id":7910,"type":"article-journal","title":"The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Resolution","language":"en","author":[{"family":"Danilovic","given":"Vesna"}],"issued":{"date-parts":[["2001",6,1]]}}}],"schema":"https://github.com/citation-style-language/schema/raw/master/csl-citation.json"} </w:instrText>
      </w:r>
      <w:r>
        <w:fldChar w:fldCharType="separate"/>
      </w:r>
      <w:r w:rsidRPr="006C2BC2">
        <w:rPr>
          <w:rFonts w:cs="Times New Roman"/>
          <w:szCs w:val="24"/>
        </w:rPr>
        <w:t xml:space="preserve">Vesna Danilovic, “The Sources of Threat Credibility in Extended Deterrence,” </w:t>
      </w:r>
      <w:r w:rsidRPr="006C2BC2">
        <w:rPr>
          <w:rFonts w:cs="Times New Roman"/>
          <w:i/>
          <w:iCs/>
          <w:szCs w:val="24"/>
        </w:rPr>
        <w:t>Journal of Conflict Resolution</w:t>
      </w:r>
      <w:r w:rsidRPr="006C2BC2">
        <w:rPr>
          <w:rFonts w:cs="Times New Roman"/>
          <w:szCs w:val="24"/>
        </w:rPr>
        <w:t xml:space="preserve"> 45, no. 3 (June 1, 2001): 341–69, https://doi.org/10.1177/0022002701045003005.</w:t>
      </w:r>
      <w:r>
        <w:fldChar w:fldCharType="end"/>
      </w:r>
    </w:p>
  </w:footnote>
  <w:footnote w:id="73">
    <w:p w14:paraId="283CDB05" w14:textId="2099D066" w:rsidR="006C2BC2" w:rsidRDefault="006C2BC2">
      <w:pPr>
        <w:pStyle w:val="FootnoteText"/>
      </w:pPr>
      <w:r>
        <w:rPr>
          <w:rStyle w:val="FootnoteReference"/>
        </w:rPr>
        <w:footnoteRef/>
      </w:r>
      <w:r>
        <w:t xml:space="preserve"> </w:t>
      </w:r>
      <w:r>
        <w:fldChar w:fldCharType="begin"/>
      </w:r>
      <w:r>
        <w:instrText xml:space="preserve"> ADDIN ZOTERO_ITEM CSL_CITATION {"citationID":"9RfGMna0","properties":{"formattedCitation":"Borghard and Lonergan, \\uc0\\u8220{}The Logic of Coercion in Cyberspace.\\uc0\\u8221{}","plainCitation":"Borghard and Lonergan, “The Logic of Coercion in Cyberspace.”","noteIndex":74},"citationItems":[{"id":8902,"uris":["http://zotero.org/users/2506258/items/EUQEZZ39"],"uri":["http://zotero.org/users/2506258/items/EUQEZZ39"],"itemData":{"id":8902,"type":"article-journal","title":"The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W."}],"issued":{"date-parts":[["2017",7,3]]}}}],"schema":"https://github.com/citation-style-language/schema/raw/master/csl-citation.json"} </w:instrText>
      </w:r>
      <w:r>
        <w:fldChar w:fldCharType="separate"/>
      </w:r>
      <w:r w:rsidRPr="006C2BC2">
        <w:rPr>
          <w:rFonts w:cs="Times New Roman"/>
          <w:szCs w:val="24"/>
        </w:rPr>
        <w:t>Borghard and Lonergan, “The Logic of Coercion in Cyberspace.”</w:t>
      </w:r>
      <w:r>
        <w:fldChar w:fldCharType="end"/>
      </w:r>
    </w:p>
  </w:footnote>
  <w:footnote w:id="74">
    <w:p w14:paraId="388CE5A0" w14:textId="587C0AF8" w:rsidR="006C2BC2" w:rsidRDefault="006C2BC2">
      <w:pPr>
        <w:pStyle w:val="FootnoteText"/>
      </w:pPr>
      <w:r>
        <w:rPr>
          <w:rStyle w:val="FootnoteReference"/>
        </w:rPr>
        <w:footnoteRef/>
      </w:r>
      <w:r>
        <w:t xml:space="preserve"> </w:t>
      </w:r>
      <w:r>
        <w:fldChar w:fldCharType="begin"/>
      </w:r>
      <w:r>
        <w:instrText xml:space="preserve"> ADDIN ZOTERO_ITEM CSL_CITATION {"citationID":"LfdoWQ0w","properties":{"formattedCitation":"Freedman,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War.”","noteIndex":75},"citationItems":[{"id":6699,"uris":["http://zotero.org/users/2506258/items/J357WK72"],"uri":["http://zotero.org/users/2506258/items/J357WK72"],"itemData":{"id":6699,"type":"article-journal","title":"Ukraine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 </w:instrText>
      </w:r>
      <w:r>
        <w:fldChar w:fldCharType="separate"/>
      </w:r>
      <w:r w:rsidRPr="006C2BC2">
        <w:rPr>
          <w:rFonts w:cs="Times New Roman"/>
          <w:szCs w:val="24"/>
        </w:rPr>
        <w:t>Freedman, “Ukraine and the Art of Limited War”; Marten, “Putin’s Choices”; Driscoll and Maliniak, “With Friends Like These”; Lanoszka, “Russian Hybrid Warfare and Extended Deterrence in Eastern Europe”; Chivvis, “Hybrid War.”</w:t>
      </w:r>
      <w:r>
        <w:fldChar w:fldCharType="end"/>
      </w:r>
    </w:p>
  </w:footnote>
  <w:footnote w:id="75">
    <w:p w14:paraId="083EEB9B" w14:textId="255AB5B6" w:rsidR="006C2BC2" w:rsidRDefault="006C2BC2">
      <w:pPr>
        <w:pStyle w:val="FootnoteText"/>
      </w:pPr>
      <w:r>
        <w:rPr>
          <w:rStyle w:val="FootnoteReference"/>
        </w:rPr>
        <w:footnoteRef/>
      </w:r>
      <w:r>
        <w:t xml:space="preserve"> </w:t>
      </w:r>
      <w:r>
        <w:fldChar w:fldCharType="begin"/>
      </w:r>
      <w:r>
        <w:instrText xml:space="preserve"> ADDIN ZOTERO_ITEM CSL_CITATION {"citationID":"7VPvSEEN","properties":{"formattedCitation":"Valeriano and Maness, \\uc0\\u8220{}The Dynamics of Cyber Conflict between Rival Antagonists, 2001-2011\\uc0\\u8221{}; Adam Casey and Lucan Ahmad Way, \\uc0\\u8220{}Russian Electoral Interventions, 1991-2017\\uc0\\u8221{} (Scholars Portal Dataverse, 2017), https://doi.org/10.5683/SP/BYRQQS; Nadiya Kostyuk and Yuri M. Zhukov, \\uc0\\u8220{}Invisible Digital Front: Can Cyber Attacks Shape Battlefield Events?,\\uc0\\u8221{} {\\i{}Journal of Conflict Resolution} 63, no. 2 (2019): 317\\uc0\\u8211{}47, https://doi.org/10.1177/0022002717737138.","plainCitation":"Valeriano and Maness, “The Dynamics of Cyber Conflict between Rival Antagonists, 2001-2011”; Adam Casey and Lucan Ahmad Way, “Russian Electoral Interventions, 1991-2017” (Scholars Portal Dataverse, 2017), https://doi.org/10.5683/SP/BYRQQS; Nadiya Kostyuk and Yuri M. Zhukov, “Invisible Digital Front: Can Cyber Attacks Shape Battlefield Events?,” Journal of Conflict Resolution 63, no. 2 (2019): 317–47, https://doi.org/10.1177/0022002717737138.","noteIndex":76},"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 </w:instrText>
      </w:r>
      <w:r>
        <w:fldChar w:fldCharType="separate"/>
      </w:r>
      <w:r w:rsidRPr="006C2BC2">
        <w:rPr>
          <w:rFonts w:cs="Times New Roman"/>
          <w:szCs w:val="24"/>
        </w:rPr>
        <w:t>Valeriano and Maness, “The Dynamics of Cyber Conflict between Rival Antagonists, 2001-2011”; Adam Casey and Lucan Ahmad Way, “Russian Electoral Interventions, 1991-2017” (Scholars Portal Dataverse, 2017), https://doi.org/10.5683/SP/BYRQQS</w:t>
      </w:r>
      <w:r>
        <w:rPr>
          <w:rFonts w:cs="Times New Roman"/>
          <w:szCs w:val="24"/>
        </w:rPr>
        <w:t>. Data by</w:t>
      </w:r>
      <w:r w:rsidRPr="006C2BC2">
        <w:rPr>
          <w:rFonts w:cs="Times New Roman"/>
          <w:szCs w:val="24"/>
        </w:rPr>
        <w:t xml:space="preserve"> Nadiya Kostyuk and Yuri M. Zhukov, “Invisible Digital Front: Can Cyber Attacks Shape Battlefield Events?,” </w:t>
      </w:r>
      <w:r w:rsidRPr="006C2BC2">
        <w:rPr>
          <w:rFonts w:cs="Times New Roman"/>
          <w:i/>
          <w:iCs/>
          <w:szCs w:val="24"/>
        </w:rPr>
        <w:t>Journal of Conflict Resolution</w:t>
      </w:r>
      <w:r w:rsidRPr="006C2BC2">
        <w:rPr>
          <w:rFonts w:cs="Times New Roman"/>
          <w:szCs w:val="24"/>
        </w:rPr>
        <w:t xml:space="preserve"> 63, no. 2 (2019): 317–47, https://doi.org/10.1177/0022002717737138</w:t>
      </w:r>
      <w:r>
        <w:rPr>
          <w:rFonts w:cs="Times New Roman"/>
          <w:szCs w:val="24"/>
        </w:rPr>
        <w:t xml:space="preserve"> is too narrowly focused on cyber-attacks in Ukraine</w:t>
      </w:r>
      <w:r w:rsidRPr="006C2BC2">
        <w:rPr>
          <w:rFonts w:cs="Times New Roman"/>
          <w:szCs w:val="24"/>
        </w:rPr>
        <w:t>.</w:t>
      </w:r>
      <w:r>
        <w:fldChar w:fldCharType="end"/>
      </w:r>
    </w:p>
  </w:footnote>
  <w:footnote w:id="76">
    <w:p w14:paraId="7C49B37B" w14:textId="44A6E60C" w:rsidR="006C2BC2" w:rsidRPr="00BF58C4" w:rsidRDefault="006C2BC2">
      <w:pPr>
        <w:pStyle w:val="FootnoteText"/>
        <w:rPr>
          <w:lang w:val="en-CA"/>
        </w:rPr>
      </w:pPr>
      <w:r w:rsidRPr="00BF58C4">
        <w:rPr>
          <w:rStyle w:val="FootnoteReference"/>
        </w:rPr>
        <w:footnoteRef/>
      </w:r>
      <w:r>
        <w:t xml:space="preserve"> Our unit of analysis is country-year. </w:t>
      </w:r>
      <w:r>
        <w:rPr>
          <w:lang w:val="en-CA"/>
        </w:rPr>
        <w:t>See the data appendix to this article for further discussion.</w:t>
      </w:r>
    </w:p>
  </w:footnote>
  <w:footnote w:id="77">
    <w:p w14:paraId="71490637" w14:textId="33F133FB" w:rsidR="006C2BC2" w:rsidRDefault="006C2BC2">
      <w:pPr>
        <w:pStyle w:val="FootnoteText"/>
      </w:pPr>
      <w:r>
        <w:rPr>
          <w:rStyle w:val="FootnoteReference"/>
        </w:rPr>
        <w:footnoteRef/>
      </w:r>
      <w:r>
        <w:t xml:space="preserve"> </w:t>
      </w:r>
      <w:r>
        <w:fldChar w:fldCharType="begin"/>
      </w:r>
      <w:r>
        <w:instrText xml:space="preserve"> ADDIN ZOTERO_ITEM CSL_CITATION {"citationID":"CNMEexTA","properties":{"formattedCitation":"David J Singer, Stuart Bremer, and John Stuckey, \\uc0\\u8220{}Capability Distribution, Uncertainty, and Major Power War, 1820-1965,\\uc0\\u8221{} in {\\i{}Peace, War, and Numbers}, by Bruce M. Russett (Sage Publications, 1972), 19\\uc0\\u8211{}48.","plainCitation":"David J Singer, Stuart Bremer, and John Stuckey, “Capability Distribution, Uncertainty, and Major Power War, 1820-1965,” in Peace, War, and Numbers, by Bruce M. Russett (Sage Publications, 1972), 19–48.","noteIndex":79},"citationItems":[{"id":5992,"uris":["http://zotero.org/users/2506258/items/I24EIK6Z"],"uri":["http://zotero.org/users/2506258/items/I24EIK6Z"],"itemData":{"id":5992,"type":"chapter","title":"Capability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 M."}],"author":[{"family":"Singer","given":"David J"},{"family":"Bremer","given":"Stuart"},{"family":"Stuckey","given":"John"}],"issued":{"date-parts":[["1972"]]}}}],"schema":"https://github.com/citation-style-language/schema/raw/master/csl-citation.json"} </w:instrText>
      </w:r>
      <w:r>
        <w:fldChar w:fldCharType="separate"/>
      </w:r>
      <w:r w:rsidRPr="006C2BC2">
        <w:rPr>
          <w:rFonts w:cs="Times New Roman"/>
          <w:szCs w:val="24"/>
        </w:rPr>
        <w:t xml:space="preserve">David J Singer, Stuart Bremer, and John Stuckey, “Capability Distribution, Uncertainty, and Major Power War, 1820-1965,” in </w:t>
      </w:r>
      <w:r w:rsidRPr="006C2BC2">
        <w:rPr>
          <w:rFonts w:cs="Times New Roman"/>
          <w:i/>
          <w:iCs/>
          <w:szCs w:val="24"/>
        </w:rPr>
        <w:t>Peace, War, and Numbers</w:t>
      </w:r>
      <w:r w:rsidRPr="006C2BC2">
        <w:rPr>
          <w:rFonts w:cs="Times New Roman"/>
          <w:szCs w:val="24"/>
        </w:rPr>
        <w:t>, by Bruce M. Russett (Sage Publications, 1972), 19–48.</w:t>
      </w:r>
      <w:r>
        <w:fldChar w:fldCharType="end"/>
      </w:r>
    </w:p>
  </w:footnote>
  <w:footnote w:id="78">
    <w:p w14:paraId="3E35A3D7" w14:textId="775D394F" w:rsidR="006C2BC2" w:rsidRDefault="006C2BC2">
      <w:pPr>
        <w:pStyle w:val="FootnoteText"/>
      </w:pPr>
      <w:r>
        <w:rPr>
          <w:rStyle w:val="FootnoteReference"/>
        </w:rPr>
        <w:footnoteRef/>
      </w:r>
      <w:r>
        <w:t xml:space="preserve"> </w:t>
      </w:r>
      <w:r>
        <w:fldChar w:fldCharType="begin"/>
      </w:r>
      <w:r>
        <w:instrText xml:space="preserve"> ADDIN ZOTERO_ITEM CSL_CITATION {"citationID":"pmv2QNdX","properties":{"formattedCitation":"Andrew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https://doi.org/10.1177/0010414006296346.","noteIndex":80},"citationItems":[{"id":10336,"uris":["http://zotero.org/users/2506258/items/6IWR35D4"],"uri":["http://zotero.org/users/2506258/items/6IWR35D4"],"itemData":{"id":10336,"type":"article-journal","title":"Case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fldChar w:fldCharType="separate"/>
      </w:r>
      <w:r w:rsidRPr="006C2BC2">
        <w:rPr>
          <w:rFonts w:cs="Times New Roman"/>
          <w:szCs w:val="24"/>
        </w:rPr>
        <w:t xml:space="preserve">Andrew Bennett and Colin Elman, “Case Study Methods in the International Relations Subfield,” </w:t>
      </w:r>
      <w:r w:rsidRPr="006C2BC2">
        <w:rPr>
          <w:rFonts w:cs="Times New Roman"/>
          <w:i/>
          <w:iCs/>
          <w:szCs w:val="24"/>
        </w:rPr>
        <w:t>Comparative Political Studies</w:t>
      </w:r>
      <w:r w:rsidRPr="006C2BC2">
        <w:rPr>
          <w:rFonts w:cs="Times New Roman"/>
          <w:szCs w:val="24"/>
        </w:rPr>
        <w:t xml:space="preserve"> 40, no. 2 (February 2007): 170–95, https://doi.org/10.1177/0010414006296346.</w:t>
      </w:r>
      <w:r>
        <w:fldChar w:fldCharType="end"/>
      </w:r>
    </w:p>
  </w:footnote>
  <w:footnote w:id="79">
    <w:p w14:paraId="60D44A82" w14:textId="7C589E17" w:rsidR="006C2BC2" w:rsidRDefault="006C2BC2">
      <w:pPr>
        <w:pStyle w:val="FootnoteText"/>
      </w:pPr>
      <w:r>
        <w:rPr>
          <w:rStyle w:val="FootnoteReference"/>
        </w:rPr>
        <w:footnoteRef/>
      </w:r>
      <w:r>
        <w:t xml:space="preserve"> </w:t>
      </w:r>
      <w:r>
        <w:fldChar w:fldCharType="begin"/>
      </w:r>
      <w:r>
        <w:instrText xml:space="preserve"> ADDIN ZOTERO_ITEM CSL_CITATION {"citationID":"S6f2YBob","properties":{"formattedCitation":"Driscoll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https://doi.org/10.1093/isr/viw009.","noteIndex":81},"citationItems":[{"id":6245,"uris":["http://zotero.org/users/2506258/items/U4EBNS54"],"uri":["http://zotero.org/users/2506258/items/U4EBNS54"],"itemData":{"id":6245,"type":"article-journal","title":"With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fldChar w:fldCharType="separate"/>
      </w:r>
      <w:r w:rsidRPr="006C2BC2">
        <w:rPr>
          <w:rFonts w:cs="Times New Roman"/>
          <w:szCs w:val="24"/>
        </w:rPr>
        <w:t xml:space="preserve">Driscoll and Maliniak, “With Friends Like These”; Elias Götz, “Putin, the State, and War: The Causes of Russia’s Near Abroad Assertion Revisited,” </w:t>
      </w:r>
      <w:r w:rsidRPr="006C2BC2">
        <w:rPr>
          <w:rFonts w:cs="Times New Roman"/>
          <w:i/>
          <w:iCs/>
          <w:szCs w:val="24"/>
        </w:rPr>
        <w:t>International Studies Review</w:t>
      </w:r>
      <w:r w:rsidRPr="006C2BC2">
        <w:rPr>
          <w:rFonts w:cs="Times New Roman"/>
          <w:szCs w:val="24"/>
        </w:rPr>
        <w:t xml:space="preserve"> 19, no. 2 (June 1, 2017): 228–53, https://doi.org/10.1093/isr/viw009.</w:t>
      </w:r>
      <w:r>
        <w:fldChar w:fldCharType="end"/>
      </w:r>
    </w:p>
  </w:footnote>
  <w:footnote w:id="80">
    <w:p w14:paraId="113882BB" w14:textId="48E68212" w:rsidR="006C2BC2" w:rsidRDefault="006C2BC2">
      <w:pPr>
        <w:spacing w:after="0" w:line="240" w:lineRule="auto"/>
        <w:rPr>
          <w:sz w:val="20"/>
          <w:szCs w:val="20"/>
        </w:rPr>
      </w:pPr>
      <w:r w:rsidRPr="00BF58C4">
        <w:rPr>
          <w:rStyle w:val="FootnoteReference"/>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81">
    <w:p w14:paraId="67F6DDAB" w14:textId="4754BCD3" w:rsidR="006C2BC2" w:rsidRPr="00BF58C4" w:rsidRDefault="006C2BC2">
      <w:pPr>
        <w:pStyle w:val="FootnoteText"/>
        <w:rPr>
          <w:lang w:val="en-CA"/>
        </w:rPr>
      </w:pPr>
      <w:r w:rsidRPr="00BF58C4">
        <w:rPr>
          <w:rStyle w:val="FootnoteReference"/>
        </w:rPr>
        <w:footnoteRef/>
      </w:r>
      <w:r>
        <w:t xml:space="preserve"> Although not considered in detail here, Russian operations in outside cases like Kosovo and Chechnya are consistent with the deterrence gradient.</w:t>
      </w:r>
    </w:p>
  </w:footnote>
  <w:footnote w:id="82">
    <w:p w14:paraId="10DC0BC7" w14:textId="0105BB46" w:rsidR="006C2BC2" w:rsidRDefault="006C2BC2">
      <w:pPr>
        <w:pStyle w:val="FootnoteText"/>
      </w:pPr>
      <w:r>
        <w:rPr>
          <w:rStyle w:val="FootnoteReference"/>
        </w:rPr>
        <w:footnoteRef/>
      </w:r>
      <w:r>
        <w:t xml:space="preserve"> </w:t>
      </w:r>
      <w:r>
        <w:fldChar w:fldCharType="begin"/>
      </w:r>
      <w:r>
        <w:instrText xml:space="preserve"> ADDIN ZOTERO_ITEM CSL_CITATION {"citationID":"Up9Itu5d","properties":{"formattedCitation":"Joshua Davis, \\uc0\\u8220{}Hackers Take Down the Most Wired Country in Europe,\\uc0\\u8221{} {\\i{}Wired}, August 21, 2007, https://www.wired.com/2007/08/ff-estonia/.","plainCitation":"Joshua Davis, “Hackers Take Down the Most Wired Country in Europe,” Wired, August 21, 2007, https://www.wired.com/2007/08/ff-estonia/.","noteIndex":84},"citationItems":[{"id":17778,"uris":["http://zotero.org/users/2506258/items/PCVTMGVS"],"uri":["http://zotero.org/users/2506258/items/PCVTMGVS"],"itemData":{"id":17778,"type":"article-magazine","title":"Hackers Take Down the Most Wired Country in Europe","container-title":"Wired","source":"www.wired.com","abstract":"Defense minister Jaak Aaviksoo got help from NATO in the wake of the cyberattacks. Photo: Donald Milne The minister of defense checked the Web page again — still nothing. He stared at the error message: For some reason, the site for Estonia's leading newspaper, the Postimees, wasn't responding. Jaak Aaviksoo attempted to pull up the sites \\[…\\]","URL":"https://www.wired.com/2007/08/ff-estonia/","ISSN":"1059-1028","author":[{"family":"Davis","given":"Joshua"}],"issued":{"date-parts":[["2007",8,21]]},"accessed":{"date-parts":[["2019",2,3]]}}}],"schema":"https://github.com/citation-style-language/schema/raw/master/csl-citation.json"} </w:instrText>
      </w:r>
      <w:r>
        <w:fldChar w:fldCharType="separate"/>
      </w:r>
      <w:r w:rsidRPr="006C2BC2">
        <w:rPr>
          <w:rFonts w:cs="Times New Roman"/>
          <w:szCs w:val="24"/>
        </w:rPr>
        <w:t xml:space="preserve">Joshua Davis, “Hackers Take Down the Most Wired Country in Europe,” </w:t>
      </w:r>
      <w:r w:rsidRPr="006C2BC2">
        <w:rPr>
          <w:rFonts w:cs="Times New Roman"/>
          <w:i/>
          <w:iCs/>
          <w:szCs w:val="24"/>
        </w:rPr>
        <w:t>Wired</w:t>
      </w:r>
      <w:r w:rsidRPr="006C2BC2">
        <w:rPr>
          <w:rFonts w:cs="Times New Roman"/>
          <w:szCs w:val="24"/>
        </w:rPr>
        <w:t>, August 21, 2007, https://www.wired.com/2007/08/ff-estonia/.</w:t>
      </w:r>
      <w:r>
        <w:fldChar w:fldCharType="end"/>
      </w:r>
    </w:p>
  </w:footnote>
  <w:footnote w:id="83">
    <w:p w14:paraId="7C4C53F1" w14:textId="07F50E7C" w:rsidR="006C2BC2" w:rsidRDefault="006C2BC2">
      <w:pPr>
        <w:pStyle w:val="FootnoteText"/>
      </w:pPr>
      <w:r>
        <w:rPr>
          <w:rStyle w:val="FootnoteReference"/>
        </w:rPr>
        <w:footnoteRef/>
      </w:r>
      <w:r>
        <w:t xml:space="preserve"> </w:t>
      </w:r>
      <w:r>
        <w:fldChar w:fldCharType="begin"/>
      </w:r>
      <w:r>
        <w:instrText xml:space="preserve"> ADDIN ZOTERO_ITEM CSL_CITATION {"citationID":"DHPgKtzz","properties":{"formattedCitation":"Ian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85},"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fldChar w:fldCharType="separate"/>
      </w:r>
      <w:r w:rsidRPr="006C2BC2">
        <w:rPr>
          <w:rFonts w:cs="Times New Roman"/>
          <w:szCs w:val="24"/>
        </w:rPr>
        <w:t xml:space="preserve">Ian Traynor, “Russia Accused of Unleashing Cyberwar to Disable Estonia,” </w:t>
      </w:r>
      <w:r w:rsidRPr="006C2BC2">
        <w:rPr>
          <w:rFonts w:cs="Times New Roman"/>
          <w:i/>
          <w:iCs/>
          <w:szCs w:val="24"/>
        </w:rPr>
        <w:t>The Guardian</w:t>
      </w:r>
      <w:r w:rsidRPr="006C2BC2">
        <w:rPr>
          <w:rFonts w:cs="Times New Roman"/>
          <w:szCs w:val="24"/>
        </w:rPr>
        <w:t>, May 17, 2007, sec. World news, https://www.theguardian.com/world/2007/may/17/topstories3.russia.</w:t>
      </w:r>
      <w:r>
        <w:fldChar w:fldCharType="end"/>
      </w:r>
    </w:p>
  </w:footnote>
  <w:footnote w:id="84">
    <w:p w14:paraId="669AC64E" w14:textId="23B7F25D" w:rsidR="006C2BC2" w:rsidRDefault="006C2BC2">
      <w:pPr>
        <w:pStyle w:val="FootnoteText"/>
      </w:pPr>
      <w:r>
        <w:rPr>
          <w:rStyle w:val="FootnoteReference"/>
        </w:rPr>
        <w:footnoteRef/>
      </w:r>
      <w:r>
        <w:t xml:space="preserve"> </w:t>
      </w:r>
      <w:r>
        <w:fldChar w:fldCharType="begin"/>
      </w:r>
      <w:r>
        <w:instrText xml:space="preserve"> ADDIN ZOTERO_ITEM CSL_CITATION {"citationID":"Tt7Av1wb","properties":{"formattedCitation":"Andreas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174–93.","noteIndex":86},"citationItems":[{"id":17775,"uris":["http://zotero.org/users/2506258/items/Z9PWAFVG"],"uri":["http://zotero.org/users/2506258/items/Z9PWAFVG"],"itemData":{"id":17775,"type":"chapter","title":"The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fldChar w:fldCharType="separate"/>
      </w:r>
      <w:r w:rsidRPr="006C2BC2">
        <w:rPr>
          <w:rFonts w:cs="Times New Roman"/>
          <w:szCs w:val="24"/>
        </w:rPr>
        <w:t xml:space="preserve">Andreas Schmidt, “The Estonian Cyberattacks,” in </w:t>
      </w:r>
      <w:r w:rsidRPr="006C2BC2">
        <w:rPr>
          <w:rFonts w:cs="Times New Roman"/>
          <w:i/>
          <w:iCs/>
          <w:szCs w:val="24"/>
        </w:rPr>
        <w:t>A Fierce Domain: Conflict in Cyberspace, 1986 to 2012</w:t>
      </w:r>
      <w:r w:rsidRPr="006C2BC2">
        <w:rPr>
          <w:rFonts w:cs="Times New Roman"/>
          <w:szCs w:val="24"/>
        </w:rPr>
        <w:t>, ed. Jason Healey (Cyber Conflict Studies Association, 2013), 174–93.</w:t>
      </w:r>
      <w:r>
        <w:fldChar w:fldCharType="end"/>
      </w:r>
    </w:p>
  </w:footnote>
  <w:footnote w:id="85">
    <w:p w14:paraId="28F5D3D8" w14:textId="2C4BC689" w:rsidR="006C2BC2" w:rsidRDefault="006C2BC2">
      <w:pPr>
        <w:pStyle w:val="FootnoteText"/>
      </w:pPr>
      <w:r>
        <w:rPr>
          <w:rStyle w:val="FootnoteReference"/>
        </w:rPr>
        <w:footnoteRef/>
      </w:r>
      <w:r>
        <w:t xml:space="preserve"> </w:t>
      </w:r>
      <w:r>
        <w:fldChar w:fldCharType="begin"/>
      </w:r>
      <w:r>
        <w:instrText xml:space="preserve"> ADDIN ZOTERO_ITEM CSL_CITATION {"citationID":"B0Ar4Dyl","properties":{"formattedCitation":"Vincent Joubert, \\uc0\\u8220{}Five Years after Estonia\\uc0\\u8217{}s Cyber Attacks: Lessons Learned for NATO?\\uc0\\u8221{} (NATO Defense College, 2012), JSTOR, https://www.jstor.org/stable/resrep10366.","plainCitation":"Vincent Joubert, “Five Years after Estonia’s Cyber Attacks: Lessons Learned for NATO?” (NATO Defense College, 2012), JSTOR, https://www.jstor.org/stable/resrep10366.","noteIndex":87},"citationItems":[{"id":17774,"uris":["http://zotero.org/users/2506258/items/RFJXZ8TU"],"uri":["http://zotero.org/users/2506258/items/RFJXZ8TU"],"itemData":{"id":17774,"type":"report","title":"Five years after Estonia’s cyber attacks: lessons learned for NATO?","publisher":"NATO Defense College","source":"JSTOR","archive":"JSTOR","URL":"https://www.jstor.org/stable/resrep10366","title-short":"Five years after Estonia’s cyber attacks","author":[{"family":"Joubert","given":"Vincent"}],"issued":{"date-parts":[["2012"]]},"accessed":{"date-parts":[["2019",2,3]]}}}],"schema":"https://github.com/citation-style-language/schema/raw/master/csl-citation.json"} </w:instrText>
      </w:r>
      <w:r>
        <w:fldChar w:fldCharType="separate"/>
      </w:r>
      <w:r w:rsidRPr="006C2BC2">
        <w:rPr>
          <w:rFonts w:cs="Times New Roman"/>
          <w:szCs w:val="24"/>
        </w:rPr>
        <w:t>Vincent Joubert, “Five Years after Estonia’s Cyber Attacks: Lessons Learned for NATO?” (NATO Defense College, 2012), JSTOR, https://www.jstor.org/stable/resrep10366.</w:t>
      </w:r>
      <w:r>
        <w:fldChar w:fldCharType="end"/>
      </w:r>
    </w:p>
  </w:footnote>
  <w:footnote w:id="86">
    <w:p w14:paraId="59D5CADD" w14:textId="461208B0" w:rsidR="006C2BC2" w:rsidRDefault="006C2BC2">
      <w:pPr>
        <w:pStyle w:val="FootnoteText"/>
      </w:pPr>
      <w:r>
        <w:rPr>
          <w:rStyle w:val="FootnoteReference"/>
        </w:rPr>
        <w:footnoteRef/>
      </w:r>
      <w:r>
        <w:t xml:space="preserve"> </w:t>
      </w:r>
      <w:r>
        <w:fldChar w:fldCharType="begin"/>
      </w:r>
      <w:r>
        <w:instrText xml:space="preserve"> ADDIN ZOTERO_ITEM CSL_CITATION {"citationID":"to0RmXcQ","properties":{"formattedCitation":"Carson, {\\i{}Secret Wars}.","plainCitation":"Carson, Secret Wars.","noteIndex":88},"citationItems":[{"id":17470,"uris":["http://zotero.org/users/2506258/items/PEFPVY5I"],"uri":["http://zotero.org/users/2506258/items/PEFPVY5I"],"itemData":{"id":17470,"type":"book","title":"Secret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fldChar w:fldCharType="separate"/>
      </w:r>
      <w:r w:rsidRPr="006C2BC2">
        <w:rPr>
          <w:rFonts w:cs="Times New Roman"/>
          <w:szCs w:val="24"/>
        </w:rPr>
        <w:t xml:space="preserve">Carson, </w:t>
      </w:r>
      <w:r w:rsidRPr="006C2BC2">
        <w:rPr>
          <w:rFonts w:cs="Times New Roman"/>
          <w:i/>
          <w:iCs/>
          <w:szCs w:val="24"/>
        </w:rPr>
        <w:t>Secret Wars</w:t>
      </w:r>
      <w:r w:rsidRPr="006C2BC2">
        <w:rPr>
          <w:rFonts w:cs="Times New Roman"/>
          <w:szCs w:val="24"/>
        </w:rPr>
        <w:t>.</w:t>
      </w:r>
      <w:r>
        <w:fldChar w:fldCharType="end"/>
      </w:r>
    </w:p>
  </w:footnote>
  <w:footnote w:id="87">
    <w:p w14:paraId="789949A4" w14:textId="103B1F3B" w:rsidR="006C2BC2" w:rsidRDefault="006C2BC2">
      <w:pPr>
        <w:pStyle w:val="FootnoteText"/>
      </w:pPr>
      <w:r>
        <w:rPr>
          <w:rStyle w:val="FootnoteReference"/>
        </w:rPr>
        <w:footnoteRef/>
      </w:r>
      <w:r>
        <w:t xml:space="preserve"> </w:t>
      </w:r>
      <w:r>
        <w:fldChar w:fldCharType="begin"/>
      </w:r>
      <w:r>
        <w:instrText xml:space="preserve"> ADDIN ZOTERO_ITEM CSL_CITATION {"citationID":"3SJDVew0","properties":{"formattedCitation":"Ronald J. Deibert, Rafal Rohozinski, and Masashi Crete-Nishihata, \\uc0\\u8220{}Cyclones in Cyberspace: Information Shaping and Denial in the 2008 Russia\\uc0\\u8211{}Georgia War,\\uc0\\u8221{} {\\i{}Security Dialogue} 43, no. 1 (February 1, 2012): 3\\uc0\\u8211{}24, https://doi.org/10.1177/0967010611431079.","plainCitation":"Ronald J. Deibert, Rafal Rohozinski, and Masashi Crete-Nishihata, “Cyclones in Cyberspace: Information Shaping and Denial in the 2008 Russia–Georgia War,” Security Dialogue 43, no. 1 (February 1, 2012): 3–24, https://doi.org/10.1177/0967010611431079.","noteIndex":89},"citationItems":[{"id":17771,"uris":["http://zotero.org/users/2506258/items/DZVTTWZ5"],"uri":["http://zotero.org/users/2506258/items/DZVTTWZ5"],"itemData":{"id":17771,"type":"article-journal","title":"Cyclones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 J."},{"family":"Rohozinski","given":"Rafal"},{"family":"Crete-Nishihata","given":"Masashi"}],"issued":{"date-parts":[["2012",2,1]]}}}],"schema":"https://github.com/citation-style-language/schema/raw/master/csl-citation.json"} </w:instrText>
      </w:r>
      <w:r>
        <w:fldChar w:fldCharType="separate"/>
      </w:r>
      <w:r w:rsidRPr="006C2BC2">
        <w:rPr>
          <w:rFonts w:cs="Times New Roman"/>
          <w:szCs w:val="24"/>
        </w:rPr>
        <w:t xml:space="preserve">Ronald J. Deibert, Rafal Rohozinski, and Masashi Crete-Nishihata, “Cyclones in Cyberspace: Information Shaping and Denial in the 2008 Russia–Georgia War,” </w:t>
      </w:r>
      <w:r w:rsidRPr="006C2BC2">
        <w:rPr>
          <w:rFonts w:cs="Times New Roman"/>
          <w:i/>
          <w:iCs/>
          <w:szCs w:val="24"/>
        </w:rPr>
        <w:t>Security Dialogue</w:t>
      </w:r>
      <w:r w:rsidRPr="006C2BC2">
        <w:rPr>
          <w:rFonts w:cs="Times New Roman"/>
          <w:szCs w:val="24"/>
        </w:rPr>
        <w:t xml:space="preserve"> 43, no. 1 (February 1, 2012): 3–24, https://doi.org/10.1177/0967010611431079.</w:t>
      </w:r>
      <w:r>
        <w:fldChar w:fldCharType="end"/>
      </w:r>
    </w:p>
  </w:footnote>
  <w:footnote w:id="88">
    <w:p w14:paraId="43FC00C8" w14:textId="46181178" w:rsidR="006C2BC2" w:rsidRDefault="006C2BC2">
      <w:pPr>
        <w:pStyle w:val="FootnoteText"/>
      </w:pPr>
      <w:r>
        <w:rPr>
          <w:rStyle w:val="FootnoteReference"/>
        </w:rPr>
        <w:footnoteRef/>
      </w:r>
      <w:r>
        <w:t xml:space="preserve"> </w:t>
      </w:r>
      <w:r>
        <w:fldChar w:fldCharType="begin"/>
      </w:r>
      <w:r>
        <w:instrText xml:space="preserve"> ADDIN ZOTERO_ITEM CSL_CITATION {"citationID":"cs65B2NP","properties":{"formattedCitation":"Driscoll and Maliniak, \\uc0\\u8220{}With Friends Like These.\\uc0\\u8221{}","plainCitation":"Driscoll and Maliniak, “With Friends Like These.”","noteIndex":90},"citationItems":[{"id":6245,"uris":["http://zotero.org/users/2506258/items/U4EBNS54"],"uri":["http://zotero.org/users/2506258/items/U4EBNS54"],"itemData":{"id":6245,"type":"article-journal","title":"With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r>
        <w:fldChar w:fldCharType="separate"/>
      </w:r>
      <w:r w:rsidRPr="006C2BC2">
        <w:rPr>
          <w:rFonts w:cs="Times New Roman"/>
          <w:szCs w:val="24"/>
        </w:rPr>
        <w:t>Driscoll and Maliniak, “With Friends Like These.”</w:t>
      </w:r>
      <w:r>
        <w:fldChar w:fldCharType="end"/>
      </w:r>
    </w:p>
  </w:footnote>
  <w:footnote w:id="89">
    <w:p w14:paraId="635D4A15" w14:textId="2EC3D17E" w:rsidR="006C2BC2" w:rsidRDefault="006C2BC2">
      <w:pPr>
        <w:pStyle w:val="FootnoteText"/>
      </w:pPr>
      <w:r>
        <w:rPr>
          <w:rStyle w:val="FootnoteReference"/>
        </w:rPr>
        <w:footnoteRef/>
      </w:r>
      <w:r>
        <w:t xml:space="preserve"> </w:t>
      </w:r>
      <w:r>
        <w:fldChar w:fldCharType="begin"/>
      </w:r>
      <w:r>
        <w:instrText xml:space="preserve"> ADDIN ZOTERO_ITEM CSL_CITATION {"citationID":"8d6cel3P","properties":{"formattedCitation":"Paulo Shakarian, \\uc0\\u8220{}The 2008 Russian Cyber Campaign against Georgia,\\uc0\\u8221{} {\\i{}Military Review} 91, no. 6 (November 1, 2011): 63; Michael Brecher et al., \\uc0\\u8220{}International Crisis Behavior Data Codebook,\\uc0\\u8221{} Codebook, 2017, http://sites.duke.edu/icbdata/data-collections/.","plainCitation":"Paulo Shakarian, “The 2008 Russian Cyber Campaign against Georgia,” Military Review 91, no. 6 (November 1, 2011): 63; Michael Brecher et al., “International Crisis Behavior Data Codebook,” Codebook, 2017, http://sites.duke.edu/icbdata/data-collections/.","noteIndex":91},"citationItems":[{"id":17765,"uris":["http://zotero.org/users/2506258/items/GS4JAR5X"],"uri":["http://zotero.org/users/2506258/items/GS4JAR5X"],"itemData":{"id":17765,"type":"article-journal","title":"The 2008 Russian Cyber Campaign against Georgia","container-title":"Military Review","page":"63","volume":"91","issue":"6","source":"www.questia.com","abstract":"[ILLUSTRATION OMITTED] IN AUGUST 2008, the Russian Army invaded Georgia. Numerous,...","ISSN":"0026-4148","language":"eng","author":[{"family":"Shakarian","given":"Paulo"}],"issued":{"date-parts":[["2011",11,1]]}}},{"id":17773,"uris":["http://zotero.org/users/2506258/items/S6E5US43"],"uri":["http://zotero.org/users/2506258/items/S6E5US43"],"itemData":{"id":17773,"type":"report","title":"International Crisis Behavior Data Codebook","genre":"Codebook","URL":"http://sites.duke.edu/icbdata/data-collections/","number":"Version 12","author":[{"family":"Brecher","given":"Michael"},{"family":"Wilkenfeld","given":"Jonathan"},{"family":"Beardsley","given":"Kyle C."},{"family":"James","given":"Patrick"},{"family":"Quinn","given":"David"}],"issued":{"date-parts":[["2017"]]}}}],"schema":"https://github.com/citation-style-language/schema/raw/master/csl-citation.json"} </w:instrText>
      </w:r>
      <w:r>
        <w:fldChar w:fldCharType="separate"/>
      </w:r>
      <w:r w:rsidRPr="006C2BC2">
        <w:rPr>
          <w:rFonts w:cs="Times New Roman"/>
          <w:szCs w:val="24"/>
        </w:rPr>
        <w:t xml:space="preserve">Paulo Shakarian, “The 2008 Russian Cyber Campaign against Georgia,” </w:t>
      </w:r>
      <w:r w:rsidRPr="006C2BC2">
        <w:rPr>
          <w:rFonts w:cs="Times New Roman"/>
          <w:i/>
          <w:iCs/>
          <w:szCs w:val="24"/>
        </w:rPr>
        <w:t>Military Review</w:t>
      </w:r>
      <w:r w:rsidRPr="006C2BC2">
        <w:rPr>
          <w:rFonts w:cs="Times New Roman"/>
          <w:szCs w:val="24"/>
        </w:rPr>
        <w:t xml:space="preserve"> 91, no. 6 (November 1, 2011): 63; Michael Brecher et al., “International Crisis Behavior Data Codebook,” Codebook, 2017, http://sites.duke.edu/icbdata/data-collections/.</w:t>
      </w:r>
      <w:r>
        <w:fldChar w:fldCharType="end"/>
      </w:r>
    </w:p>
  </w:footnote>
  <w:footnote w:id="90">
    <w:p w14:paraId="23C871B8" w14:textId="77486DC9" w:rsidR="006C2BC2" w:rsidRDefault="006C2BC2">
      <w:pPr>
        <w:pStyle w:val="FootnoteText"/>
      </w:pPr>
      <w:r>
        <w:rPr>
          <w:rStyle w:val="FootnoteReference"/>
        </w:rPr>
        <w:footnoteRef/>
      </w:r>
      <w:r>
        <w:t xml:space="preserve"> </w:t>
      </w:r>
      <w:r>
        <w:fldChar w:fldCharType="begin"/>
      </w:r>
      <w:r>
        <w:instrText xml:space="preserve"> ADDIN ZOTERO_ITEM CSL_CITATION {"citationID":"86LDr9fu","properties":{"formattedCitation":"Driscoll and Maliniak, \\uc0\\u8220{}With Friends Like These.\\uc0\\u8221{}","plainCitation":"Driscoll and Maliniak, “With Friends Like These.”","noteIndex":92},"citationItems":[{"id":6245,"uris":["http://zotero.org/users/2506258/items/U4EBNS54"],"uri":["http://zotero.org/users/2506258/items/U4EBNS54"],"itemData":{"id":6245,"type":"article-journal","title":"With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r>
        <w:fldChar w:fldCharType="separate"/>
      </w:r>
      <w:r w:rsidRPr="006C2BC2">
        <w:rPr>
          <w:rFonts w:cs="Times New Roman"/>
          <w:szCs w:val="24"/>
        </w:rPr>
        <w:t>Driscoll and Maliniak, “With Friends Like These.”</w:t>
      </w:r>
      <w:r>
        <w:fldChar w:fldCharType="end"/>
      </w:r>
    </w:p>
  </w:footnote>
  <w:footnote w:id="91">
    <w:p w14:paraId="0B978670" w14:textId="51D8C9AA" w:rsidR="006C2BC2" w:rsidRDefault="006C2BC2">
      <w:pPr>
        <w:pStyle w:val="FootnoteText"/>
      </w:pPr>
      <w:r>
        <w:rPr>
          <w:rStyle w:val="FootnoteReference"/>
        </w:rPr>
        <w:footnoteRef/>
      </w:r>
      <w:r>
        <w:t xml:space="preserve"> </w:t>
      </w:r>
      <w:r>
        <w:fldChar w:fldCharType="begin"/>
      </w:r>
      <w:r>
        <w:instrText xml:space="preserve"> ADDIN ZOTERO_ITEM CSL_CITATION {"citationID":"w7oLv6h4","properties":{"formattedCitation":"Driscoll and Maliniak.","plainCitation":"Driscoll and Maliniak.","noteIndex":93},"citationItems":[{"id":6245,"uris":["http://zotero.org/users/2506258/items/U4EBNS54"],"uri":["http://zotero.org/users/2506258/items/U4EBNS54"],"itemData":{"id":6245,"type":"article-journal","title":"With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r>
        <w:fldChar w:fldCharType="separate"/>
      </w:r>
      <w:r w:rsidRPr="00CB77FA">
        <w:t>Driscoll and Maliniak.</w:t>
      </w:r>
      <w:r>
        <w:fldChar w:fldCharType="end"/>
      </w:r>
    </w:p>
  </w:footnote>
  <w:footnote w:id="92">
    <w:p w14:paraId="3E96D57D" w14:textId="37FD39CE" w:rsidR="006C2BC2" w:rsidRDefault="006C2BC2">
      <w:pPr>
        <w:pStyle w:val="FootnoteText"/>
      </w:pPr>
      <w:r>
        <w:rPr>
          <w:rStyle w:val="FootnoteReference"/>
        </w:rPr>
        <w:footnoteRef/>
      </w:r>
      <w:r>
        <w:t xml:space="preserve"> </w:t>
      </w:r>
      <w:r>
        <w:fldChar w:fldCharType="begin"/>
      </w:r>
      <w:r>
        <w:instrText xml:space="preserve"> ADDIN ZOTERO_ITEM CSL_CITATION {"citationID":"009kkSLm","properties":{"formattedCitation":"Erik A. Gartzke and Koji Kagotani, \\uc0\\u8220{}Being There: U.S. Troop Deployments, Force Posture and Alliance Reliability\\uc0\\u8221{} (Working Paper, 2017).","plainCitation":"Erik A. Gartzke and Koji Kagotani, “Being There: U.S. Troop Deployments, Force Posture and Alliance Reliability” (Working Paper, 2017).","noteIndex":94},"citationItems":[{"id":17843,"uris":["http://zotero.org/users/2506258/items/NYL4RMAG"],"uri":["http://zotero.org/users/2506258/items/NYL4RMAG"],"itemData":{"id":17843,"type":"manuscript","title":"Being There: U.S. Troop Deployments, Force Posture and Alliance Reliability","genre":"Working Paper","author":[{"family":"Gartzke","given":"Erik A."},{"family":"Kagotani","given":"Koji"}],"issued":{"date-parts":[["2017"]]}}}],"schema":"https://github.com/citation-style-language/schema/raw/master/csl-citation.json"} </w:instrText>
      </w:r>
      <w:r>
        <w:fldChar w:fldCharType="separate"/>
      </w:r>
      <w:r w:rsidRPr="006C2BC2">
        <w:rPr>
          <w:rFonts w:cs="Times New Roman"/>
          <w:szCs w:val="24"/>
        </w:rPr>
        <w:t>Erik A. Gartzke and Koji Kagotani, “Being There: U.S. Troop Deployments, Force Posture and Alliance Reliability” (Working Paper, 2017).</w:t>
      </w:r>
      <w:r>
        <w:fldChar w:fldCharType="end"/>
      </w:r>
    </w:p>
  </w:footnote>
  <w:footnote w:id="93">
    <w:p w14:paraId="55A52D2B" w14:textId="5CC2084B" w:rsidR="006C2BC2" w:rsidRDefault="006C2BC2">
      <w:pPr>
        <w:pStyle w:val="FootnoteText"/>
      </w:pPr>
      <w:r>
        <w:rPr>
          <w:rStyle w:val="FootnoteReference"/>
        </w:rPr>
        <w:footnoteRef/>
      </w:r>
      <w:r>
        <w:t xml:space="preserve"> </w:t>
      </w:r>
      <w:r>
        <w:fldChar w:fldCharType="begin"/>
      </w:r>
      <w:r>
        <w:instrText xml:space="preserve"> ADDIN ZOTERO_ITEM CSL_CITATION {"citationID":"ZabEPBoU","properties":{"formattedCitation":"Laura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95},"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fldChar w:fldCharType="separate"/>
      </w:r>
      <w:r w:rsidRPr="006C2BC2">
        <w:rPr>
          <w:rFonts w:cs="Times New Roman"/>
          <w:szCs w:val="24"/>
        </w:rPr>
        <w:t xml:space="preserve">Laura Smith-Spark and James Masters, “Missile That Downed MH17 from ‘Russian Brigade,’” </w:t>
      </w:r>
      <w:r w:rsidRPr="006C2BC2">
        <w:rPr>
          <w:rFonts w:cs="Times New Roman"/>
          <w:i/>
          <w:iCs/>
          <w:szCs w:val="24"/>
        </w:rPr>
        <w:t>CNN</w:t>
      </w:r>
      <w:r w:rsidRPr="006C2BC2">
        <w:rPr>
          <w:rFonts w:cs="Times New Roman"/>
          <w:szCs w:val="24"/>
        </w:rPr>
        <w:t>, May 24, 2018, https://edition.cnn.com/2018/05/24/europe/mh17-plane-netherlands-russia-intl/index.html.</w:t>
      </w:r>
      <w:r>
        <w:fldChar w:fldCharType="end"/>
      </w:r>
    </w:p>
  </w:footnote>
  <w:footnote w:id="94">
    <w:p w14:paraId="6F504A8D" w14:textId="632C74AA" w:rsidR="006C2BC2" w:rsidRDefault="006C2BC2">
      <w:pPr>
        <w:pStyle w:val="FootnoteText"/>
      </w:pPr>
      <w:r>
        <w:rPr>
          <w:rStyle w:val="FootnoteReference"/>
        </w:rPr>
        <w:footnoteRef/>
      </w:r>
      <w:r>
        <w:t xml:space="preserve"> </w:t>
      </w:r>
      <w:r>
        <w:fldChar w:fldCharType="begin"/>
      </w:r>
      <w:r>
        <w:instrText xml:space="preserve"> ADDIN ZOTERO_ITEM CSL_CITATION {"citationID":"iK69tqJW","properties":{"formattedCitation":"Jesse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2019).","noteIndex":96},"citationItems":[{"id":17842,"uris":["http://zotero.org/users/2506258/items/YJ4KI4RY"],"uri":["http://zotero.org/users/2506258/items/YJ4KI4RY"],"itemData":{"id":17842,"type":"manuscript","title":"Social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r w:rsidRPr="006C2BC2">
        <w:rPr>
          <w:rFonts w:cs="Times New Roman"/>
          <w:szCs w:val="24"/>
        </w:rPr>
        <w:t>Jesse Driscoll and Zachary Steinert-Threlkeld, “Social Media and Russian Territorial Irredentism: Some Facts and a Conjecture” (Working Paper, 2019).</w:t>
      </w:r>
      <w:r>
        <w:fldChar w:fldCharType="end"/>
      </w:r>
    </w:p>
  </w:footnote>
  <w:footnote w:id="95">
    <w:p w14:paraId="36398B1F" w14:textId="15B60AE1" w:rsidR="006C2BC2" w:rsidRDefault="006C2BC2">
      <w:pPr>
        <w:pStyle w:val="FootnoteText"/>
      </w:pPr>
      <w:r>
        <w:rPr>
          <w:rStyle w:val="FootnoteReference"/>
        </w:rPr>
        <w:footnoteRef/>
      </w:r>
      <w:r>
        <w:t xml:space="preserve"> </w:t>
      </w:r>
      <w:r>
        <w:fldChar w:fldCharType="begin"/>
      </w:r>
      <w:r>
        <w:instrText xml:space="preserve"> ADDIN ZOTERO_ITEM CSL_CITATION {"citationID":"BigZFEAc","properties":{"formattedCitation":"Carson, {\\i{}Secret Wars}.","plainCitation":"Carson, Secret Wars.","noteIndex":97},"citationItems":[{"id":17470,"uris":["http://zotero.org/users/2506258/items/PEFPVY5I"],"uri":["http://zotero.org/users/2506258/items/PEFPVY5I"],"itemData":{"id":17470,"type":"book","title":"Secret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fldChar w:fldCharType="separate"/>
      </w:r>
      <w:r w:rsidRPr="006C2BC2">
        <w:rPr>
          <w:rFonts w:cs="Times New Roman"/>
          <w:szCs w:val="24"/>
        </w:rPr>
        <w:t xml:space="preserve">Carson, </w:t>
      </w:r>
      <w:r w:rsidRPr="006C2BC2">
        <w:rPr>
          <w:rFonts w:cs="Times New Roman"/>
          <w:i/>
          <w:iCs/>
          <w:szCs w:val="24"/>
        </w:rPr>
        <w:t>Secret Wars</w:t>
      </w:r>
      <w:r w:rsidRPr="006C2BC2">
        <w:rPr>
          <w:rFonts w:cs="Times New Roman"/>
          <w:szCs w:val="24"/>
        </w:rPr>
        <w:t>.</w:t>
      </w:r>
      <w:r>
        <w:fldChar w:fldCharType="end"/>
      </w:r>
    </w:p>
  </w:footnote>
  <w:footnote w:id="96">
    <w:p w14:paraId="0801575B" w14:textId="2582034D" w:rsidR="006C2BC2" w:rsidRDefault="006C2BC2">
      <w:pPr>
        <w:pStyle w:val="FootnoteText"/>
      </w:pPr>
      <w:r>
        <w:rPr>
          <w:rStyle w:val="FootnoteReference"/>
        </w:rPr>
        <w:footnoteRef/>
      </w:r>
      <w:r>
        <w:t xml:space="preserve"> </w:t>
      </w:r>
      <w:r>
        <w:fldChar w:fldCharType="begin"/>
      </w:r>
      <w:r>
        <w:instrText xml:space="preserve"> ADDIN ZOTERO_ITEM CSL_CITATION {"citationID":"9mtDa0bH","properties":{"formattedCitation":"Brantly, Cal, and Winkelstein, \\uc0\\u8220{}Defending the Borderland: Ukrainian Military Experiences with IO, Cyber, and EW.\\uc0\\u8221{}","plainCitation":"Brantly, Cal, and Winkelstein, “Defending the Borderland: Ukrainian Military Experiences with IO, Cyber, and EW.”","noteIndex":98},"citationItems":[{"id":16656,"uris":["http://zotero.org/users/2506258/items/BSYDS7NY"],"uri":["http://zotero.org/users/2506258/items/BSYDS7NY"],"itemData":{"id":16656,"type":"report","title":"Defending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F."},{"family":"Cal","given":"N."},{"family":"Winkelstein","given":"D."}],"issued":{"date-parts":[["2017",12,1]]},"accessed":{"date-parts":[["2018",10,11]]}}}],"schema":"https://github.com/citation-style-language/schema/raw/master/csl-citation.json"} </w:instrText>
      </w:r>
      <w:r>
        <w:fldChar w:fldCharType="separate"/>
      </w:r>
      <w:r w:rsidRPr="006C2BC2">
        <w:rPr>
          <w:rFonts w:cs="Times New Roman"/>
          <w:szCs w:val="24"/>
        </w:rPr>
        <w:t>Brantly, Cal, and Winkelstein, “Defending the Borderland: Ukrainian Military Experiences with IO, Cyber, and EW.”</w:t>
      </w:r>
      <w:r>
        <w:fldChar w:fldCharType="end"/>
      </w:r>
    </w:p>
  </w:footnote>
  <w:footnote w:id="97">
    <w:p w14:paraId="1F48A9F9" w14:textId="05F61C5C" w:rsidR="006C2BC2" w:rsidRDefault="006C2BC2">
      <w:pPr>
        <w:pStyle w:val="FootnoteText"/>
      </w:pPr>
      <w:r>
        <w:rPr>
          <w:rStyle w:val="FootnoteReference"/>
        </w:rPr>
        <w:footnoteRef/>
      </w:r>
      <w:r>
        <w:t xml:space="preserve"> </w:t>
      </w:r>
      <w:r>
        <w:fldChar w:fldCharType="begin"/>
      </w:r>
      <w:r>
        <w:instrText xml:space="preserve"> ADDIN ZOTERO_ITEM CSL_CITATION {"citationID":"IhSS0oOl","properties":{"formattedCitation":"Kenneth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https://www.wired.com/story/russian-hackers-attack-ukraine/.","noteIndex":99},"citationItems":[{"id":17848,"uris":["http://zotero.org/users/2506258/items/HSQ6VDVQ"],"uri":["http://zotero.org/users/2506258/items/HSQ6VDVQ"],"itemData":{"id":17848,"type":"book","title":"Cyber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fldChar w:fldCharType="separate"/>
      </w:r>
      <w:r w:rsidRPr="006C2BC2">
        <w:rPr>
          <w:rFonts w:cs="Times New Roman"/>
          <w:szCs w:val="24"/>
        </w:rPr>
        <w:t xml:space="preserve">Kenneth Geers, </w:t>
      </w:r>
      <w:r w:rsidRPr="006C2BC2">
        <w:rPr>
          <w:rFonts w:cs="Times New Roman"/>
          <w:i/>
          <w:iCs/>
          <w:szCs w:val="24"/>
        </w:rPr>
        <w:t>Cyber War in Perspective: Russian Aggression against Ukraine</w:t>
      </w:r>
      <w:r w:rsidRPr="006C2BC2">
        <w:rPr>
          <w:rFonts w:cs="Times New Roman"/>
          <w:szCs w:val="24"/>
        </w:rPr>
        <w:t xml:space="preserv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t>
      </w:r>
      <w:r w:rsidRPr="006C2BC2">
        <w:rPr>
          <w:rFonts w:cs="Times New Roman"/>
          <w:i/>
          <w:iCs/>
          <w:szCs w:val="24"/>
        </w:rPr>
        <w:t>Wired</w:t>
      </w:r>
      <w:r w:rsidRPr="006C2BC2">
        <w:rPr>
          <w:rFonts w:cs="Times New Roman"/>
          <w:szCs w:val="24"/>
        </w:rPr>
        <w:t>, June 20, 2017, https://www.wired.com/story/russian-hackers-attack-ukraine/.</w:t>
      </w:r>
      <w:r>
        <w:fldChar w:fldCharType="end"/>
      </w:r>
    </w:p>
  </w:footnote>
  <w:footnote w:id="98">
    <w:p w14:paraId="23A2D953" w14:textId="3C0E8EC6" w:rsidR="006C2BC2" w:rsidRDefault="006C2BC2">
      <w:pPr>
        <w:pStyle w:val="FootnoteText"/>
      </w:pPr>
      <w:r>
        <w:rPr>
          <w:rStyle w:val="FootnoteReference"/>
        </w:rPr>
        <w:footnoteRef/>
      </w:r>
      <w:r>
        <w:t xml:space="preserve"> </w:t>
      </w:r>
      <w:r>
        <w:fldChar w:fldCharType="begin"/>
      </w:r>
      <w:r>
        <w:instrText xml:space="preserve"> ADDIN ZOTERO_ITEM CSL_CITATION {"citationID":"bMOiILb1","properties":{"formattedCitation":"Greenberg, \\uc0\\u8220{}How An Entire Nation Became Russia\\uc0\\u8217{}s Test Lab for Cyberwar.\\uc0\\u8221{}","plainCitation":"Greenberg, “How An Entire Nation Became Russia’s Test Lab for Cyberwar.”","noteIndex":100},"citationItems":[{"id":17810,"uris":["http://zotero.org/users/2506258/items/XQ8AAKNZ"],"uri":["http://zotero.org/users/2506258/items/XQ8AAKNZ"],"itemData":{"id":17810,"type":"article-magazine","title":"How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fldChar w:fldCharType="separate"/>
      </w:r>
      <w:r w:rsidRPr="006C2BC2">
        <w:rPr>
          <w:rFonts w:cs="Times New Roman"/>
          <w:szCs w:val="24"/>
        </w:rPr>
        <w:t>Greenberg, “How An Entire Nation Became Russia’s Test Lab for Cyberwar.”</w:t>
      </w:r>
      <w:r>
        <w:fldChar w:fldCharType="end"/>
      </w:r>
    </w:p>
  </w:footnote>
  <w:footnote w:id="99">
    <w:p w14:paraId="585F5E13" w14:textId="2781B494" w:rsidR="006C2BC2" w:rsidRDefault="006C2BC2">
      <w:pPr>
        <w:pStyle w:val="FootnoteText"/>
      </w:pPr>
      <w:r>
        <w:rPr>
          <w:rStyle w:val="FootnoteReference"/>
        </w:rPr>
        <w:footnoteRef/>
      </w:r>
      <w:r>
        <w:t xml:space="preserve"> </w:t>
      </w:r>
      <w:r>
        <w:fldChar w:fldCharType="begin"/>
      </w:r>
      <w:r>
        <w:instrText xml:space="preserve"> ADDIN ZOTERO_ITEM CSL_CITATION {"citationID":"msj9Jud5","properties":{"formattedCitation":"Lindsay, \\uc0\\u8220{}Reinventing the Revolution.\\uc0\\u8221{}","plainCitation":"Lindsay, “Reinventing the Revolution.”","noteIndex":101},"citationItems":[{"id":791,"uris":["http://zotero.org/users/2506258/items/G75B9TFI"],"uri":["http://zotero.org/users/2506258/items/G75B9TFI"],"itemData":{"id":791,"type":"article-journal","title":"Reinventing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R."}],"issued":{"date-parts":[["2013",6,1]]}}}],"schema":"https://github.com/citation-style-language/schema/raw/master/csl-citation.json"} </w:instrText>
      </w:r>
      <w:r>
        <w:fldChar w:fldCharType="separate"/>
      </w:r>
      <w:r w:rsidRPr="006C2BC2">
        <w:rPr>
          <w:rFonts w:cs="Times New Roman"/>
          <w:szCs w:val="24"/>
        </w:rPr>
        <w:t>Lindsay, “Reinventing the Revolution.”</w:t>
      </w:r>
      <w:r>
        <w:fldChar w:fldCharType="end"/>
      </w:r>
    </w:p>
  </w:footnote>
  <w:footnote w:id="100">
    <w:p w14:paraId="03EDF5D0" w14:textId="69194503" w:rsidR="006C2BC2" w:rsidRPr="00BB5243" w:rsidRDefault="006C2BC2" w:rsidP="003179E9">
      <w:pPr>
        <w:pStyle w:val="FootnoteText"/>
        <w:rPr>
          <w:lang w:val="en-CA"/>
        </w:rPr>
      </w:pPr>
      <w:r w:rsidRPr="00BF58C4">
        <w:rPr>
          <w:rStyle w:val="FootnoteReference"/>
        </w:rPr>
        <w:footnoteRef/>
      </w:r>
      <w:r>
        <w:t xml:space="preserve"> </w:t>
      </w:r>
      <w:proofErr w:type="spellStart"/>
      <w:r>
        <w:t>NotPetya</w:t>
      </w:r>
      <w:proofErr w:type="spellEnd"/>
      <w:r>
        <w:t xml:space="preserve"> was a disk wiper malware disguised as ransomware (Petya) that exploited a National Security Agency (NSA) vulnerability called Eternal Blue. The White House estimates that global damages from </w:t>
      </w:r>
      <w:proofErr w:type="spellStart"/>
      <w:r>
        <w:t>NotPetya</w:t>
      </w:r>
      <w:proofErr w:type="spellEnd"/>
      <w:r>
        <w:t xml:space="preserve"> totaled $10 billion </w:t>
      </w:r>
      <w:r>
        <w:fldChar w:fldCharType="begin"/>
      </w:r>
      <w:r>
        <w:instrText xml:space="preserve"> ADDIN ZOTERO_ITEM CSL_CITATION {"citationID":"a2k8bbklouv","properties":{"formattedCitation":"\\uldash{Andy Greenberg, \\uc0\\u8220{}The Untold Story of NotPetya, the Most Devastating Cyberattack in History,\\uc0\\u8221{} {\\i{}Wired}, August 22, 2018, https://www.wired.com/story/notpetya-cyberattack-ukraine-russia-code-crashed-the-world/.}","plainCitation":"Andy Greenberg, “The Untold Story of NotPetya, the Most Devastating Cyberattack in History,” Wired, August 22, 2018, https://www.wired.com/story/notpetya-cyberattack-ukraine-russia-code-crashed-the-world/.","noteIndex":102},"citationItems":[{"id":17808,"uris":["http://zotero.org/users/2506258/items/A9CR7TL9"],"uri":["http://zotero.org/users/2506258/items/A9CR7TL9"],"itemData":{"id":17808,"type":"article-magazine","title":"The Untold Story of NotPetya, the Most Devastating Cyberattack in History","container-title":"Wired","source":"www.wired.com","abstract":"Crippled ports. Paralyzed corporations. Frozen government agencies. How a single piece of code crashed the world.","URL":"https://www.wired.com/story/notpetya-cyberattack-ukraine-russia-code-crashed-the-world/","ISSN":"1059-1028","author":[{"family":"Greenberg","given":"Andy"}],"issued":{"date-parts":[["2018",8,22]]},"accessed":{"date-parts":[["2019",2,5]]}}}],"schema":"https://github.com/citation-style-language/schema/raw/master/csl-citation.json"} </w:instrText>
      </w:r>
      <w:r>
        <w:fldChar w:fldCharType="separate"/>
      </w:r>
      <w:r w:rsidRPr="006C2BC2">
        <w:rPr>
          <w:rFonts w:cs="Times New Roman"/>
          <w:szCs w:val="24"/>
          <w:u w:val="dash"/>
        </w:rPr>
        <w:t xml:space="preserve">Andy Greenberg, “The Untold Story of NotPetya, the Most Devastating Cyberattack in History,” </w:t>
      </w:r>
      <w:r w:rsidRPr="006C2BC2">
        <w:rPr>
          <w:rFonts w:cs="Times New Roman"/>
          <w:i/>
          <w:iCs/>
          <w:szCs w:val="24"/>
          <w:u w:val="dash"/>
        </w:rPr>
        <w:t>Wired</w:t>
      </w:r>
      <w:r w:rsidRPr="006C2BC2">
        <w:rPr>
          <w:rFonts w:cs="Times New Roman"/>
          <w:szCs w:val="24"/>
          <w:u w:val="dash"/>
        </w:rPr>
        <w:t>, August 22, 2018, https://www.wired.com/story/notpetya-cyberattack-ukraine-russia-code-crashed-the-world/.</w:t>
      </w:r>
      <w:r>
        <w:fldChar w:fldCharType="end"/>
      </w:r>
    </w:p>
  </w:footnote>
  <w:footnote w:id="101">
    <w:p w14:paraId="2E694F4F" w14:textId="0CCE09DC" w:rsidR="006C2BC2" w:rsidRDefault="006C2BC2">
      <w:pPr>
        <w:pStyle w:val="FootnoteText"/>
      </w:pPr>
      <w:r>
        <w:rPr>
          <w:rStyle w:val="FootnoteReference"/>
        </w:rPr>
        <w:footnoteRef/>
      </w:r>
      <w:r>
        <w:t xml:space="preserve"> </w:t>
      </w:r>
      <w:r>
        <w:fldChar w:fldCharType="begin"/>
      </w:r>
      <w:r>
        <w:instrText xml:space="preserve"> ADDIN ZOTERO_ITEM CSL_CITATION {"citationID":"QwxxAbEI","properties":{"formattedCitation":"Kostyuk and Zhukov, \\uc0\\u8220{}Invisible Digital Front.\\uc0\\u8221{}","plainCitation":"Kostyuk and Zhukov, “Invisible Digital Front.”","noteIndex":103},"citationItems":[{"id":17701,"uris":["http://zotero.org/users/2506258/items/GUGFUQ8X"],"uri":["http://zotero.org/users/2506258/items/GUGFUQ8X"],"itemData":{"id":17701,"type":"article-journal","title":"Invisible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 </w:instrText>
      </w:r>
      <w:r>
        <w:fldChar w:fldCharType="separate"/>
      </w:r>
      <w:r w:rsidRPr="006C2BC2">
        <w:rPr>
          <w:rFonts w:cs="Times New Roman"/>
          <w:szCs w:val="24"/>
        </w:rPr>
        <w:t>Kostyuk and Zhukov, “Invisible Digital Front.”</w:t>
      </w:r>
      <w:r>
        <w:fldChar w:fldCharType="end"/>
      </w:r>
    </w:p>
  </w:footnote>
  <w:footnote w:id="102">
    <w:p w14:paraId="3FC46832" w14:textId="34ACCD6D" w:rsidR="006C2BC2" w:rsidRDefault="006C2BC2">
      <w:pPr>
        <w:pStyle w:val="FootnoteText"/>
      </w:pPr>
      <w:r>
        <w:rPr>
          <w:rStyle w:val="FootnoteReference"/>
        </w:rPr>
        <w:footnoteRef/>
      </w:r>
      <w:r>
        <w:t xml:space="preserve"> </w:t>
      </w:r>
      <w:r>
        <w:fldChar w:fldCharType="begin"/>
      </w:r>
      <w:r>
        <w:instrText xml:space="preserve"> ADDIN ZOTERO_ITEM CSL_CITATION {"citationID":"22YN4vpU","properties":{"formattedCitation":"Driscoll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Conjecture.”","noteIndex":104},"citationItems":[{"id":17842,"uris":["http://zotero.org/users/2506258/items/YJ4KI4RY"],"uri":["http://zotero.org/users/2506258/items/YJ4KI4RY"],"itemData":{"id":17842,"type":"manuscript","title":"Social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r w:rsidRPr="006C2BC2">
        <w:rPr>
          <w:rFonts w:cs="Times New Roman"/>
          <w:szCs w:val="24"/>
        </w:rPr>
        <w:t>Driscoll and Steinert-Threlkeld, “Social Media and Russian Territorial Irredentism: Some Facts and a Conjecture.”</w:t>
      </w:r>
      <w:r>
        <w:fldChar w:fldCharType="end"/>
      </w:r>
    </w:p>
  </w:footnote>
  <w:footnote w:id="103">
    <w:p w14:paraId="6C48E4B6" w14:textId="3A95F419" w:rsidR="006C2BC2" w:rsidRDefault="006C2BC2">
      <w:pPr>
        <w:pStyle w:val="FootnoteText"/>
      </w:pPr>
      <w:r>
        <w:rPr>
          <w:rStyle w:val="FootnoteReference"/>
        </w:rPr>
        <w:footnoteRef/>
      </w:r>
      <w:r>
        <w:t xml:space="preserve"> </w:t>
      </w:r>
      <w:r>
        <w:fldChar w:fldCharType="begin"/>
      </w:r>
      <w:r>
        <w:instrText xml:space="preserve"> ADDIN ZOTERO_ITEM CSL_CITATION {"citationID":"VJEMllyM","properties":{"formattedCitation":"Kimberly Marten, \\uc0\\u8220{}Trump and Putin, Through a Glass Darkly,\\uc0\\u8221{} {\\i{}Asia Policy} 23, no. 1 (February 10, 2017): 36\\uc0\\u8211{}42, https://doi.org/10.1353/asp.2017.0005; Joshua Rovner et al., \\uc0\\u8220{}Policy Roundtable 1-7: Russia and the 2016 U.S. Presidential Election,\\uc0\\u8221{} Policy Roundtable, H-Diplo ISSF, March 26, 2017, https://issforum.org/roundtables/policy/1-7-russia; Jensen, Valeriano, and Maness, \\uc0\\u8220{}Fancy Bears and Digital Trolls\\uc0\\u8221{}; Robert S. Mueller, \\uc0\\u8220{}Report On The Investigation Into Russian Interference In The 2016 Presidential Election,\\uc0\\u8221{} March 1, 2019, https://www.hsdl.org/?abstract&amp;did=.","plainCitation":"Kimberly Marten, “Trump and Putin, Through a Glass Darkly,” Asia Policy 23, no. 1 (February 10,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 https://www.hsdl.org/?abstract&amp;did=.","noteIndex":105},"citationItems":[{"id":17768,"uris":["http://zotero.org/users/2506258/items/3XIGHEKN"],"uri":["http://zotero.org/users/2506258/items/3XIGHEKN"],"itemData":{"id":17768,"type":"article-journal","title":"Trump and Putin, Through a Glass Darkly","container-title":"Asia Policy","page":"36-42","volume":"23","issue":"1","source":"Project MUSE","DOI":"10.1353/asp.2017.0005","ISSN":"1559-2960","language":"en","author":[{"family":"Marten","given":"Kimberly"}],"issued":{"date-parts":[["2017",2,10]]}}},{"id":17807,"uris":["http://zotero.org/users/2506258/items/FN9XCE97"],"uri":["http://zotero.org/users/2506258/items/FN9XCE97"],"itemData":{"id":17807,"type":"report","title":"Policy Roundtable 1-7: Russia and the 2016 U.S. Presidential Election","collection-title":"H-Diplo ISSF","genre":"Policy Roundtable","abstract":"Contents1 Introduction by Joshua Rovner, SMU2 Essay by Jon R. Lindsay, University of Toronto3 Essay by Kimberly Marten, Barnard College, Columbia University4 Essay by Lindsey A. O’Rourke, Boston College No one is sure what effect Russia had on the 2016 presidential election. The U.S. intelligence community and private sector cybersecurity firms are confident that Russian …","URL":"https://issforum.org/roundtables/policy/1-7-russia","number":"1-7","title-short":"Policy Roundtable 1-7","language":"en-US","author":[{"family":"Rovner","given":"Joshua"},{"family":"Lindsay","given":"Jon R."},{"family":"Marten","given":"Kimberly"},{"family":"O’Rourke","given":"Lindsey A."}],"issued":{"date-parts":[["2017",3,26]]},"accessed":{"date-parts":[["2019",2,5]]}}},{"id":17703,"uris":["http://zotero.org/users/2506258/items/SZCXCETX"],"uri":["http://zotero.org/users/2506258/items/SZCXCETX"],"itemData":{"id":17703,"type":"article-journal","title":"Fancy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 </w:instrText>
      </w:r>
      <w:r>
        <w:fldChar w:fldCharType="separate"/>
      </w:r>
      <w:r w:rsidRPr="006C2BC2">
        <w:rPr>
          <w:rFonts w:cs="Times New Roman"/>
          <w:szCs w:val="24"/>
        </w:rPr>
        <w:t xml:space="preserve">Kimberly Marten, “Trump and Putin, Through a Glass Darkly,” </w:t>
      </w:r>
      <w:r w:rsidRPr="006C2BC2">
        <w:rPr>
          <w:rFonts w:cs="Times New Roman"/>
          <w:i/>
          <w:iCs/>
          <w:szCs w:val="24"/>
        </w:rPr>
        <w:t>Asia Policy</w:t>
      </w:r>
      <w:r w:rsidRPr="006C2BC2">
        <w:rPr>
          <w:rFonts w:cs="Times New Roman"/>
          <w:szCs w:val="24"/>
        </w:rPr>
        <w:t xml:space="preserve"> 23, no. 1 (February 10,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 https://www.hsdl.org/?abstract&amp;did=.</w:t>
      </w:r>
      <w:r>
        <w:fldChar w:fldCharType="end"/>
      </w:r>
    </w:p>
  </w:footnote>
  <w:footnote w:id="104">
    <w:p w14:paraId="2A1FE9A9" w14:textId="49ADEB6E" w:rsidR="006C2BC2" w:rsidRDefault="006C2BC2">
      <w:pPr>
        <w:pStyle w:val="FootnoteText"/>
      </w:pPr>
      <w:r>
        <w:rPr>
          <w:rStyle w:val="FootnoteReference"/>
        </w:rPr>
        <w:footnoteRef/>
      </w:r>
      <w:r>
        <w:t xml:space="preserve"> </w:t>
      </w:r>
      <w:r>
        <w:fldChar w:fldCharType="begin"/>
      </w:r>
      <w:r>
        <w:instrText xml:space="preserve"> ADDIN ZOTERO_ITEM CSL_CITATION {"citationID":"WAurnTDS","properties":{"formattedCitation":"David P. Fidler, \\uc0\\u8220{}The U.S. Election Hacks, Cybersecurity, and International Law,\\uc0\\u8221{} {\\i{}AJIL Unbound} 110 (ed 2016): 337\\uc0\\u8211{}42, https://doi.org/10.1017/aju.2017.5.","plainCitation":"David P. Fidler, “The U.S. Election Hacks, Cybersecurity, and International Law,” AJIL Unbound 110 (ed 2016): 337–42, https://doi.org/10.1017/aju.2017.5.","noteIndex":106},"citationItems":[{"id":17769,"uris":["http://zotero.org/users/2506258/items/SWJVJPQM"],"uri":["http://zotero.org/users/2506258/items/SWJVJPQM"],"itemData":{"id":17769,"type":"article-journal","title":"The U.S. Election Hacks, Cybersecurity, and International Law","container-title":"AJIL Unbound","page":"337-342","volume":"110","source":"Cambridge Core","abstract":"In October 2016, the United States accused Russia of hacking political organizations involved in the U.S.\nelections and leaking pilfered information to influence the outcome. In December,\nPresident Obama imposed sanctions for the hacking. This incident damaged\nPresident Obama's cybersecurity legacy. The “hack and leak” campaign targeted\nAmerican self-government—a challenge to his administration's promotion of democracy\nin cyberspace. It created problems for the president's emphasis on international law\nand norms as “rules of the road” for cybersecurity. The episode exposed failures in\nhis attempts to make deterrence an important instrument of U.S. cybersecurity.","DOI":"10.1017/aju.2017.5","ISSN":"2398-7723","language":"en","author":[{"family":"Fidler","given":"David P."}],"issued":{"date-parts":[["2016"]],"season":"ed"}}}],"schema":"https://github.com/citation-style-language/schema/raw/master/csl-citation.json"} </w:instrText>
      </w:r>
      <w:r>
        <w:fldChar w:fldCharType="separate"/>
      </w:r>
      <w:r w:rsidRPr="006C2BC2">
        <w:rPr>
          <w:rFonts w:cs="Times New Roman"/>
          <w:szCs w:val="24"/>
        </w:rPr>
        <w:t xml:space="preserve">David P. Fidler, “The U.S. Election Hacks, Cybersecurity, and International Law,” </w:t>
      </w:r>
      <w:r w:rsidRPr="006C2BC2">
        <w:rPr>
          <w:rFonts w:cs="Times New Roman"/>
          <w:i/>
          <w:iCs/>
          <w:szCs w:val="24"/>
        </w:rPr>
        <w:t>AJIL Unbound</w:t>
      </w:r>
      <w:r w:rsidRPr="006C2BC2">
        <w:rPr>
          <w:rFonts w:cs="Times New Roman"/>
          <w:szCs w:val="24"/>
        </w:rPr>
        <w:t xml:space="preserve"> 110 (ed 2016): 337–42, https://doi.org/10.1017/aju.2017.5.</w:t>
      </w:r>
      <w:r>
        <w:fldChar w:fldCharType="end"/>
      </w:r>
    </w:p>
  </w:footnote>
  <w:footnote w:id="105">
    <w:p w14:paraId="6C2A4B13" w14:textId="5F09A632" w:rsidR="006C2BC2" w:rsidRDefault="006C2BC2">
      <w:pPr>
        <w:pStyle w:val="FootnoteText"/>
      </w:pPr>
      <w:r>
        <w:rPr>
          <w:rStyle w:val="FootnoteReference"/>
        </w:rPr>
        <w:footnoteRef/>
      </w:r>
      <w:r>
        <w:t xml:space="preserve"> </w:t>
      </w:r>
      <w:r>
        <w:fldChar w:fldCharType="begin"/>
      </w:r>
      <w:r>
        <w:instrText xml:space="preserve"> ADDIN ZOTERO_ITEM CSL_CITATION {"citationID":"NNLYgd7l","properties":{"formattedCitation":"Office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https://www.dni.gov/files/documents/ICA_2017_01.pdf.","noteIndex":107},"citationItems":[{"id":17806,"uris":["http://zotero.org/users/2506258/items/VGTRCG7G"],"uri":["http://zotero.org/users/2506258/items/VGTRCG7G"],"itemData":{"id":17806,"type":"report","title":"Assessing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fldChar w:fldCharType="separate"/>
      </w:r>
      <w:r w:rsidRPr="006C2BC2">
        <w:rPr>
          <w:rFonts w:cs="Times New Roman"/>
          <w:szCs w:val="24"/>
        </w:rPr>
        <w:t>Office of the Director of National Intelligence, “Assessing Russian Activities and Intentions in Recent US Elections,” Intelligence Community Assessment (Washington, DC: National Intelligence Council, January 6, 2017), https://www.dni.gov/files/documents/ICA_2017_01.pdf.</w:t>
      </w:r>
      <w:r>
        <w:fldChar w:fldCharType="end"/>
      </w:r>
    </w:p>
  </w:footnote>
  <w:footnote w:id="106">
    <w:p w14:paraId="759B360B" w14:textId="0EE40B7E" w:rsidR="006C2BC2" w:rsidRDefault="006C2BC2">
      <w:pPr>
        <w:pStyle w:val="FootnoteText"/>
      </w:pPr>
      <w:r>
        <w:rPr>
          <w:rStyle w:val="FootnoteReference"/>
        </w:rPr>
        <w:footnoteRef/>
      </w:r>
      <w:r>
        <w:t xml:space="preserve"> </w:t>
      </w:r>
      <w:r>
        <w:fldChar w:fldCharType="begin"/>
      </w:r>
      <w:r>
        <w:instrText xml:space="preserve"> ADDIN ZOTERO_ITEM CSL_CITATION {"citationID":"USgwy6F5","properties":{"formattedCitation":"Renee DiResta et al., \\uc0\\u8220{}The Tactics &amp; Tropes of the Internet Research Agency,\\uc0\\u8221{} Report for United States Senate Select Committee on Intelligence (New Knowledge, December 2018); Philip N Howard et al., \\uc0\\u8220{}The IRA, Social Media and Political Polarization in the United States, 2012-2018,\\uc0\\u8221{} Working Paper (Oxford, UK: Computational Propaganda Research Project, 2018); Mueller, \\uc0\\u8220{}Report On The Investigation Into Russian Interference In The 2016 Presidential Election.\\uc0\\u8221{}","plainCitation":"Renee DiResta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Election.”","noteIndex":108},"citationItems":[{"id":17868,"uris":["http://zotero.org/users/2506258/items/39X8P5WN"],"uri":["http://zotero.org/users/2506258/items/39X8P5WN"],"itemData":{"id":17868,"type":"report","title":"The Tactics &amp; Tropes of the Internet Research Agency","publisher":"New Knowledge","page":"101","genre":"Report for United States Senate Select Committee on Intelligence","source":"Zotero","language":"en","author":[{"family":"DiResta","given":"Renee"},{"family":"Shaffer","given":"Kris"},{"family":"Ruppel","given":"Becky"},{"family":"Matney","given":"Robert"},{"family":"Fox","given":"Ryan"},{"family":"Albright","given":"Jonathan"},{"family":"Johnson","given":"Ben"},{"family":"Research","given":"Canfield"}],"issued":{"date-parts":[["2018",12]]}}},{"id":17867,"uris":["http://zotero.org/users/2506258/items/WCXKFFJ9"],"uri":["http://zotero.org/users/2506258/items/WCXKFFJ9"],"itemData":{"id":17867,"type":"report","title":"The IRA, Social Media and Political Polarization in the United States, 2012-2018","publisher":"Computational Propaganda Research Project","publisher-place":"Oxford, UK","page":"47","genre":"Working Paper","source":"Zotero","event-place":"Oxford, UK","language":"en","author":[{"family":"Howard","given":"Philip N"},{"family":"Ganesh","given":"Bharath"},{"family":"Liotsiou","given":"Dimitra"},{"family":"Kelly","given":"John"},{"family":"François","given":"Camille"}],"issued":{"date-parts":[["2018"]]}}},{"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 </w:instrText>
      </w:r>
      <w:r>
        <w:fldChar w:fldCharType="separate"/>
      </w:r>
      <w:r w:rsidRPr="006C2BC2">
        <w:rPr>
          <w:rFonts w:cs="Times New Roman"/>
          <w:szCs w:val="24"/>
        </w:rPr>
        <w:t>Renee DiResta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w:t>
      </w:r>
      <w:r>
        <w:fldChar w:fldCharType="end"/>
      </w:r>
    </w:p>
  </w:footnote>
  <w:footnote w:id="107">
    <w:p w14:paraId="01B603E1" w14:textId="19ED7306" w:rsidR="006C2BC2" w:rsidRDefault="006C2BC2">
      <w:pPr>
        <w:pStyle w:val="FootnoteText"/>
      </w:pPr>
      <w:r>
        <w:rPr>
          <w:rStyle w:val="FootnoteReference"/>
        </w:rPr>
        <w:footnoteRef/>
      </w:r>
      <w:r>
        <w:t xml:space="preserve"> </w:t>
      </w:r>
      <w:r>
        <w:fldChar w:fldCharType="begin"/>
      </w:r>
      <w:r>
        <w:instrText xml:space="preserve"> ADDIN ZOTERO_ITEM CSL_CITATION {"citationID":"nmTkhgiP","properties":{"formattedCitation":"Andrew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https://doi.org/10.1080/2330443X.2017.1356775.","noteIndex":109},"citationItems":[{"id":"I50fQzQx/pGNNQGaf","uris":["http://zotero.org/users/471208/items/MQ9G4ADX"],"uri":["http://zotero.org/users/471208/items/MQ9G4ADX"],"itemData":{"id":8654,"type":"article-journal","title":"19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r w:rsidRPr="006C2BC2">
        <w:rPr>
          <w:rFonts w:cs="Times New Roman"/>
          <w:szCs w:val="24"/>
        </w:rPr>
        <w:t xml:space="preserve">Andrew Gelman and Julia Azari, “19 Things We Learned from the 2016 Election,” </w:t>
      </w:r>
      <w:r w:rsidRPr="006C2BC2">
        <w:rPr>
          <w:rFonts w:cs="Times New Roman"/>
          <w:i/>
          <w:iCs/>
          <w:szCs w:val="24"/>
        </w:rPr>
        <w:t>Statistics and Public Policy</w:t>
      </w:r>
      <w:r w:rsidRPr="006C2BC2">
        <w:rPr>
          <w:rFonts w:cs="Times New Roman"/>
          <w:szCs w:val="24"/>
        </w:rPr>
        <w:t xml:space="preserve"> 4, no. 1 (January 1, 2017): 1–10, https://doi.org/10.1080/2330443X.2017.1356775.</w:t>
      </w:r>
      <w:r>
        <w:fldChar w:fldCharType="end"/>
      </w:r>
    </w:p>
  </w:footnote>
  <w:footnote w:id="108">
    <w:p w14:paraId="7FAE6938" w14:textId="336C928F" w:rsidR="006C2BC2" w:rsidRDefault="006C2BC2">
      <w:pPr>
        <w:pStyle w:val="FootnoteText"/>
      </w:pPr>
      <w:r>
        <w:rPr>
          <w:rStyle w:val="FootnoteReference"/>
        </w:rPr>
        <w:footnoteRef/>
      </w:r>
      <w:r>
        <w:t xml:space="preserve"> </w:t>
      </w:r>
      <w:r>
        <w:fldChar w:fldCharType="begin"/>
      </w:r>
      <w:r>
        <w:instrText xml:space="preserve"> ADDIN ZOTERO_ITEM CSL_CITATION {"citationID":"Au44VltK","properties":{"formattedCitation":"John Sides, Michael Tesler, and Lynn Vavreck, {\\i{}Identity Crisis: The 2016 Presidential Campaign and the Battle for the Meaning of America} (Princeton, NJ: Princeton University Press, 2018).","plainCitation":"John Sides, Michael Tesler, and Lynn Vavreck, Identity Crisis: The 2016 Presidential Campaign and the Battle for the Meaning of America (Princeton, NJ: Princeton University Press, 2018).","noteIndex":110},"citationItems":[{"id":17805,"uris":["http://zotero.org/users/2506258/items/LQDAB9B8"],"uri":["http://zotero.org/users/2506258/items/LQDAB9B8"],"itemData":{"id":17805,"type":"book","title":"Identity crisis: the 2016 presidential campaign and the battle for the meaning of America","publisher":"Princeton University Press","publisher-place":"Princeton, NJ","number-of-pages":"352","source":"Library of Congress ISBN","event-place":"Princeton, NJ","ISBN":"978-0-691-17419-8","title-short":"Identity crisis","author":[{"family":"Sides","given":"John"},{"family":"Tesler","given":"Michael"},{"family":"Vavreck","given":"Lynn"}],"issued":{"date-parts":[["2018"]]}}}],"schema":"https://github.com/citation-style-language/schema/raw/master/csl-citation.json"} </w:instrText>
      </w:r>
      <w:r>
        <w:fldChar w:fldCharType="separate"/>
      </w:r>
      <w:r w:rsidRPr="006C2BC2">
        <w:rPr>
          <w:rFonts w:cs="Times New Roman"/>
          <w:szCs w:val="24"/>
        </w:rPr>
        <w:t xml:space="preserve">John Sides, Michael Tesler, and Lynn Vavreck, </w:t>
      </w:r>
      <w:r w:rsidRPr="006C2BC2">
        <w:rPr>
          <w:rFonts w:cs="Times New Roman"/>
          <w:i/>
          <w:iCs/>
          <w:szCs w:val="24"/>
        </w:rPr>
        <w:t>Identity Crisis: The 2016 Presidential Campaign and the Battle for the Meaning of America</w:t>
      </w:r>
      <w:r w:rsidRPr="006C2BC2">
        <w:rPr>
          <w:rFonts w:cs="Times New Roman"/>
          <w:szCs w:val="24"/>
        </w:rPr>
        <w:t xml:space="preserve"> (Princeton, NJ: Princeton University Press, 2018).</w:t>
      </w:r>
      <w:r>
        <w:fldChar w:fldCharType="end"/>
      </w:r>
    </w:p>
  </w:footnote>
  <w:footnote w:id="109">
    <w:p w14:paraId="7FCF8B56" w14:textId="072EB129" w:rsidR="006C2BC2" w:rsidRDefault="006C2BC2">
      <w:pPr>
        <w:pStyle w:val="FootnoteText"/>
      </w:pPr>
      <w:r>
        <w:rPr>
          <w:rStyle w:val="FootnoteReference"/>
        </w:rPr>
        <w:footnoteRef/>
      </w:r>
      <w:r>
        <w:t xml:space="preserve"> </w:t>
      </w:r>
      <w:r>
        <w:fldChar w:fldCharType="begin"/>
      </w:r>
      <w:r>
        <w:instrText xml:space="preserve"> ADDIN ZOTERO_ITEM CSL_CITATION {"citationID":"5M71tv23","properties":{"formattedCitation":"Paul Huth and Bruce Russett, \\uc0\\u8220{}Deterrence Failure and Crisis Escalation,\\uc0\\u8221{} {\\i{}International Studies Quarterly} 32, no. 1 (1988): 29\\uc0\\u8211{}45; Patrick M. Morgan, {\\i{}Deterrence Now} (New York: Cambridge University Press, 2003).","plainCitation":"Paul Huth and Bruce Russett, “Deterrence Failure and Crisis Escalation,” International Studies Quarterly 32, no. 1 (1988): 29–45; Patrick M. Morgan, Deterrence Now (New York: Cambridge University Press, 2003).","noteIndex":111},"citationItems":[{"id":"I50fQzQx/uulJDPDj","uris":["http://zotero.org/users/471208/items/HRTV2SWJ"],"uri":["http://zotero.org/users/471208/items/HRTV2SWJ"],"itemData":{"id":2156,"type":"article-journal","title":"Deterrence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I50fQzQx/ELV3a0K8","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instrText>
      </w:r>
      <w:r>
        <w:fldChar w:fldCharType="separate"/>
      </w:r>
      <w:r w:rsidRPr="006C2BC2">
        <w:rPr>
          <w:rFonts w:cs="Times New Roman"/>
          <w:szCs w:val="24"/>
        </w:rPr>
        <w:t xml:space="preserve">Paul Huth and Bruce Russett, “Deterrence Failure and Crisis Escalation,” </w:t>
      </w:r>
      <w:r w:rsidRPr="006C2BC2">
        <w:rPr>
          <w:rFonts w:cs="Times New Roman"/>
          <w:i/>
          <w:iCs/>
          <w:szCs w:val="24"/>
        </w:rPr>
        <w:t>International Studies Quarterly</w:t>
      </w:r>
      <w:r w:rsidRPr="006C2BC2">
        <w:rPr>
          <w:rFonts w:cs="Times New Roman"/>
          <w:szCs w:val="24"/>
        </w:rPr>
        <w:t xml:space="preserve"> 32, no. 1 (1988): 29–45; Patrick M. Morgan, </w:t>
      </w:r>
      <w:r w:rsidRPr="006C2BC2">
        <w:rPr>
          <w:rFonts w:cs="Times New Roman"/>
          <w:i/>
          <w:iCs/>
          <w:szCs w:val="24"/>
        </w:rPr>
        <w:t>Deterrence Now</w:t>
      </w:r>
      <w:r w:rsidRPr="006C2BC2">
        <w:rPr>
          <w:rFonts w:cs="Times New Roman"/>
          <w:szCs w:val="24"/>
        </w:rPr>
        <w:t xml:space="preserve"> (New York: Cambridge University Press, 2003).</w:t>
      </w:r>
      <w:r>
        <w:fldChar w:fldCharType="end"/>
      </w:r>
    </w:p>
  </w:footnote>
  <w:footnote w:id="110">
    <w:p w14:paraId="24C097D4" w14:textId="74D06685" w:rsidR="006C2BC2" w:rsidRDefault="006C2BC2">
      <w:pPr>
        <w:pStyle w:val="FootnoteText"/>
      </w:pPr>
      <w:r>
        <w:rPr>
          <w:rStyle w:val="FootnoteReference"/>
        </w:rPr>
        <w:footnoteRef/>
      </w:r>
      <w:r>
        <w:t xml:space="preserve"> </w:t>
      </w:r>
      <w:r>
        <w:fldChar w:fldCharType="begin"/>
      </w:r>
      <w:r>
        <w:instrText xml:space="preserve"> ADDIN ZOTERO_ITEM CSL_CITATION {"citationID":"0lpqOOKn","properties":{"formattedCitation":"Joseph S. Nye, \\uc0\\u8220{}Deterrence and Dissuasion in Cyberspace,\\uc0\\u8221{} {\\i{}International Security} 41, no. 3 (January 1, 2017): 44\\uc0\\u8211{}71, https://doi.org/10.1162/ISEC_a_00266; Lindsay and Gartzke, \\uc0\\u8220{}Coercion through Cyberspace: The Stability-Instability Paradox Revisited\\uc0\\u8221{}; Schneider, \\uc0\\u8220{}Deterrence in and through Cyberspace.\\uc0\\u8221{}","plainCitation":"Joseph S. Nye, “Deterrence and Dissuasion in Cyberspace,” International Security 41, no. 3 (January 1, 2017): 44–71, https://doi.org/10.1162/ISEC_a_00266; Lindsay and Gartzke, “Coercion through Cyberspace: The Stability-Instability Paradox Revisited”; Schneider, “Deterrence in and through Cyberspace.”","noteIndex":112},"citationItems":[{"id":7547,"uris":["http://zotero.org/users/2506258/items/PNHG8HQP"],"uri":["http://zotero.org/users/2506258/items/PNHG8HQP"],"itemData":{"id":7547,"type":"article-journal","title":"Deterrence and Dissuasion in Cyberspace","container-title":"International Security","page":"44-71","volume":"41","issue":"3","source":"MIT Press Journals","abstract":"Understanding deterrence and dissuasion in cyberspace is often difficult because our minds are captured by Cold War images of massive retaliation to a nuclear attack by nuclear means. The analogy to nuclear deterrence is misleading, however, because many aspects of cyber behavior are more like other behaviors, such as crime, that states try (imperfectly) to deter. Preventing harm in cyberspace involves four complex mechanisms: threats of punishment, denial, entanglement, and norms. Even when punishment is used, deterrent threats need not be limited to cyber responses, and they may address general behavior as well as specific acts. Cyber threats are plentiful, often ambiguous, and difficult to attribute. Problems of attribution are said to limit deterrence and dissuasion in the cyber domain, but three of the major means—denial by defense, entanglement, and normative taboos—are not strongly hindered by the attribution problem. The effectiveness of different mechanisms depends on context, and the question of whether deterrence works in cyberspace depends on “who and what.” Not all cyberattacks are of equal importance; not all can be deterred; and not all rise to the level of significant national security threats. The lesson for policymakers is to focus on the most important attacks and to understand the context in which such attacks may occur and the full range of mechanisms available to prevent them.","DOI":"10.1162/ISEC_a_00266","ISSN":"0162-2889","journalAbbreviation":"International Security","author":[{"family":"Nye","given":"Joseph S."}],"issued":{"date-parts":[["2017",1,1]]}}},{"id":15449,"uris":["http://zotero.org/users/2506258/items/222ETN4Z"],"uri":["http://zotero.org/users/2506258/items/222ETN4Z"],"itemData":{"id":15449,"type":"chapter","title":"Coercion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fldChar w:fldCharType="separate"/>
      </w:r>
      <w:r w:rsidRPr="006C2BC2">
        <w:rPr>
          <w:rFonts w:cs="Times New Roman"/>
          <w:szCs w:val="24"/>
        </w:rPr>
        <w:t xml:space="preserve">Joseph S. Nye, “Deterrence and Dissuasion in Cyberspace,” </w:t>
      </w:r>
      <w:r w:rsidRPr="006C2BC2">
        <w:rPr>
          <w:rFonts w:cs="Times New Roman"/>
          <w:i/>
          <w:iCs/>
          <w:szCs w:val="24"/>
        </w:rPr>
        <w:t>International Security</w:t>
      </w:r>
      <w:r w:rsidRPr="006C2BC2">
        <w:rPr>
          <w:rFonts w:cs="Times New Roman"/>
          <w:szCs w:val="24"/>
        </w:rPr>
        <w:t xml:space="preserve"> 41, no. 3 (January 1, 2017): 44–71, https://doi.org/10.1162/ISEC_a_00266; Lindsay and Gartzke, “Coercion through Cyberspace: The Stability-Instability Paradox Revisited”; Schneider, “Deterrence in and through Cyberspace.”</w:t>
      </w:r>
      <w:r>
        <w:fldChar w:fldCharType="end"/>
      </w:r>
    </w:p>
  </w:footnote>
  <w:footnote w:id="111">
    <w:p w14:paraId="0979597B" w14:textId="70BB396A" w:rsidR="006C2BC2" w:rsidRDefault="006C2BC2">
      <w:pPr>
        <w:pStyle w:val="FootnoteText"/>
      </w:pPr>
      <w:r>
        <w:rPr>
          <w:rStyle w:val="FootnoteReference"/>
        </w:rPr>
        <w:footnoteRef/>
      </w:r>
      <w:r>
        <w:t xml:space="preserve"> </w:t>
      </w:r>
      <w:r>
        <w:fldChar w:fldCharType="begin"/>
      </w:r>
      <w:r>
        <w:instrText xml:space="preserve"> ADDIN ZOTERO_ITEM CSL_CITATION {"citationID":"R2K7BZdJ","properties":{"formattedCitation":"Michael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113},"citationItems":[{"id":"I50fQzQx/I8jHRxC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I50fQzQx/yInEoYDu","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fldChar w:fldCharType="separate"/>
      </w:r>
      <w:r w:rsidRPr="006C2BC2">
        <w:rPr>
          <w:rFonts w:cs="Times New Roman"/>
          <w:szCs w:val="24"/>
        </w:rPr>
        <w:t xml:space="preserve">Michael McFaul, Stephen Sestanovich, and John J. Mearsheimer, “Faulty Powers: Who Started the Ukraine Crisis?,” </w:t>
      </w:r>
      <w:r w:rsidRPr="006C2BC2">
        <w:rPr>
          <w:rFonts w:cs="Times New Roman"/>
          <w:i/>
          <w:iCs/>
          <w:szCs w:val="24"/>
        </w:rPr>
        <w:t>Foreign Affairs</w:t>
      </w:r>
      <w:r w:rsidRPr="006C2BC2">
        <w:rPr>
          <w:rFonts w:cs="Times New Roman"/>
          <w:szCs w:val="24"/>
        </w:rPr>
        <w:t xml:space="preserve">, December 2014, http://www.foreignaffairs.com/articles/142260/michael-mcfaul-stephen-sestanovich-john-j-mearsheimer/faulty-powers; John J. Mearsheimer, “Why the Ukraine Crisis Is the West’s Fault: The Liberal Delusions That Provoked Putin,” </w:t>
      </w:r>
      <w:r w:rsidRPr="006C2BC2">
        <w:rPr>
          <w:rFonts w:cs="Times New Roman"/>
          <w:i/>
          <w:iCs/>
          <w:szCs w:val="24"/>
        </w:rPr>
        <w:t>Foreign Affairs</w:t>
      </w:r>
      <w:r w:rsidRPr="006C2BC2">
        <w:rPr>
          <w:rFonts w:cs="Times New Roman"/>
          <w:szCs w:val="24"/>
        </w:rPr>
        <w:t>, October 2014, http://www.foreignaffairs.com/articles/141769/john-j-mearsheimer/why-the-ukraine-crisis-is-the-wests-fault.</w:t>
      </w:r>
      <w:r>
        <w:fldChar w:fldCharType="end"/>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Lindsay">
    <w15:presenceInfo w15:providerId="Windows Live" w15:userId="52e69fb75756dfd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E08"/>
    <w:rsid w:val="0003160A"/>
    <w:rsid w:val="00035595"/>
    <w:rsid w:val="00040448"/>
    <w:rsid w:val="00042B06"/>
    <w:rsid w:val="00045097"/>
    <w:rsid w:val="00045949"/>
    <w:rsid w:val="00046CFF"/>
    <w:rsid w:val="000526D8"/>
    <w:rsid w:val="000C26FF"/>
    <w:rsid w:val="000C61EA"/>
    <w:rsid w:val="000E67AE"/>
    <w:rsid w:val="000F4C46"/>
    <w:rsid w:val="000F723F"/>
    <w:rsid w:val="001004A9"/>
    <w:rsid w:val="00105DE8"/>
    <w:rsid w:val="0011179C"/>
    <w:rsid w:val="00122383"/>
    <w:rsid w:val="00141554"/>
    <w:rsid w:val="00144EFC"/>
    <w:rsid w:val="00153F31"/>
    <w:rsid w:val="00161322"/>
    <w:rsid w:val="0016229E"/>
    <w:rsid w:val="0016431D"/>
    <w:rsid w:val="001A0EED"/>
    <w:rsid w:val="001B35A0"/>
    <w:rsid w:val="001C1071"/>
    <w:rsid w:val="001C4A74"/>
    <w:rsid w:val="001D4B20"/>
    <w:rsid w:val="001E21B6"/>
    <w:rsid w:val="001E4538"/>
    <w:rsid w:val="001F09E8"/>
    <w:rsid w:val="001F771E"/>
    <w:rsid w:val="00235DD8"/>
    <w:rsid w:val="002433F9"/>
    <w:rsid w:val="002478F6"/>
    <w:rsid w:val="00256856"/>
    <w:rsid w:val="00260E31"/>
    <w:rsid w:val="0027022B"/>
    <w:rsid w:val="0027207F"/>
    <w:rsid w:val="00274367"/>
    <w:rsid w:val="0029769F"/>
    <w:rsid w:val="002B3ACB"/>
    <w:rsid w:val="002C49EA"/>
    <w:rsid w:val="002D03A2"/>
    <w:rsid w:val="002D1A75"/>
    <w:rsid w:val="0030560D"/>
    <w:rsid w:val="00307C2B"/>
    <w:rsid w:val="003179E9"/>
    <w:rsid w:val="00325572"/>
    <w:rsid w:val="00326DF5"/>
    <w:rsid w:val="0034757E"/>
    <w:rsid w:val="00347FD7"/>
    <w:rsid w:val="00354AA2"/>
    <w:rsid w:val="00372C6F"/>
    <w:rsid w:val="003A37A8"/>
    <w:rsid w:val="003A39F6"/>
    <w:rsid w:val="003A511B"/>
    <w:rsid w:val="003D2C41"/>
    <w:rsid w:val="003D7CD5"/>
    <w:rsid w:val="003E120B"/>
    <w:rsid w:val="003E13AF"/>
    <w:rsid w:val="004038A0"/>
    <w:rsid w:val="00406F52"/>
    <w:rsid w:val="00412897"/>
    <w:rsid w:val="004239CC"/>
    <w:rsid w:val="004275F3"/>
    <w:rsid w:val="00434626"/>
    <w:rsid w:val="00460588"/>
    <w:rsid w:val="0047062D"/>
    <w:rsid w:val="00474772"/>
    <w:rsid w:val="00475602"/>
    <w:rsid w:val="00475E07"/>
    <w:rsid w:val="00476900"/>
    <w:rsid w:val="00483D1B"/>
    <w:rsid w:val="00490CBD"/>
    <w:rsid w:val="00495A37"/>
    <w:rsid w:val="00496AF1"/>
    <w:rsid w:val="004B1A61"/>
    <w:rsid w:val="004B6C1C"/>
    <w:rsid w:val="004C1A1B"/>
    <w:rsid w:val="004D2321"/>
    <w:rsid w:val="004D392E"/>
    <w:rsid w:val="004D409C"/>
    <w:rsid w:val="004F317D"/>
    <w:rsid w:val="00500754"/>
    <w:rsid w:val="0050501B"/>
    <w:rsid w:val="005202E0"/>
    <w:rsid w:val="00527057"/>
    <w:rsid w:val="00527EA5"/>
    <w:rsid w:val="00530F05"/>
    <w:rsid w:val="005324C0"/>
    <w:rsid w:val="00553D55"/>
    <w:rsid w:val="00576BE0"/>
    <w:rsid w:val="00585240"/>
    <w:rsid w:val="005879B5"/>
    <w:rsid w:val="005925A4"/>
    <w:rsid w:val="00593552"/>
    <w:rsid w:val="0059382B"/>
    <w:rsid w:val="005A0F0C"/>
    <w:rsid w:val="005A430D"/>
    <w:rsid w:val="005A43F8"/>
    <w:rsid w:val="005A68EC"/>
    <w:rsid w:val="005B374C"/>
    <w:rsid w:val="005C1193"/>
    <w:rsid w:val="005C2BF4"/>
    <w:rsid w:val="005C6857"/>
    <w:rsid w:val="00603A5E"/>
    <w:rsid w:val="0063120E"/>
    <w:rsid w:val="00636D17"/>
    <w:rsid w:val="00657E08"/>
    <w:rsid w:val="00681E3E"/>
    <w:rsid w:val="00687F0D"/>
    <w:rsid w:val="00690E52"/>
    <w:rsid w:val="006B52F5"/>
    <w:rsid w:val="006B5D48"/>
    <w:rsid w:val="006C15EE"/>
    <w:rsid w:val="006C2BC2"/>
    <w:rsid w:val="006D2136"/>
    <w:rsid w:val="006E0C06"/>
    <w:rsid w:val="007209AE"/>
    <w:rsid w:val="00721491"/>
    <w:rsid w:val="0072184C"/>
    <w:rsid w:val="007525B0"/>
    <w:rsid w:val="00762838"/>
    <w:rsid w:val="00770184"/>
    <w:rsid w:val="0077666F"/>
    <w:rsid w:val="00780106"/>
    <w:rsid w:val="007801A5"/>
    <w:rsid w:val="007B1ED2"/>
    <w:rsid w:val="007B519C"/>
    <w:rsid w:val="007C4A4E"/>
    <w:rsid w:val="007D5C7A"/>
    <w:rsid w:val="007D70B3"/>
    <w:rsid w:val="007E0388"/>
    <w:rsid w:val="007E7BE2"/>
    <w:rsid w:val="00802FFF"/>
    <w:rsid w:val="00816147"/>
    <w:rsid w:val="00816EBA"/>
    <w:rsid w:val="00844F89"/>
    <w:rsid w:val="008453AF"/>
    <w:rsid w:val="00870449"/>
    <w:rsid w:val="00882695"/>
    <w:rsid w:val="00882E64"/>
    <w:rsid w:val="008A087B"/>
    <w:rsid w:val="008A1863"/>
    <w:rsid w:val="008A7CDF"/>
    <w:rsid w:val="008B448E"/>
    <w:rsid w:val="008B49CD"/>
    <w:rsid w:val="008B7FCE"/>
    <w:rsid w:val="008C3E4B"/>
    <w:rsid w:val="008E5D53"/>
    <w:rsid w:val="008F67D3"/>
    <w:rsid w:val="0090322D"/>
    <w:rsid w:val="009150B0"/>
    <w:rsid w:val="00917743"/>
    <w:rsid w:val="009269EE"/>
    <w:rsid w:val="00955A56"/>
    <w:rsid w:val="009647DC"/>
    <w:rsid w:val="009713EE"/>
    <w:rsid w:val="00984F2C"/>
    <w:rsid w:val="00990F92"/>
    <w:rsid w:val="0099449B"/>
    <w:rsid w:val="00996CC0"/>
    <w:rsid w:val="009B28EA"/>
    <w:rsid w:val="009B3867"/>
    <w:rsid w:val="009B424E"/>
    <w:rsid w:val="009B52F3"/>
    <w:rsid w:val="009C0EE2"/>
    <w:rsid w:val="009C4DC1"/>
    <w:rsid w:val="009E5ABE"/>
    <w:rsid w:val="009F32D5"/>
    <w:rsid w:val="00A12C1D"/>
    <w:rsid w:val="00A157C9"/>
    <w:rsid w:val="00A21D29"/>
    <w:rsid w:val="00A403C9"/>
    <w:rsid w:val="00A53858"/>
    <w:rsid w:val="00A62E0C"/>
    <w:rsid w:val="00A76128"/>
    <w:rsid w:val="00A771B3"/>
    <w:rsid w:val="00A82218"/>
    <w:rsid w:val="00A836E6"/>
    <w:rsid w:val="00A83B5E"/>
    <w:rsid w:val="00A8426F"/>
    <w:rsid w:val="00AA1753"/>
    <w:rsid w:val="00AA506D"/>
    <w:rsid w:val="00AB1F4B"/>
    <w:rsid w:val="00AB2B8A"/>
    <w:rsid w:val="00AB4694"/>
    <w:rsid w:val="00AE0BFF"/>
    <w:rsid w:val="00AE2384"/>
    <w:rsid w:val="00AE3BB5"/>
    <w:rsid w:val="00AF797B"/>
    <w:rsid w:val="00B03317"/>
    <w:rsid w:val="00B1378E"/>
    <w:rsid w:val="00B15D66"/>
    <w:rsid w:val="00B20265"/>
    <w:rsid w:val="00B209BE"/>
    <w:rsid w:val="00B25F9C"/>
    <w:rsid w:val="00B32B21"/>
    <w:rsid w:val="00B34256"/>
    <w:rsid w:val="00B34FC7"/>
    <w:rsid w:val="00B36380"/>
    <w:rsid w:val="00B4512D"/>
    <w:rsid w:val="00B56182"/>
    <w:rsid w:val="00B56F1C"/>
    <w:rsid w:val="00B61712"/>
    <w:rsid w:val="00B63683"/>
    <w:rsid w:val="00B657DA"/>
    <w:rsid w:val="00B70C5D"/>
    <w:rsid w:val="00B727C0"/>
    <w:rsid w:val="00B8629E"/>
    <w:rsid w:val="00B9578D"/>
    <w:rsid w:val="00B975D9"/>
    <w:rsid w:val="00BA153E"/>
    <w:rsid w:val="00BA600B"/>
    <w:rsid w:val="00BB16CC"/>
    <w:rsid w:val="00BB3BED"/>
    <w:rsid w:val="00BC69D6"/>
    <w:rsid w:val="00BD4CB9"/>
    <w:rsid w:val="00BE547F"/>
    <w:rsid w:val="00BF58C4"/>
    <w:rsid w:val="00C07CF2"/>
    <w:rsid w:val="00C143E2"/>
    <w:rsid w:val="00C216EB"/>
    <w:rsid w:val="00C34591"/>
    <w:rsid w:val="00C74B5D"/>
    <w:rsid w:val="00C84027"/>
    <w:rsid w:val="00C87DE4"/>
    <w:rsid w:val="00CA033F"/>
    <w:rsid w:val="00CB77FA"/>
    <w:rsid w:val="00CC0083"/>
    <w:rsid w:val="00CD3F72"/>
    <w:rsid w:val="00CD46B2"/>
    <w:rsid w:val="00CD5B02"/>
    <w:rsid w:val="00CE2918"/>
    <w:rsid w:val="00CE5A13"/>
    <w:rsid w:val="00D20F33"/>
    <w:rsid w:val="00D3328A"/>
    <w:rsid w:val="00D45656"/>
    <w:rsid w:val="00D6142C"/>
    <w:rsid w:val="00D73D8D"/>
    <w:rsid w:val="00D74245"/>
    <w:rsid w:val="00D76809"/>
    <w:rsid w:val="00D97DFC"/>
    <w:rsid w:val="00DA2381"/>
    <w:rsid w:val="00DA2D14"/>
    <w:rsid w:val="00DC034C"/>
    <w:rsid w:val="00DF4806"/>
    <w:rsid w:val="00E07ADC"/>
    <w:rsid w:val="00E14DA0"/>
    <w:rsid w:val="00E2547B"/>
    <w:rsid w:val="00E654F1"/>
    <w:rsid w:val="00E662DF"/>
    <w:rsid w:val="00E70DAC"/>
    <w:rsid w:val="00E73336"/>
    <w:rsid w:val="00E925E9"/>
    <w:rsid w:val="00EA18E1"/>
    <w:rsid w:val="00EA5EBE"/>
    <w:rsid w:val="00EB1054"/>
    <w:rsid w:val="00EC2C13"/>
    <w:rsid w:val="00EC55FB"/>
    <w:rsid w:val="00ED238D"/>
    <w:rsid w:val="00EE5F1A"/>
    <w:rsid w:val="00F00A03"/>
    <w:rsid w:val="00F037F6"/>
    <w:rsid w:val="00F07385"/>
    <w:rsid w:val="00F14579"/>
    <w:rsid w:val="00F16F51"/>
    <w:rsid w:val="00F332E8"/>
    <w:rsid w:val="00F53AFC"/>
    <w:rsid w:val="00F74A5D"/>
    <w:rsid w:val="00F76B0D"/>
    <w:rsid w:val="00F821E1"/>
    <w:rsid w:val="00F837AA"/>
    <w:rsid w:val="00F90F86"/>
    <w:rsid w:val="00FA1EDF"/>
    <w:rsid w:val="00FA7A4E"/>
    <w:rsid w:val="00FB0630"/>
    <w:rsid w:val="00FB38B5"/>
    <w:rsid w:val="00FB500A"/>
    <w:rsid w:val="00FC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 w:type="paragraph" w:styleId="CommentSubject">
    <w:name w:val="annotation subject"/>
    <w:basedOn w:val="CommentText"/>
    <w:next w:val="CommentText"/>
    <w:link w:val="CommentSubjectChar"/>
    <w:uiPriority w:val="99"/>
    <w:semiHidden/>
    <w:unhideWhenUsed/>
    <w:rsid w:val="00ED238D"/>
    <w:rPr>
      <w:b/>
      <w:bCs/>
    </w:rPr>
  </w:style>
  <w:style w:type="character" w:customStyle="1" w:styleId="CommentSubjectChar">
    <w:name w:val="Comment Subject Char"/>
    <w:basedOn w:val="CommentTextChar"/>
    <w:link w:val="CommentSubject"/>
    <w:uiPriority w:val="99"/>
    <w:semiHidden/>
    <w:rsid w:val="00ED238D"/>
    <w:rPr>
      <w:b/>
      <w:bCs/>
      <w:sz w:val="20"/>
      <w:szCs w:val="20"/>
    </w:rPr>
  </w:style>
  <w:style w:type="character" w:styleId="Hyperlink">
    <w:name w:val="Hyperlink"/>
    <w:basedOn w:val="DefaultParagraphFont"/>
    <w:uiPriority w:val="99"/>
    <w:semiHidden/>
    <w:unhideWhenUsed/>
    <w:rsid w:val="00ED238D"/>
    <w:rPr>
      <w:color w:val="0000FF"/>
      <w:u w:val="single"/>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5D"/>
  </w:style>
  <w:style w:type="paragraph" w:styleId="Bibliography">
    <w:name w:val="Bibliography"/>
    <w:basedOn w:val="Normal"/>
    <w:next w:val="Normal"/>
    <w:uiPriority w:val="37"/>
    <w:unhideWhenUsed/>
    <w:rsid w:val="00F837AA"/>
    <w:pPr>
      <w:spacing w:after="240" w:line="240" w:lineRule="auto"/>
      <w:ind w:left="720" w:hanging="720"/>
    </w:pPr>
  </w:style>
  <w:style w:type="character" w:styleId="EndnoteReference">
    <w:name w:val="endnote reference"/>
    <w:basedOn w:val="DefaultParagraphFont"/>
    <w:uiPriority w:val="99"/>
    <w:semiHidden/>
    <w:unhideWhenUsed/>
    <w:rsid w:val="00802FFF"/>
    <w:rPr>
      <w:vertAlign w:val="superscript"/>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9798">
      <w:bodyDiv w:val="1"/>
      <w:marLeft w:val="0"/>
      <w:marRight w:val="0"/>
      <w:marTop w:val="0"/>
      <w:marBottom w:val="0"/>
      <w:divBdr>
        <w:top w:val="none" w:sz="0" w:space="0" w:color="auto"/>
        <w:left w:val="none" w:sz="0" w:space="0" w:color="auto"/>
        <w:bottom w:val="none" w:sz="0" w:space="0" w:color="auto"/>
        <w:right w:val="none" w:sz="0" w:space="0" w:color="auto"/>
      </w:divBdr>
      <w:divsChild>
        <w:div w:id="622227654">
          <w:marLeft w:val="480"/>
          <w:marRight w:val="0"/>
          <w:marTop w:val="0"/>
          <w:marBottom w:val="0"/>
          <w:divBdr>
            <w:top w:val="none" w:sz="0" w:space="0" w:color="auto"/>
            <w:left w:val="none" w:sz="0" w:space="0" w:color="auto"/>
            <w:bottom w:val="none" w:sz="0" w:space="0" w:color="auto"/>
            <w:right w:val="none" w:sz="0" w:space="0" w:color="auto"/>
          </w:divBdr>
          <w:divsChild>
            <w:div w:id="839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016">
      <w:bodyDiv w:val="1"/>
      <w:marLeft w:val="0"/>
      <w:marRight w:val="0"/>
      <w:marTop w:val="0"/>
      <w:marBottom w:val="0"/>
      <w:divBdr>
        <w:top w:val="none" w:sz="0" w:space="0" w:color="auto"/>
        <w:left w:val="none" w:sz="0" w:space="0" w:color="auto"/>
        <w:bottom w:val="none" w:sz="0" w:space="0" w:color="auto"/>
        <w:right w:val="none" w:sz="0" w:space="0" w:color="auto"/>
      </w:divBdr>
      <w:divsChild>
        <w:div w:id="1875269735">
          <w:marLeft w:val="480"/>
          <w:marRight w:val="0"/>
          <w:marTop w:val="0"/>
          <w:marBottom w:val="0"/>
          <w:divBdr>
            <w:top w:val="none" w:sz="0" w:space="0" w:color="auto"/>
            <w:left w:val="none" w:sz="0" w:space="0" w:color="auto"/>
            <w:bottom w:val="none" w:sz="0" w:space="0" w:color="auto"/>
            <w:right w:val="none" w:sz="0" w:space="0" w:color="auto"/>
          </w:divBdr>
          <w:divsChild>
            <w:div w:id="702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34548147">
          <w:marLeft w:val="480"/>
          <w:marRight w:val="0"/>
          <w:marTop w:val="0"/>
          <w:marBottom w:val="0"/>
          <w:divBdr>
            <w:top w:val="none" w:sz="0" w:space="0" w:color="auto"/>
            <w:left w:val="none" w:sz="0" w:space="0" w:color="auto"/>
            <w:bottom w:val="none" w:sz="0" w:space="0" w:color="auto"/>
            <w:right w:val="none" w:sz="0" w:space="0" w:color="auto"/>
          </w:divBdr>
          <w:divsChild>
            <w:div w:id="388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865">
      <w:bodyDiv w:val="1"/>
      <w:marLeft w:val="0"/>
      <w:marRight w:val="0"/>
      <w:marTop w:val="0"/>
      <w:marBottom w:val="0"/>
      <w:divBdr>
        <w:top w:val="none" w:sz="0" w:space="0" w:color="auto"/>
        <w:left w:val="none" w:sz="0" w:space="0" w:color="auto"/>
        <w:bottom w:val="none" w:sz="0" w:space="0" w:color="auto"/>
        <w:right w:val="none" w:sz="0" w:space="0" w:color="auto"/>
      </w:divBdr>
      <w:divsChild>
        <w:div w:id="2115897395">
          <w:marLeft w:val="480"/>
          <w:marRight w:val="0"/>
          <w:marTop w:val="0"/>
          <w:marBottom w:val="0"/>
          <w:divBdr>
            <w:top w:val="none" w:sz="0" w:space="0" w:color="auto"/>
            <w:left w:val="none" w:sz="0" w:space="0" w:color="auto"/>
            <w:bottom w:val="none" w:sz="0" w:space="0" w:color="auto"/>
            <w:right w:val="none" w:sz="0" w:space="0" w:color="auto"/>
          </w:divBdr>
          <w:divsChild>
            <w:div w:id="1476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17">
      <w:bodyDiv w:val="1"/>
      <w:marLeft w:val="0"/>
      <w:marRight w:val="0"/>
      <w:marTop w:val="0"/>
      <w:marBottom w:val="0"/>
      <w:divBdr>
        <w:top w:val="none" w:sz="0" w:space="0" w:color="auto"/>
        <w:left w:val="none" w:sz="0" w:space="0" w:color="auto"/>
        <w:bottom w:val="none" w:sz="0" w:space="0" w:color="auto"/>
        <w:right w:val="none" w:sz="0" w:space="0" w:color="auto"/>
      </w:divBdr>
      <w:divsChild>
        <w:div w:id="1764495973">
          <w:marLeft w:val="480"/>
          <w:marRight w:val="0"/>
          <w:marTop w:val="0"/>
          <w:marBottom w:val="0"/>
          <w:divBdr>
            <w:top w:val="none" w:sz="0" w:space="0" w:color="auto"/>
            <w:left w:val="none" w:sz="0" w:space="0" w:color="auto"/>
            <w:bottom w:val="none" w:sz="0" w:space="0" w:color="auto"/>
            <w:right w:val="none" w:sz="0" w:space="0" w:color="auto"/>
          </w:divBdr>
          <w:divsChild>
            <w:div w:id="2108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740">
      <w:bodyDiv w:val="1"/>
      <w:marLeft w:val="0"/>
      <w:marRight w:val="0"/>
      <w:marTop w:val="0"/>
      <w:marBottom w:val="0"/>
      <w:divBdr>
        <w:top w:val="none" w:sz="0" w:space="0" w:color="auto"/>
        <w:left w:val="none" w:sz="0" w:space="0" w:color="auto"/>
        <w:bottom w:val="none" w:sz="0" w:space="0" w:color="auto"/>
        <w:right w:val="none" w:sz="0" w:space="0" w:color="auto"/>
      </w:divBdr>
      <w:divsChild>
        <w:div w:id="768697126">
          <w:marLeft w:val="480"/>
          <w:marRight w:val="0"/>
          <w:marTop w:val="0"/>
          <w:marBottom w:val="0"/>
          <w:divBdr>
            <w:top w:val="none" w:sz="0" w:space="0" w:color="auto"/>
            <w:left w:val="none" w:sz="0" w:space="0" w:color="auto"/>
            <w:bottom w:val="none" w:sz="0" w:space="0" w:color="auto"/>
            <w:right w:val="none" w:sz="0" w:space="0" w:color="auto"/>
          </w:divBdr>
          <w:divsChild>
            <w:div w:id="1378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462">
      <w:bodyDiv w:val="1"/>
      <w:marLeft w:val="0"/>
      <w:marRight w:val="0"/>
      <w:marTop w:val="0"/>
      <w:marBottom w:val="0"/>
      <w:divBdr>
        <w:top w:val="none" w:sz="0" w:space="0" w:color="auto"/>
        <w:left w:val="none" w:sz="0" w:space="0" w:color="auto"/>
        <w:bottom w:val="none" w:sz="0" w:space="0" w:color="auto"/>
        <w:right w:val="none" w:sz="0" w:space="0" w:color="auto"/>
      </w:divBdr>
      <w:divsChild>
        <w:div w:id="1556234770">
          <w:marLeft w:val="480"/>
          <w:marRight w:val="0"/>
          <w:marTop w:val="0"/>
          <w:marBottom w:val="0"/>
          <w:divBdr>
            <w:top w:val="none" w:sz="0" w:space="0" w:color="auto"/>
            <w:left w:val="none" w:sz="0" w:space="0" w:color="auto"/>
            <w:bottom w:val="none" w:sz="0" w:space="0" w:color="auto"/>
            <w:right w:val="none" w:sz="0" w:space="0" w:color="auto"/>
          </w:divBdr>
          <w:divsChild>
            <w:div w:id="17022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731">
      <w:bodyDiv w:val="1"/>
      <w:marLeft w:val="0"/>
      <w:marRight w:val="0"/>
      <w:marTop w:val="0"/>
      <w:marBottom w:val="0"/>
      <w:divBdr>
        <w:top w:val="none" w:sz="0" w:space="0" w:color="auto"/>
        <w:left w:val="none" w:sz="0" w:space="0" w:color="auto"/>
        <w:bottom w:val="none" w:sz="0" w:space="0" w:color="auto"/>
        <w:right w:val="none" w:sz="0" w:space="0" w:color="auto"/>
      </w:divBdr>
      <w:divsChild>
        <w:div w:id="435830423">
          <w:marLeft w:val="480"/>
          <w:marRight w:val="0"/>
          <w:marTop w:val="0"/>
          <w:marBottom w:val="0"/>
          <w:divBdr>
            <w:top w:val="none" w:sz="0" w:space="0" w:color="auto"/>
            <w:left w:val="none" w:sz="0" w:space="0" w:color="auto"/>
            <w:bottom w:val="none" w:sz="0" w:space="0" w:color="auto"/>
            <w:right w:val="none" w:sz="0" w:space="0" w:color="auto"/>
          </w:divBdr>
          <w:divsChild>
            <w:div w:id="1451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2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561">
          <w:marLeft w:val="480"/>
          <w:marRight w:val="0"/>
          <w:marTop w:val="0"/>
          <w:marBottom w:val="0"/>
          <w:divBdr>
            <w:top w:val="none" w:sz="0" w:space="0" w:color="auto"/>
            <w:left w:val="none" w:sz="0" w:space="0" w:color="auto"/>
            <w:bottom w:val="none" w:sz="0" w:space="0" w:color="auto"/>
            <w:right w:val="none" w:sz="0" w:space="0" w:color="auto"/>
          </w:divBdr>
          <w:divsChild>
            <w:div w:id="1039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573">
      <w:bodyDiv w:val="1"/>
      <w:marLeft w:val="0"/>
      <w:marRight w:val="0"/>
      <w:marTop w:val="0"/>
      <w:marBottom w:val="0"/>
      <w:divBdr>
        <w:top w:val="none" w:sz="0" w:space="0" w:color="auto"/>
        <w:left w:val="none" w:sz="0" w:space="0" w:color="auto"/>
        <w:bottom w:val="none" w:sz="0" w:space="0" w:color="auto"/>
        <w:right w:val="none" w:sz="0" w:space="0" w:color="auto"/>
      </w:divBdr>
      <w:divsChild>
        <w:div w:id="1759280834">
          <w:marLeft w:val="480"/>
          <w:marRight w:val="0"/>
          <w:marTop w:val="0"/>
          <w:marBottom w:val="0"/>
          <w:divBdr>
            <w:top w:val="none" w:sz="0" w:space="0" w:color="auto"/>
            <w:left w:val="none" w:sz="0" w:space="0" w:color="auto"/>
            <w:bottom w:val="none" w:sz="0" w:space="0" w:color="auto"/>
            <w:right w:val="none" w:sz="0" w:space="0" w:color="auto"/>
          </w:divBdr>
          <w:divsChild>
            <w:div w:id="654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0D93-14DD-4617-BA3F-F04FA36B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33</Pages>
  <Words>10716</Words>
  <Characters>61084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Gannon</cp:lastModifiedBy>
  <cp:revision>57</cp:revision>
  <dcterms:created xsi:type="dcterms:W3CDTF">2019-06-15T17:54:00Z</dcterms:created>
  <dcterms:modified xsi:type="dcterms:W3CDTF">2019-06-17T18:27:00Z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id="GrCyfQul"/&gt;&lt;style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 name="delayCitationUpdates" value="true"/&gt;&lt;pref name="dontAskDelayCitationUpdates" value="true"/&gt;&lt;/prefs&gt;&lt;/data&gt;</vt:lpwstr>
  </property>
</Properties>
</file>