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546B" w14:textId="77777777" w:rsidR="000A77B7" w:rsidRDefault="00470E9F" w:rsidP="00BE03C9">
      <w:pPr>
        <w:pStyle w:val="Articletitle"/>
      </w:pPr>
      <w:r>
        <w:t>After Deterrence: Explaining Conflict Short of War</w:t>
      </w:r>
    </w:p>
    <w:p w14:paraId="011F5F85" w14:textId="70CEFB8D" w:rsidR="000A77B7" w:rsidRDefault="00604876" w:rsidP="00EA137F">
      <w:pPr>
        <w:pStyle w:val="Receiveddates"/>
      </w:pPr>
      <w:r>
        <w:t>September</w:t>
      </w:r>
      <w:r w:rsidR="00470E9F">
        <w:t xml:space="preserve"> 2019</w:t>
      </w:r>
    </w:p>
    <w:p w14:paraId="2BA03235" w14:textId="05ACB784" w:rsidR="000A77B7" w:rsidRDefault="00470E9F" w:rsidP="00EA137F">
      <w:pPr>
        <w:pStyle w:val="Abstract"/>
      </w:pPr>
      <w:r>
        <w:t xml:space="preserve">Russia’s intervention in Ukraine </w:t>
      </w:r>
      <w:r w:rsidR="007A65BC">
        <w:t>is a form of limited</w:t>
      </w:r>
      <w:r>
        <w:t xml:space="preserve"> conflict in the “gray zone” between peace and war. </w:t>
      </w:r>
      <w:r w:rsidR="007A65BC">
        <w:t>Some wars are limited because at least one belligerent has only</w:t>
      </w:r>
      <w:r>
        <w:t xml:space="preserve"> limited means. Gray zone conflict, by contrast, involves strong nation-state</w:t>
      </w:r>
      <w:r w:rsidR="007A65BC">
        <w:t>s</w:t>
      </w:r>
      <w:r>
        <w:t xml:space="preserve"> </w:t>
      </w:r>
      <w:r w:rsidR="007A65BC">
        <w:t xml:space="preserve">that have plenty of means but </w:t>
      </w:r>
      <w:r>
        <w:t xml:space="preserve">limited ends. </w:t>
      </w:r>
      <w:r w:rsidR="007A65BC">
        <w:t>C</w:t>
      </w:r>
      <w:r>
        <w:t xml:space="preserve">apable actors might employ only a subset of their capabilities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w:t>
      </w:r>
      <w:r w:rsidR="007A65BC">
        <w:t>can be</w:t>
      </w:r>
      <w:r>
        <w:t xml:space="preserve"> </w:t>
      </w:r>
      <w:r w:rsidR="007A65BC">
        <w:t xml:space="preserve">interpreted </w:t>
      </w:r>
      <w:r>
        <w:t xml:space="preserve">as a </w:t>
      </w:r>
      <w:r w:rsidR="007A65BC">
        <w:t>symptom of successful deterrence rather than evidence of deterrence failure</w:t>
      </w:r>
      <w:r>
        <w:t>.</w:t>
      </w:r>
    </w:p>
    <w:p w14:paraId="3BB2DA45" w14:textId="77777777" w:rsidR="000A77B7" w:rsidRDefault="000A77B7" w:rsidP="004C76DC">
      <w:pPr>
        <w:pStyle w:val="Newparagraph"/>
      </w:pPr>
    </w:p>
    <w:p w14:paraId="576C6531" w14:textId="7835EDC5" w:rsidR="000A77B7" w:rsidRDefault="00470E9F" w:rsidP="004C76DC">
      <w:pPr>
        <w:pStyle w:val="Newparagraph"/>
      </w:pPr>
      <w:r>
        <w:t xml:space="preserve">Word Count: </w:t>
      </w:r>
      <w:r w:rsidR="00B1722C">
        <w:fldChar w:fldCharType="begin"/>
      </w:r>
      <w:r w:rsidR="00B1722C">
        <w:instrText xml:space="preserve"> NUMWORDS   \* MERGEFORMAT </w:instrText>
      </w:r>
      <w:r w:rsidR="00B1722C">
        <w:fldChar w:fldCharType="separate"/>
      </w:r>
      <w:r w:rsidR="00CD1C66">
        <w:rPr>
          <w:noProof/>
        </w:rPr>
        <w:t>9498</w:t>
      </w:r>
      <w:r w:rsidR="00B1722C">
        <w:rPr>
          <w:noProof/>
        </w:rPr>
        <w:fldChar w:fldCharType="end"/>
      </w:r>
      <w:r w:rsidR="00CD1C66">
        <w:t xml:space="preserve"> (excluding footnotes)</w:t>
      </w:r>
      <w:r>
        <w:br w:type="page"/>
      </w:r>
    </w:p>
    <w:p w14:paraId="7472DBF8" w14:textId="77777777" w:rsidR="000A77B7" w:rsidRDefault="00470E9F" w:rsidP="00EA137F">
      <w:pPr>
        <w:pStyle w:val="Heading1"/>
      </w:pPr>
      <w:r>
        <w:lastRenderedPageBreak/>
        <w:t>Introduction</w:t>
      </w:r>
    </w:p>
    <w:p w14:paraId="756DAAC2" w14:textId="0EC75FFF" w:rsidR="000A77B7" w:rsidRDefault="00470E9F" w:rsidP="00090CF0">
      <w:pPr>
        <w:pStyle w:val="Newparagraph"/>
        <w:ind w:firstLine="0"/>
      </w:pPr>
      <w:r>
        <w:t xml:space="preserve">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w:t>
      </w:r>
      <w:r w:rsidR="007A65BC">
        <w:t xml:space="preserve">it </w:t>
      </w:r>
      <w:r>
        <w:t>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w:t>
      </w:r>
      <w:r w:rsidR="00944269">
        <w:t xml:space="preserve">a </w:t>
      </w:r>
      <w:r>
        <w:t>wave of nationalist populism opposed to the “liberal inter</w:t>
      </w:r>
      <w:bookmarkStart w:id="1" w:name="_GoBack"/>
      <w:bookmarkEnd w:id="1"/>
      <w:r>
        <w:t>national order,” while ensuring that military confrontation between Russia and NATO does not take place.</w:t>
      </w:r>
      <w:r>
        <w:rPr>
          <w:rStyle w:val="FootnoteAnchor"/>
        </w:rPr>
        <w:footnoteReference w:id="3"/>
      </w:r>
    </w:p>
    <w:p w14:paraId="0B3CC373" w14:textId="2226DBCE" w:rsidR="000A77B7" w:rsidRDefault="00470E9F" w:rsidP="004C76DC">
      <w:pPr>
        <w:pStyle w:val="Newparagraph"/>
      </w:pPr>
      <w:r>
        <w:lastRenderedPageBreak/>
        <w:t>According to former British Defense Secretary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gray zone” has </w:t>
      </w:r>
      <w:r w:rsidR="008B030E">
        <w:t xml:space="preserve">also </w:t>
      </w:r>
      <w:r>
        <w:t>been extended to “little blue men” used by China to erode “red lines” in maritime East Asia.</w:t>
      </w:r>
      <w:r>
        <w:rPr>
          <w:rStyle w:val="FootnoteAnchor"/>
        </w:rPr>
        <w:footnoteReference w:id="5"/>
      </w:r>
      <w: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w:t>
      </w:r>
      <w:r>
        <w:rPr>
          <w:rStyle w:val="FootnoteAnchor"/>
        </w:rPr>
        <w:footnoteReference w:id="6"/>
      </w:r>
    </w:p>
    <w:p w14:paraId="3522C6B4" w14:textId="2991A0F0" w:rsidR="000A77B7" w:rsidRDefault="00470E9F" w:rsidP="004C76DC">
      <w:pPr>
        <w:pStyle w:val="Newparagraph"/>
      </w:pPr>
      <w:r>
        <w:lastRenderedPageBreak/>
        <w:t xml:space="preserve">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w:t>
      </w:r>
      <w:r w:rsidR="008B030E">
        <w:t>If political-military influence can be more effectively achieved through overt intervention, albeit at increased cost and risk, then c</w:t>
      </w:r>
      <w:r>
        <w:t>overt intervention and cyber campaigns are better understood as sub-optimal, “second-best” strategies for maximizing influence</w:t>
      </w:r>
      <w:r w:rsidR="008B030E">
        <w:t xml:space="preserve">. </w:t>
      </w:r>
      <w:r>
        <w:t>In sum, gray zone actors do not care enough to send the very best.</w:t>
      </w:r>
    </w:p>
    <w:p w14:paraId="122DBC83" w14:textId="3A86C137" w:rsidR="000A77B7" w:rsidRDefault="00470E9F" w:rsidP="004C76DC">
      <w:pPr>
        <w:pStyle w:val="Newparagraph"/>
      </w:pPr>
      <w:r>
        <w:t xml:space="preserve">The good news in our </w:t>
      </w:r>
      <w:r w:rsidR="008B030E">
        <w:t>interpretation</w:t>
      </w:r>
      <w:r>
        <w:t xml:space="preserve"> is that gray zone conflict is a response to deterrence success. </w:t>
      </w:r>
      <w:r w:rsidR="008B030E">
        <w:t xml:space="preserve">We expect the </w:t>
      </w:r>
      <w:r>
        <w:t xml:space="preserve">severity of gray zone conflict </w:t>
      </w:r>
      <w:r w:rsidR="008B030E">
        <w:t>to</w:t>
      </w:r>
      <w:r>
        <w:t xml:space="preserve"> be attenuated wherever the defender’s power and resolve are higher. The bad news is that gray zone conflict probes the threshold of deterrence effectiveness. </w:t>
      </w:r>
      <w:r w:rsidR="00090CF0">
        <w:t>Thus,</w:t>
      </w:r>
      <w:r w:rsidR="008B030E">
        <w:t xml:space="preserve"> we expect</w:t>
      </w:r>
      <w:r>
        <w:t xml:space="preserve"> conflict severity </w:t>
      </w:r>
      <w:r w:rsidR="008B030E">
        <w:t xml:space="preserve">to </w:t>
      </w:r>
      <w:r>
        <w:t xml:space="preserve">be greater where defender power and resolve is more questionable. A nation’s interests </w:t>
      </w:r>
      <w:r w:rsidR="008B030E">
        <w:t xml:space="preserve">tend to </w:t>
      </w:r>
      <w:r>
        <w:t xml:space="preserve">vary across different issue areas, as </w:t>
      </w:r>
      <w:r w:rsidR="008B030E">
        <w:t xml:space="preserve">does </w:t>
      </w:r>
      <w:r>
        <w:t>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test this hypothesis by </w:t>
      </w:r>
      <w:r>
        <w:lastRenderedPageBreak/>
        <w:t xml:space="preserve">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14:paraId="7FA5AE40" w14:textId="77777777" w:rsidR="000A77B7" w:rsidRDefault="00470E9F" w:rsidP="004C76DC">
      <w:pPr>
        <w:pStyle w:val="Newparagraph"/>
      </w:pPr>
      <w: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121AC417" w14:textId="77777777" w:rsidR="000A77B7" w:rsidRDefault="00470E9F" w:rsidP="00EA137F">
      <w:pPr>
        <w:pStyle w:val="Heading1"/>
      </w:pPr>
      <w:r>
        <w:t>Between Peace and War</w:t>
      </w:r>
    </w:p>
    <w:p w14:paraId="27E15D21" w14:textId="77777777" w:rsidR="000A77B7" w:rsidRDefault="00470E9F" w:rsidP="00090CF0">
      <w:pPr>
        <w:pStyle w:val="Newparagraph"/>
        <w:ind w:firstLine="0"/>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proxy wars.</w:t>
      </w:r>
      <w:r>
        <w:rPr>
          <w:rStyle w:val="FootnoteAnchor"/>
        </w:rPr>
        <w:footnoteReference w:id="9"/>
      </w:r>
      <w:r>
        <w:t xml:space="preserve"> Many (but not all) of these concepts emphasize asymmetric struggles with combatants that are </w:t>
      </w:r>
      <w:r>
        <w:rPr>
          <w:i/>
        </w:rPr>
        <w:t xml:space="preserve">unable </w:t>
      </w:r>
      <w:r>
        <w:t xml:space="preserve">in material terms to fight on a larger scale or with higher intensity. </w:t>
      </w:r>
    </w:p>
    <w:p w14:paraId="0BBE8C5D" w14:textId="29F6EE6C" w:rsidR="000A77B7" w:rsidRDefault="00470E9F" w:rsidP="004C76DC">
      <w:pPr>
        <w:pStyle w:val="Newparagraph"/>
      </w:pPr>
      <w:r>
        <w:lastRenderedPageBreak/>
        <w:t>The interesting puzzle about gray zone conflict, as we will use the term here, is that adversaries are</w:t>
      </w:r>
      <w:r w:rsidR="008B030E">
        <w:t xml:space="preserve"> able but</w:t>
      </w:r>
      <w:r>
        <w:t xml:space="preserve"> </w:t>
      </w:r>
      <w:r>
        <w:rPr>
          <w:i/>
        </w:rPr>
        <w:t xml:space="preserve">unwilling </w:t>
      </w:r>
      <w:r>
        <w:t>to broaden the scope or intensity of a military engagement.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Pr>
          <w:rStyle w:val="FootnoteAnchor"/>
        </w:rPr>
        <w:footnoteReference w:id="10"/>
      </w:r>
      <w:r>
        <w:t xml:space="preserve"> General Votel has described the Cold War as “a 45-year-long Gray Zone struggle” in which the </w:t>
      </w:r>
      <w:r>
        <w:lastRenderedPageBreak/>
        <w:t>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sidR="00056E96">
        <w:t>.</w:t>
      </w:r>
      <w:r>
        <w:rPr>
          <w:rStyle w:val="FootnoteAnchor"/>
        </w:rPr>
        <w:footnoteReference w:id="11"/>
      </w:r>
      <w:r>
        <w:t xml:space="preserve"> Today many are concerned about an emerging manifestation of limited war, often called “gray zone conflict.” United States Special Operations Command (SOCOM) has defined it as:</w:t>
      </w:r>
    </w:p>
    <w:p w14:paraId="281B894E" w14:textId="77777777" w:rsidR="000A77B7" w:rsidRDefault="00470E9F" w:rsidP="00EA137F">
      <w:pPr>
        <w:pStyle w:val="Displayedquotation"/>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14:paraId="436F2DAF" w14:textId="77777777" w:rsidR="000A77B7" w:rsidRDefault="00470E9F" w:rsidP="004C76DC">
      <w:pPr>
        <w:pStyle w:val="Newparagraph"/>
      </w:pPr>
      <w:r>
        <w:t xml:space="preserve">Again, this is not a new problem. </w:t>
      </w:r>
      <w:bookmarkStart w:id="4" w:name="_kr66excyhdrs"/>
      <w:bookmarkEnd w:id="4"/>
      <w:r>
        <w:t>While it is convenient to think of peace and war as dichotomous, discrete outcomes, observers have long recognized that tension and violence exist 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war in the </w:t>
      </w:r>
      <w:r>
        <w:lastRenderedPageBreak/>
        <w:t xml:space="preserve">shadow of nuclear weapons (war limited by risks), and low-intensity conflict with irregular forces (war limited by means). </w:t>
      </w:r>
    </w:p>
    <w:p w14:paraId="1B385CD5" w14:textId="77777777" w:rsidR="000A77B7" w:rsidRDefault="00470E9F" w:rsidP="00EA137F">
      <w:pPr>
        <w:pStyle w:val="Heading2"/>
      </w:pPr>
      <w:bookmarkStart w:id="5" w:name="_qmjz1equ8oin"/>
      <w:bookmarkEnd w:id="5"/>
      <w:r>
        <w:t>Wars Limited by Ends</w:t>
      </w:r>
    </w:p>
    <w:p w14:paraId="5C4E0B14" w14:textId="77777777" w:rsidR="000A77B7" w:rsidRDefault="00470E9F" w:rsidP="00090CF0">
      <w:pPr>
        <w:pStyle w:val="Newparagraph"/>
        <w:ind w:firstLine="0"/>
      </w:pPr>
      <w:r>
        <w:t>In the early days of the Cold War, George Kennan emphasized that both overt and covert political warfare could play a role in long-term strategic competition with the Soviet Union.</w:t>
      </w:r>
    </w:p>
    <w:p w14:paraId="390BE4D8" w14:textId="77777777" w:rsidR="000A77B7" w:rsidRDefault="00470E9F" w:rsidP="00110DA0">
      <w:pPr>
        <w:pStyle w:val="Displayedquotation"/>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14:paraId="1856FF7F" w14:textId="01256D9F" w:rsidR="000A77B7" w:rsidRDefault="00470E9F" w:rsidP="004C76DC">
      <w:pPr>
        <w:pStyle w:val="Newparagraph"/>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w:t>
      </w:r>
      <w:r>
        <w:lastRenderedPageBreak/>
        <w:t>conduct limited war and avoid escalation by restricting targets and weapons systems or limiting the geographic scope of conflict.</w:t>
      </w:r>
      <w:r>
        <w:rPr>
          <w:rStyle w:val="FootnoteAnchor"/>
        </w:rPr>
        <w:footnoteReference w:id="17"/>
      </w:r>
      <w:r>
        <w:t xml:space="preserve"> This form of war required some </w:t>
      </w:r>
      <w:r w:rsidR="008B030E">
        <w:t xml:space="preserve">degree of </w:t>
      </w:r>
      <w:r>
        <w:t>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14:paraId="5C947A7C" w14:textId="77777777" w:rsidR="000A77B7" w:rsidRDefault="00470E9F">
      <w:pPr>
        <w:pStyle w:val="Heading2"/>
      </w:pPr>
      <w:bookmarkStart w:id="6" w:name="_6br7v1wizhuh"/>
      <w:bookmarkEnd w:id="6"/>
      <w:r>
        <w:t>Wars Limited by Risk</w:t>
      </w:r>
    </w:p>
    <w:p w14:paraId="472BCE99" w14:textId="77777777" w:rsidR="000A77B7" w:rsidRDefault="00470E9F" w:rsidP="00090CF0">
      <w:pPr>
        <w:pStyle w:val="Newparagraph"/>
        <w:ind w:firstLine="0"/>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w:t>
      </w:r>
      <w:r>
        <w:lastRenderedPageBreak/>
        <w:t>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14:paraId="76A19E78" w14:textId="77777777" w:rsidR="000A77B7" w:rsidRDefault="00470E9F" w:rsidP="004C76DC">
      <w:pPr>
        <w:pStyle w:val="Newparagraph"/>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w:t>
      </w:r>
      <w:r>
        <w:lastRenderedPageBreak/>
        <w:t>challenger brings to bear affects the stability of the conflict. More specifically, how much power the challenger brings to bear limits how much risk the defender can generate”.</w:t>
      </w:r>
      <w:r>
        <w:rPr>
          <w:rStyle w:val="FootnoteAnchor"/>
        </w:rPr>
        <w:footnoteReference w:id="27"/>
      </w:r>
      <w:r>
        <w:t xml:space="preserve"> Mutually constrained actors pursue (and resist) aggression furtively, so as to protect broader cooperative or compatible goals.</w:t>
      </w:r>
    </w:p>
    <w:p w14:paraId="31494819" w14:textId="6275968B" w:rsidR="000A77B7" w:rsidRDefault="00470E9F" w:rsidP="004C76DC">
      <w:pPr>
        <w:pStyle w:val="Newparagraph"/>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w:t>
      </w:r>
      <w:r w:rsidR="00B1289A">
        <w:t xml:space="preserve">so long as </w:t>
      </w:r>
      <w:r>
        <w:t xml:space="preserve">the adversary limits its means and aims, even in cases where the target panics </w:t>
      </w:r>
      <w:r w:rsidR="00B1289A">
        <w:t xml:space="preserve">or misperceives that the attacker has expansive aims </w:t>
      </w:r>
      <w:r>
        <w:t xml:space="preserve">(as Israel did). Lieberman </w:t>
      </w:r>
      <w:r w:rsidR="00B1289A">
        <w:t xml:space="preserve">thus </w:t>
      </w:r>
      <w:r>
        <w:t>argues that “designing around” is a sign of deterrence success if an adversary shapes its challenge in response to the anticipated reaction of the defender.</w:t>
      </w:r>
      <w:r>
        <w:rPr>
          <w:rStyle w:val="FootnoteAnchor"/>
        </w:rPr>
        <w:footnoteReference w:id="30"/>
      </w:r>
    </w:p>
    <w:p w14:paraId="635FAD23" w14:textId="77777777" w:rsidR="000A77B7" w:rsidRDefault="00470E9F">
      <w:pPr>
        <w:pStyle w:val="Heading2"/>
      </w:pPr>
      <w:bookmarkStart w:id="7" w:name="_h9izm43h2a15"/>
      <w:bookmarkEnd w:id="7"/>
      <w:r>
        <w:t>Wars Limited by Means</w:t>
      </w:r>
    </w:p>
    <w:p w14:paraId="6882118C" w14:textId="028D5F21" w:rsidR="000A77B7" w:rsidRDefault="00470E9F" w:rsidP="00090CF0">
      <w:pPr>
        <w:pStyle w:val="Newparagraph"/>
        <w:ind w:firstLine="0"/>
      </w:pPr>
      <w:r>
        <w:t>The Cold War</w:t>
      </w:r>
      <w:r w:rsidR="00B1289A">
        <w:t xml:space="preserve"> also</w:t>
      </w:r>
      <w:r>
        <w:t xml:space="preserve"> witnessed numerous decolonization struggles and proxy wars in the Third World. Limited war with irregular forces rather than a peer competitor directly garnered much </w:t>
      </w:r>
      <w:r>
        <w:lastRenderedPageBreak/>
        <w:t xml:space="preserve">attention in the 1970s under the rubric of “low intensity conflict” </w:t>
      </w:r>
      <w:r w:rsidR="00B1289A">
        <w:t>(</w:t>
      </w:r>
      <w:r>
        <w:t>LIC</w:t>
      </w:r>
      <w:r w:rsidR="00B1289A">
        <w:t>)</w:t>
      </w:r>
      <w:r>
        <w:t>.</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Unsurprisingly LIC is more prevalent in under-developed or poorly institutionalized regions.</w:t>
      </w:r>
      <w:r>
        <w:rPr>
          <w:rStyle w:val="FootnoteAnchor"/>
        </w:rPr>
        <w:footnoteReference w:id="33"/>
      </w:r>
      <w:r>
        <w:t xml:space="preserve"> The classical literature on counterinsurgency and its modern variants fall into this category.</w:t>
      </w:r>
      <w:r>
        <w:rPr>
          <w:rStyle w:val="FootnoteAnchor"/>
        </w:rPr>
        <w:footnoteReference w:id="34"/>
      </w:r>
    </w:p>
    <w:p w14:paraId="60E80F09" w14:textId="77777777" w:rsidR="000A77B7" w:rsidRDefault="00470E9F" w:rsidP="004C76DC">
      <w:pPr>
        <w:pStyle w:val="Newparagraph"/>
      </w:pPr>
      <w:r>
        <w:lastRenderedPageBreak/>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w:t>
      </w:r>
      <w:r w:rsidR="00B1289A">
        <w:t>,</w:t>
      </w:r>
      <w:r>
        <w:t xml:space="preserve">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9" w:name="_xv2zo47pbnrc"/>
      <w:bookmarkEnd w:id="9"/>
      <w:r>
        <w:t>.</w:t>
      </w:r>
    </w:p>
    <w:p w14:paraId="4195AAAE" w14:textId="77777777" w:rsidR="000A77B7" w:rsidRDefault="00470E9F">
      <w:pPr>
        <w:pStyle w:val="Heading2"/>
        <w:spacing w:after="200" w:line="276" w:lineRule="auto"/>
        <w:ind w:left="-15" w:right="10"/>
      </w:pPr>
      <w:r>
        <w:t>Modern Gray Zone Conflict</w:t>
      </w:r>
    </w:p>
    <w:p w14:paraId="25C1A9F5" w14:textId="77777777" w:rsidR="000A77B7" w:rsidRDefault="00470E9F" w:rsidP="00090CF0">
      <w:pPr>
        <w:pStyle w:val="Newparagraph"/>
        <w:ind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w:t>
      </w:r>
      <w:r>
        <w:lastRenderedPageBreak/>
        <w:t>its intervention in Ukraine in particular, is the paradigmatic 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w:t>
      </w:r>
    </w:p>
    <w:p w14:paraId="11A1E031" w14:textId="51BAFA00" w:rsidR="000A77B7" w:rsidRDefault="00470E9F" w:rsidP="004C76DC">
      <w:pPr>
        <w:pStyle w:val="Newparagraph"/>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t>
      </w:r>
      <w:r>
        <w:lastRenderedPageBreak/>
        <w:t>which low intensity conflict can be practiced.</w:t>
      </w:r>
      <w:r w:rsidR="00BD41FA">
        <w:rPr>
          <w:rStyle w:val="FootnoteReference"/>
        </w:rPr>
        <w:footnoteReference w:id="41"/>
      </w:r>
      <w:r>
        <w:t xml:space="preserve"> The emergence of new, cheaper implements of coercion, largely but not exclusively as a result of the information revolution, have made it easier than before to fight circumspect contests.</w:t>
      </w:r>
      <w:r>
        <w:rPr>
          <w:rStyle w:val="FootnoteAnchor"/>
        </w:rPr>
        <w:footnoteReference w:id="42"/>
      </w:r>
    </w:p>
    <w:p w14:paraId="0A227685" w14:textId="26187FB0" w:rsidR="000A77B7" w:rsidRDefault="00470E9F" w:rsidP="004C76DC">
      <w:pPr>
        <w:pStyle w:val="Newparagraph"/>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3"/>
      </w:r>
      <w:r>
        <w:t xml:space="preserve"> Compared to historical instances of subversion this is certainly true. Yet there are also more, and more technologically sophisticated, means available for </w:t>
      </w:r>
      <w:r w:rsidRPr="00B1289A">
        <w:t>all</w:t>
      </w:r>
      <w:r>
        <w:t xml:space="preserve"> types of warfare, </w:t>
      </w:r>
      <w:r w:rsidR="00B1289A">
        <w:t xml:space="preserve">some of which </w:t>
      </w:r>
      <w:r>
        <w:t>are only likely to be used in major war</w:t>
      </w:r>
      <w:r w:rsidR="00B1289A">
        <w:t xml:space="preserve"> (e.g., anti-satellite weapons, hypersonic munitions, anti-ship ballistic missiles)</w:t>
      </w:r>
      <w:r>
        <w:t xml:space="preserve">.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sidRPr="00090CF0">
        <w:rPr>
          <w:i/>
        </w:rPr>
        <w:t>all</w:t>
      </w:r>
      <w:r>
        <w:t xml:space="preserve"> types with the use of a </w:t>
      </w:r>
      <w:r w:rsidRPr="00090CF0">
        <w:rPr>
          <w:i/>
        </w:rPr>
        <w:t>subset</w:t>
      </w:r>
      <w:r>
        <w:t xml:space="preserve"> </w:t>
      </w:r>
      <w:r w:rsidR="00B1289A">
        <w:t xml:space="preserve">of means for </w:t>
      </w:r>
      <w:r>
        <w:t>limited conflict. Cyber operations may be prevalent in the gray zone, but they will be prevalent in every war of the 21</w:t>
      </w:r>
      <w:r>
        <w:rPr>
          <w:vertAlign w:val="superscript"/>
        </w:rPr>
        <w:t>st</w:t>
      </w:r>
      <w:r>
        <w:t xml:space="preserve"> century.</w:t>
      </w:r>
    </w:p>
    <w:p w14:paraId="67298110" w14:textId="0C94855C" w:rsidR="000A77B7" w:rsidRDefault="00B1289A" w:rsidP="004C76DC">
      <w:pPr>
        <w:pStyle w:val="Newparagraph"/>
      </w:pPr>
      <w:r>
        <w:lastRenderedPageBreak/>
        <w:t>T</w:t>
      </w:r>
      <w:r w:rsidR="00470E9F">
        <w: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14:paraId="3E493E38" w14:textId="77777777" w:rsidR="000A77B7" w:rsidRDefault="00470E9F" w:rsidP="006345CB">
      <w:pPr>
        <w:pStyle w:val="Displayedquotation"/>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4"/>
      </w:r>
    </w:p>
    <w:p w14:paraId="1AE4CA68" w14:textId="1C86E41E" w:rsidR="006345CB" w:rsidRDefault="006345CB" w:rsidP="004C76DC">
      <w:pPr>
        <w:pStyle w:val="Newparagraph"/>
      </w:pPr>
      <w:r>
        <w:t xml:space="preserve">Our theory hopes to reemphasize this optimism concerning the motivations underlying gray zone conflict. The phenomenon of gray zone conflict is not new, but its causes have evolved in a way that should </w:t>
      </w:r>
      <w:r w:rsidR="00B1289A">
        <w:t>encourage patience</w:t>
      </w:r>
      <w:r>
        <w:t xml:space="preserve"> before sounding </w:t>
      </w:r>
      <w:r w:rsidR="00110DA0">
        <w:t>alarm</w:t>
      </w:r>
      <w:r w:rsidR="00B1289A">
        <w:t>s</w:t>
      </w:r>
      <w:r>
        <w:t>.</w:t>
      </w:r>
    </w:p>
    <w:p w14:paraId="5635A603" w14:textId="77777777" w:rsidR="000A77B7" w:rsidRDefault="00470E9F">
      <w:pPr>
        <w:pStyle w:val="Heading1"/>
        <w:spacing w:after="200" w:line="276" w:lineRule="auto"/>
        <w:ind w:left="-5" w:right="10"/>
      </w:pPr>
      <w:r>
        <w:t>A Theory of Gray Zone Conflict</w:t>
      </w:r>
    </w:p>
    <w:p w14:paraId="632E9DB3" w14:textId="77777777" w:rsidR="000A77B7" w:rsidRDefault="00470E9F" w:rsidP="0000434C">
      <w:pPr>
        <w:pStyle w:val="Newparagraph"/>
        <w:ind w:firstLine="0"/>
      </w:pPr>
      <w:bookmarkStart w:id="10" w:name="_o5zyiueyr7r"/>
      <w:bookmarkEnd w:id="10"/>
      <w: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14:paraId="0E64C95A" w14:textId="7DEA19DA" w:rsidR="000A77B7" w:rsidRDefault="00470E9F" w:rsidP="004C76DC">
      <w:pPr>
        <w:pStyle w:val="Newparagraph"/>
      </w:pPr>
      <w:r>
        <w:t xml:space="preserve">First, gray zone conflict results from agency rather than necessity. It is </w:t>
      </w:r>
      <w:r>
        <w:rPr>
          <w:i/>
        </w:rPr>
        <w:t>limitation by choice</w:t>
      </w:r>
      <w:r>
        <w:t xml:space="preserve">. If limited war were distinguished only by limited ends, why wouldn’t actors use the most </w:t>
      </w:r>
      <w:r>
        <w:lastRenderedPageBreak/>
        <w:t xml:space="preserve">effective means for the job? Gray zone conflict involves “pulling punches” or refraining from using one’s most potent military capabilities. </w:t>
      </w:r>
    </w:p>
    <w:p w14:paraId="4B8D35B2" w14:textId="0F66EFF7" w:rsidR="000A77B7" w:rsidRDefault="00470E9F" w:rsidP="004C76DC">
      <w:pPr>
        <w:pStyle w:val="Newparagraph"/>
      </w:pPr>
      <w:r>
        <w:t xml:space="preserve">Second, gray zone conflict involves </w:t>
      </w:r>
      <w:r>
        <w:rPr>
          <w:i/>
        </w:rPr>
        <w:t>capable initiators</w:t>
      </w:r>
      <w:r>
        <w:t xml:space="preserve">. In order to choose to limit means, an actor must have a portfolio of means to choose from. This differentiates the activities of Russian or American special operations forces from insurgents, even in cases where their </w:t>
      </w:r>
      <w:r w:rsidR="007D1574">
        <w:t>tactics</w:t>
      </w:r>
      <w:r>
        <w:t xml:space="preserve"> appear similar. </w:t>
      </w:r>
      <w:r w:rsidR="007D1574">
        <w:t xml:space="preserve">Moreover, </w:t>
      </w:r>
      <w:r>
        <w:t xml:space="preserve">weaker states and rebel groups </w:t>
      </w:r>
      <w:r w:rsidR="007D1574">
        <w:t xml:space="preserve">can also </w:t>
      </w:r>
      <w:r>
        <w:t>vary considerably in their war aims and thus may refrain from</w:t>
      </w:r>
      <w:r w:rsidR="007D1574">
        <w:t xml:space="preserve"> giving</w:t>
      </w:r>
      <w:r>
        <w:t xml:space="preserve"> </w:t>
      </w:r>
      <w:r w:rsidR="007D1574">
        <w:t xml:space="preserve">their </w:t>
      </w:r>
      <w:r>
        <w:t>maximum effort.</w:t>
      </w:r>
      <w:r>
        <w:rPr>
          <w:rStyle w:val="FootnoteAnchor"/>
        </w:rPr>
        <w:footnoteReference w:id="45"/>
      </w:r>
    </w:p>
    <w:p w14:paraId="0351C9C1" w14:textId="6C1A0D2F" w:rsidR="000A77B7" w:rsidRDefault="00470E9F" w:rsidP="004C76DC">
      <w:pPr>
        <w:pStyle w:val="Newparagraph"/>
      </w:pPr>
      <w:r>
        <w:t xml:space="preserve">Third, gray zone conflict must be preferred </w:t>
      </w:r>
      <w:r>
        <w:rPr>
          <w:i/>
        </w:rPr>
        <w:t>by both sides</w:t>
      </w:r>
      <w: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6"/>
      </w:r>
      <w:r>
        <w:t xml:space="preserve"> </w:t>
      </w:r>
    </w:p>
    <w:p w14:paraId="73B5ADA7" w14:textId="77777777" w:rsidR="000A77B7" w:rsidRDefault="00470E9F">
      <w:pPr>
        <w:pStyle w:val="Heading2"/>
      </w:pPr>
      <w:r>
        <w:t>A Typology of Limited Conflict</w:t>
      </w:r>
    </w:p>
    <w:p w14:paraId="1BD3D6E2" w14:textId="77B1048F" w:rsidR="000A77B7" w:rsidRDefault="00470E9F" w:rsidP="0000434C">
      <w:pPr>
        <w:pStyle w:val="Newparagraph"/>
        <w:ind w:firstLine="0"/>
      </w:pPr>
      <w:r>
        <w:t xml:space="preserve">Table 1 provides a typology of limited war that distinguishes means and ends. Less capable actors are limited in both the quality and quantity of force they can bring to bear. Insurgents or </w:t>
      </w:r>
      <w:r>
        <w:lastRenderedPageBreak/>
        <w:t xml:space="preserve">criminal networks may engage in small wars to extract a few concessions from the government, such as control over a particular region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w:t>
      </w:r>
      <w:r w:rsidR="007D1574">
        <w:t>differentiates</w:t>
      </w:r>
      <w:r>
        <w:t xml:space="preserve"> types of limited war that involve actors with more and better military forces.</w:t>
      </w:r>
    </w:p>
    <w:tbl>
      <w:tblPr>
        <w:tblW w:w="9000" w:type="dxa"/>
        <w:tblInd w:w="90" w:type="dxa"/>
        <w:tblLook w:val="0400" w:firstRow="0" w:lastRow="0" w:firstColumn="0" w:lastColumn="0" w:noHBand="0" w:noVBand="1"/>
      </w:tblPr>
      <w:tblGrid>
        <w:gridCol w:w="900"/>
        <w:gridCol w:w="2880"/>
        <w:gridCol w:w="2430"/>
        <w:gridCol w:w="2790"/>
      </w:tblGrid>
      <w:tr w:rsidR="00F243C0" w14:paraId="43E006BA" w14:textId="77777777" w:rsidTr="00944269">
        <w:trPr>
          <w:trHeight w:val="280"/>
        </w:trPr>
        <w:tc>
          <w:tcPr>
            <w:tcW w:w="900" w:type="dxa"/>
            <w:shd w:val="clear" w:color="auto" w:fill="auto"/>
          </w:tcPr>
          <w:p w14:paraId="28E76635" w14:textId="77777777" w:rsidR="00F243C0" w:rsidRDefault="00F243C0" w:rsidP="00944269">
            <w:pPr>
              <w:keepNext/>
              <w:keepLines/>
              <w:spacing w:after="200" w:line="276" w:lineRule="auto"/>
            </w:pPr>
          </w:p>
        </w:tc>
        <w:tc>
          <w:tcPr>
            <w:tcW w:w="2880" w:type="dxa"/>
            <w:tcBorders>
              <w:right w:val="single" w:sz="4" w:space="0" w:color="000000"/>
            </w:tcBorders>
            <w:shd w:val="clear" w:color="auto" w:fill="auto"/>
          </w:tcPr>
          <w:p w14:paraId="5048CB61" w14:textId="77777777" w:rsidR="00F243C0" w:rsidRDefault="00F243C0" w:rsidP="00944269">
            <w:pPr>
              <w:keepNext/>
              <w:keepLines/>
              <w:spacing w:after="200" w:line="276" w:lineRule="auto"/>
            </w:pPr>
          </w:p>
        </w:tc>
        <w:tc>
          <w:tcPr>
            <w:tcW w:w="5220" w:type="dxa"/>
            <w:gridSpan w:val="2"/>
            <w:tcBorders>
              <w:top w:val="single" w:sz="4" w:space="0" w:color="000000"/>
              <w:left w:val="single" w:sz="4" w:space="0" w:color="000000"/>
              <w:right w:val="single" w:sz="4" w:space="0" w:color="000000"/>
            </w:tcBorders>
            <w:shd w:val="clear" w:color="auto" w:fill="auto"/>
          </w:tcPr>
          <w:p w14:paraId="13AF370F" w14:textId="77777777" w:rsidR="00F243C0" w:rsidRPr="00140F9F" w:rsidRDefault="00F243C0" w:rsidP="00F243C0">
            <w:pPr>
              <w:pStyle w:val="Newparagraph"/>
              <w:ind w:firstLine="0"/>
              <w:jc w:val="center"/>
            </w:pPr>
            <w:r w:rsidRPr="00140F9F">
              <w:t>Ends</w:t>
            </w:r>
          </w:p>
        </w:tc>
      </w:tr>
      <w:tr w:rsidR="00922648" w14:paraId="26B3C773" w14:textId="77777777" w:rsidTr="00944269">
        <w:trPr>
          <w:trHeight w:val="280"/>
        </w:trPr>
        <w:tc>
          <w:tcPr>
            <w:tcW w:w="900" w:type="dxa"/>
            <w:tcBorders>
              <w:bottom w:val="single" w:sz="4" w:space="0" w:color="000000"/>
            </w:tcBorders>
            <w:shd w:val="clear" w:color="auto" w:fill="auto"/>
          </w:tcPr>
          <w:p w14:paraId="046EE3F7" w14:textId="77777777" w:rsidR="00922648" w:rsidRDefault="00922648" w:rsidP="00944269">
            <w:pPr>
              <w:keepNext/>
              <w:keepLines/>
              <w:spacing w:after="200" w:line="276" w:lineRule="auto"/>
            </w:pPr>
          </w:p>
        </w:tc>
        <w:tc>
          <w:tcPr>
            <w:tcW w:w="2880" w:type="dxa"/>
            <w:tcBorders>
              <w:bottom w:val="single" w:sz="4" w:space="0" w:color="000000"/>
              <w:right w:val="single" w:sz="4" w:space="0" w:color="000000"/>
            </w:tcBorders>
            <w:shd w:val="clear" w:color="auto" w:fill="auto"/>
          </w:tcPr>
          <w:p w14:paraId="2D2C3EC4" w14:textId="77777777" w:rsidR="00922648" w:rsidRDefault="00922648" w:rsidP="00944269">
            <w:pPr>
              <w:keepNext/>
              <w:keepLines/>
              <w:spacing w:after="200" w:line="276" w:lineRule="auto"/>
            </w:pPr>
          </w:p>
        </w:tc>
        <w:tc>
          <w:tcPr>
            <w:tcW w:w="2430" w:type="dxa"/>
            <w:tcBorders>
              <w:left w:val="single" w:sz="4" w:space="0" w:color="000000"/>
              <w:bottom w:val="single" w:sz="4" w:space="0" w:color="000000"/>
            </w:tcBorders>
            <w:shd w:val="clear" w:color="auto" w:fill="auto"/>
          </w:tcPr>
          <w:p w14:paraId="1570BC59" w14:textId="77777777" w:rsidR="00922648" w:rsidRDefault="00922648" w:rsidP="00F243C0">
            <w:pPr>
              <w:pStyle w:val="Newparagraph"/>
              <w:jc w:val="center"/>
            </w:pPr>
            <w:r>
              <w:t>Concessions</w:t>
            </w:r>
          </w:p>
        </w:tc>
        <w:tc>
          <w:tcPr>
            <w:tcW w:w="2790" w:type="dxa"/>
            <w:tcBorders>
              <w:bottom w:val="single" w:sz="4" w:space="0" w:color="000000"/>
              <w:right w:val="single" w:sz="4" w:space="0" w:color="000000"/>
            </w:tcBorders>
            <w:shd w:val="clear" w:color="auto" w:fill="auto"/>
          </w:tcPr>
          <w:p w14:paraId="20F65F53" w14:textId="77777777" w:rsidR="00922648" w:rsidRDefault="00922648" w:rsidP="00F243C0">
            <w:pPr>
              <w:pStyle w:val="Newparagraph"/>
            </w:pPr>
            <w:r>
              <w:t>Conquest</w:t>
            </w:r>
          </w:p>
        </w:tc>
      </w:tr>
      <w:tr w:rsidR="00922648" w14:paraId="2175ACE5" w14:textId="77777777" w:rsidTr="00944269">
        <w:trPr>
          <w:trHeight w:val="848"/>
        </w:trPr>
        <w:tc>
          <w:tcPr>
            <w:tcW w:w="900" w:type="dxa"/>
            <w:vMerge w:val="restart"/>
            <w:tcBorders>
              <w:top w:val="single" w:sz="4" w:space="0" w:color="000000"/>
              <w:left w:val="single" w:sz="4" w:space="0" w:color="000000"/>
              <w:bottom w:val="single" w:sz="4" w:space="0" w:color="000000"/>
            </w:tcBorders>
            <w:shd w:val="clear" w:color="auto" w:fill="auto"/>
            <w:vAlign w:val="center"/>
          </w:tcPr>
          <w:p w14:paraId="59F74784" w14:textId="77777777" w:rsidR="00922648" w:rsidRPr="00140F9F" w:rsidRDefault="00922648" w:rsidP="00F243C0">
            <w:pPr>
              <w:pStyle w:val="Newparagraph"/>
              <w:ind w:firstLine="0"/>
            </w:pPr>
            <w:r w:rsidRPr="00140F9F">
              <w:t>Means</w:t>
            </w:r>
          </w:p>
        </w:tc>
        <w:tc>
          <w:tcPr>
            <w:tcW w:w="2880" w:type="dxa"/>
            <w:tcBorders>
              <w:top w:val="single" w:sz="4" w:space="0" w:color="000000"/>
              <w:right w:val="single" w:sz="4" w:space="0" w:color="000000"/>
            </w:tcBorders>
            <w:shd w:val="clear" w:color="auto" w:fill="auto"/>
          </w:tcPr>
          <w:p w14:paraId="7E7F6A64" w14:textId="77777777" w:rsidR="00922648" w:rsidRDefault="00922648" w:rsidP="00F243C0">
            <w:pPr>
              <w:pStyle w:val="Newparagraph"/>
              <w:ind w:firstLine="0"/>
            </w:pPr>
            <w: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9217D8E" w14:textId="77777777" w:rsidR="00922648" w:rsidRDefault="00922648" w:rsidP="00F243C0">
            <w:pPr>
              <w:pStyle w:val="Newparagraph"/>
              <w:ind w:firstLine="0"/>
              <w:jc w:val="center"/>
            </w:pPr>
            <w:r>
              <w:t>Small Wars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4DA9AEA" w14:textId="77777777" w:rsidR="00922648" w:rsidRDefault="00922648" w:rsidP="00F243C0">
            <w:pPr>
              <w:pStyle w:val="Newparagraph"/>
              <w:ind w:firstLine="0"/>
              <w:jc w:val="center"/>
            </w:pPr>
            <w:r>
              <w:t>Revolutionary Wars</w:t>
            </w:r>
          </w:p>
        </w:tc>
      </w:tr>
      <w:tr w:rsidR="00922648" w14:paraId="1A7F81C8" w14:textId="77777777" w:rsidTr="00944269">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3A769546" w14:textId="77777777" w:rsidR="00922648" w:rsidRDefault="00922648" w:rsidP="00944269">
            <w:pPr>
              <w:keepNext/>
              <w:keepLines/>
              <w:spacing w:after="200" w:line="276" w:lineRule="auto"/>
              <w:ind w:left="124"/>
              <w:jc w:val="center"/>
              <w:rPr>
                <w:b/>
              </w:rPr>
            </w:pPr>
          </w:p>
        </w:tc>
        <w:tc>
          <w:tcPr>
            <w:tcW w:w="2880" w:type="dxa"/>
            <w:tcBorders>
              <w:bottom w:val="single" w:sz="4" w:space="0" w:color="000000"/>
              <w:right w:val="single" w:sz="4" w:space="0" w:color="000000"/>
            </w:tcBorders>
            <w:shd w:val="clear" w:color="auto" w:fill="auto"/>
          </w:tcPr>
          <w:p w14:paraId="72496E3A" w14:textId="77777777" w:rsidR="00922648" w:rsidRDefault="00922648" w:rsidP="00F243C0">
            <w:pPr>
              <w:pStyle w:val="Newparagraph"/>
              <w:ind w:firstLine="0"/>
            </w:pPr>
            <w: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6169212" w14:textId="77777777" w:rsidR="00922648" w:rsidRDefault="00922648" w:rsidP="00F243C0">
            <w:pPr>
              <w:pStyle w:val="Newparagraph"/>
              <w:ind w:firstLine="0"/>
              <w:jc w:val="center"/>
            </w:pPr>
            <w:r>
              <w:t>Gray Zone Conflicts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AEE7EB4" w14:textId="77777777" w:rsidR="00922648" w:rsidRDefault="00922648" w:rsidP="00F243C0">
            <w:pPr>
              <w:pStyle w:val="Newparagraph"/>
              <w:ind w:firstLine="0"/>
              <w:jc w:val="center"/>
            </w:pPr>
            <w:r>
              <w:t>Major Combat Operations</w:t>
            </w:r>
          </w:p>
        </w:tc>
      </w:tr>
    </w:tbl>
    <w:p w14:paraId="28A28696" w14:textId="77777777" w:rsidR="00922648" w:rsidRDefault="00922648" w:rsidP="004C76DC">
      <w:pPr>
        <w:pStyle w:val="Newparagraph"/>
      </w:pPr>
      <w:r>
        <w:rPr>
          <w:b/>
        </w:rPr>
        <w:t>Table 1</w:t>
      </w:r>
      <w:r>
        <w:t>: A Typology of Limited Conflict</w:t>
      </w:r>
    </w:p>
    <w:p w14:paraId="7E11F36B" w14:textId="5D08DF9A" w:rsidR="000A77B7" w:rsidRDefault="00470E9F" w:rsidP="004C76DC">
      <w:pPr>
        <w:pStyle w:val="Newparagraph"/>
      </w:pPr>
      <w:r>
        <w:t>Powerful actors that are highly resolved to revise the status quo will tend to use as much force as need</w:t>
      </w:r>
      <w:r w:rsidR="00636586">
        <w:t>ed</w:t>
      </w:r>
      <w:r>
        <w:t xml:space="preserve">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w:t>
      </w:r>
      <w:r w:rsidR="007D1574">
        <w:t>moreover</w:t>
      </w:r>
      <w:r>
        <w:t xml:space="preserve">, they will be more willing to settle for less and to employ less effective modes of operation. Voluntary limitation of means enables an aggressor to minimize both costs </w:t>
      </w:r>
      <w:r w:rsidRPr="0000434C">
        <w:rPr>
          <w:i/>
        </w:rPr>
        <w:t>and</w:t>
      </w:r>
      <w:r>
        <w:t xml:space="preserve">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14:paraId="4B5FD272" w14:textId="0EF48C61" w:rsidR="000A77B7" w:rsidRDefault="00470E9F" w:rsidP="004C76DC">
      <w:pPr>
        <w:pStyle w:val="Newparagraph"/>
      </w:pPr>
      <w:r>
        <w:lastRenderedPageBreak/>
        <w:t xml:space="preserve">The Iraq War illustrates all four categories. The U.S.-led Coalition invaded Iraq in 2003 with less than 180,000 troops even though the United States could </w:t>
      </w:r>
      <w:r w:rsidR="007D1574">
        <w:t>have</w:t>
      </w:r>
      <w:r>
        <w:t xml:space="preserve"> mobilize</w:t>
      </w:r>
      <w:r w:rsidR="007D1574">
        <w:t>d</w:t>
      </w:r>
      <w:r>
        <w:t xml:space="preserv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7"/>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8"/>
      </w:r>
      <w:r w:rsidR="007D1574">
        <w:rPr>
          <w:lang w:val="en-CA"/>
        </w:rPr>
        <w:t xml:space="preserve"> </w:t>
      </w: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w:t>
      </w:r>
      <w:r>
        <w:rPr>
          <w:lang w:val="en-CA"/>
        </w:rPr>
        <w:lastRenderedPageBreak/>
        <w:t>operations with a larger set of means and resources. The troop surge of 2008 followed a similar logic by increasing resources in an attempt to transform Iraq into a stable liberal society. If, however, policymakers’ war aims were more limited,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t xml:space="preserve"> The Baathist regime survived while the United States avoided a costly ground war, outcomes that were mutually preferable for both sides compared to the, at that time anticipated outcome of the war.</w:t>
      </w:r>
      <w:r w:rsidR="007D1574" w:rsidRPr="007D1574">
        <w:t xml:space="preserve"> </w:t>
      </w:r>
      <w:r w:rsidR="007D1574">
        <w:t>The exogenous shock of the 9/11 terrorist attacks then raised concerns for some policymakers about the long-term viability of containment. In other words, the desire for gray zone was no longer mutual.</w:t>
      </w:r>
    </w:p>
    <w:p w14:paraId="361936C8" w14:textId="77777777" w:rsidR="000A77B7" w:rsidRDefault="00470E9F" w:rsidP="004C76DC">
      <w:pPr>
        <w:pStyle w:val="Newparagraph"/>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w:t>
      </w:r>
      <w:r w:rsidR="001D5C1D">
        <w:t>exercise calculated restraint</w:t>
      </w:r>
      <w:r>
        <w:t xml:space="preserve"> creates something of a “gray zone” between our two categories.  </w:t>
      </w:r>
    </w:p>
    <w:p w14:paraId="0057688F" w14:textId="77777777" w:rsidR="000A77B7" w:rsidRDefault="00470E9F">
      <w:pPr>
        <w:pStyle w:val="Heading2"/>
        <w:spacing w:after="200" w:line="276" w:lineRule="auto"/>
      </w:pPr>
      <w:bookmarkStart w:id="11" w:name="_6i5vhzgv1wh"/>
      <w:bookmarkEnd w:id="11"/>
      <w:r>
        <w:t xml:space="preserve">The Escalation Dilemma </w:t>
      </w:r>
    </w:p>
    <w:p w14:paraId="3452D785" w14:textId="3AD78739" w:rsidR="000A77B7" w:rsidRDefault="00470E9F" w:rsidP="0000434C">
      <w:pPr>
        <w:pStyle w:val="Newparagraph"/>
        <w:ind w:firstLine="0"/>
      </w:pPr>
      <w:r>
        <w:t xml:space="preserve">Given that capable actors may use limited means for limited ends for quite different reasons, the label of “major combat operations” </w:t>
      </w:r>
      <w:r w:rsidR="00A173B6">
        <w:t xml:space="preserve">may be a </w:t>
      </w:r>
      <w:r>
        <w:t xml:space="preserve">misleading way to describe conflict motivated by </w:t>
      </w:r>
      <w:r>
        <w:lastRenderedPageBreak/>
        <w:t>efficiency.</w:t>
      </w:r>
      <w:r>
        <w:rPr>
          <w:rStyle w:val="FootnoteAnchor"/>
        </w:rPr>
        <w:footnoteReference w:id="49"/>
      </w:r>
      <w:r>
        <w:t xml:space="preserve"> A challenger who is patient and capable relative to its adversaries at low intensities might benefit by choosing a</w:t>
      </w:r>
      <w:r w:rsidR="00A173B6">
        <w:t xml:space="preserve"> very</w:t>
      </w:r>
      <w:r>
        <w:t xml:space="preserve">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0"/>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w:t>
      </w:r>
      <w:r w:rsidR="00A173B6">
        <w:t xml:space="preserve">but </w:t>
      </w:r>
      <w:r>
        <w:t xml:space="preserve">only needs to mobilize a small number of forces to compel the other side to make concessions. </w:t>
      </w:r>
    </w:p>
    <w:p w14:paraId="6922CB2D" w14:textId="796B75FD" w:rsidR="000A77B7" w:rsidRDefault="00470E9F" w:rsidP="004C76DC">
      <w:pPr>
        <w:pStyle w:val="Newparagraph"/>
      </w:pPr>
      <w:r>
        <w:t>Escalation becomes the distinguishing test that separates gray zone conflict and major combat operations. By raising the cost of gray zone conflict, defenders can force the initiator into fighting less efficiently, but only by also accepting higher costs/risks themselves</w:t>
      </w:r>
      <w:r w:rsidR="00A173B6">
        <w:t>. This</w:t>
      </w:r>
      <w:r>
        <w:t xml:space="preserve">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w:t>
      </w:r>
      <w:r>
        <w:lastRenderedPageBreak/>
        <w:t>zone actor, by contrast, will back down in the face of robust resistance, accepting both inefficiency and ineffectiveness. This actor prefers peacetime competition to major war. These preference orderings can be summarized thus:</w:t>
      </w:r>
    </w:p>
    <w:p w14:paraId="76D97EF8"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Ordinary competition </w:t>
      </w:r>
      <w:r>
        <w:rPr>
          <w:rFonts w:ascii="Cambria Math" w:hAnsi="Cambria Math" w:cs="Cambria Math"/>
        </w:rPr>
        <w:t>≿</w:t>
      </w:r>
      <w:r>
        <w:rPr>
          <w:i/>
        </w:rPr>
        <w:t xml:space="preserve"> </w:t>
      </w:r>
      <w:r>
        <w:t>High intensity warfare</w:t>
      </w:r>
    </w:p>
    <w:p w14:paraId="10E8F971"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High intensity warfare </w:t>
      </w:r>
      <w:r>
        <w:rPr>
          <w:rFonts w:ascii="Cambria Math" w:hAnsi="Cambria Math" w:cs="Cambria Math"/>
        </w:rPr>
        <w:t>≿</w:t>
      </w:r>
      <w:r>
        <w:rPr>
          <w:i/>
        </w:rPr>
        <w:t xml:space="preserve"> </w:t>
      </w:r>
      <w:r>
        <w:t>Ordinary competition</w:t>
      </w:r>
    </w:p>
    <w:p w14:paraId="54B61594" w14:textId="2A9A5469" w:rsidR="000A77B7" w:rsidRDefault="00470E9F" w:rsidP="004C76DC">
      <w:pPr>
        <w:pStyle w:val="Newparagraph"/>
      </w:pPr>
      <w:r>
        <w:t xml:space="preserve">Behaviorally both types of conflict </w:t>
      </w:r>
      <w:r w:rsidR="00A173B6">
        <w:t>appear similar</w:t>
      </w:r>
      <w:r>
        <w:t xml:space="preserv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w:t>
      </w:r>
      <w:r w:rsidR="00C318DE">
        <w:t>The initiator refrains from pursuing the ambiguous use of force (or conducts it ineffectively to save face) because it sees r</w:t>
      </w:r>
      <w:r>
        <w:t>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14:paraId="6866AB13" w14:textId="77777777" w:rsidR="000A77B7" w:rsidRDefault="00470E9F" w:rsidP="004C76DC">
      <w:pPr>
        <w:pStyle w:val="Newparagraph"/>
      </w:pPr>
      <w:r>
        <w:t>This situation recapitulates the basic logic of the security dilemma</w:t>
      </w:r>
      <w:r w:rsidR="00056E96">
        <w:t>.</w:t>
      </w:r>
      <w:r>
        <w:rPr>
          <w:rStyle w:val="FootnoteAnchor"/>
        </w:rPr>
        <w:footnoteReference w:id="51"/>
      </w:r>
      <w:r>
        <w:t xml:space="preserve"> The classic problem is to divine whether a state is satisfied with the status quo or has revisionist intentions. The spiral </w:t>
      </w:r>
      <w:r>
        <w:lastRenderedPageBreak/>
        <w:t xml:space="preserve">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Even if all actors are assumed to harbor revisionist ambitions</w:t>
      </w:r>
      <w:r w:rsidR="00056E96">
        <w:t>,</w:t>
      </w:r>
      <w:r>
        <w:t xml:space="preserve"> </w:t>
      </w:r>
      <w:r w:rsidR="00056E96">
        <w:t>security dilemma-like dynamics still apply in determining the ways in which they are deterred from given behaviour.</w:t>
      </w:r>
      <w:r>
        <w:rPr>
          <w:rStyle w:val="FootnoteAnchor"/>
        </w:rPr>
        <w:footnoteReference w:id="52"/>
      </w:r>
      <w:r>
        <w:t xml:space="preserve"> </w:t>
      </w:r>
    </w:p>
    <w:p w14:paraId="45BDEFB6" w14:textId="77777777" w:rsidR="000A77B7" w:rsidRDefault="00470E9F">
      <w:pPr>
        <w:pStyle w:val="Heading2"/>
        <w:spacing w:after="200"/>
        <w:ind w:right="10"/>
      </w:pPr>
      <w:bookmarkStart w:id="12" w:name="_mtpq2ba65iue"/>
      <w:bookmarkEnd w:id="12"/>
      <w:r>
        <w:t>The Deterrence Gradient</w:t>
      </w:r>
    </w:p>
    <w:p w14:paraId="22A203F8" w14:textId="0C740DE2" w:rsidR="000A77B7" w:rsidRDefault="00470E9F" w:rsidP="0000434C">
      <w:pPr>
        <w:pStyle w:val="Newparagraph"/>
        <w:ind w:firstLine="0"/>
      </w:pPr>
      <w:r>
        <w:t>If conflict varies continuously between peace and war, then i</w:t>
      </w:r>
      <w:r w:rsidR="0065502D">
        <w:t>t</w:t>
      </w:r>
      <w:r>
        <w:t xml:space="preserve"> might be explained by treating deterrence success and failure as </w:t>
      </w:r>
      <w:r w:rsidR="009B5AD6">
        <w:t>continuously variable</w:t>
      </w:r>
      <w:r>
        <w:t>.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14:paraId="3C7EF552" w14:textId="5B45434F" w:rsidR="000A77B7" w:rsidRDefault="00470E9F" w:rsidP="004C76DC">
      <w:pPr>
        <w:pStyle w:val="Newparagraph"/>
      </w:pPr>
      <w:r>
        <w:t>To operationalize this hypothesis, we posit a deterrence analogue to the military loss of strength gradient.</w:t>
      </w:r>
      <w:r>
        <w:rPr>
          <w:rStyle w:val="FootnoteAnchor"/>
        </w:rPr>
        <w:footnoteReference w:id="53"/>
      </w:r>
      <w:r>
        <w:t xml:space="preserve"> All things being equal, a state requires more supplies and troops to achieve </w:t>
      </w:r>
      <w:r>
        <w:lastRenderedPageBreak/>
        <w:t>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4"/>
      </w:r>
      <w:r>
        <w:t xml:space="preserve"> The loss of strength can be partially offset by basing and mobility but not eliminated due to the enduring vulnerabilities of naval power and frictions with host nations.</w:t>
      </w:r>
      <w:r>
        <w:rPr>
          <w:rStyle w:val="FootnoteAnchor"/>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r w:rsidR="009B5AD6">
        <w:t>a</w:t>
      </w:r>
      <w:r>
        <w:t xml:space="preserve"> convenient proxy for other factors that do.</w:t>
      </w:r>
    </w:p>
    <w:p w14:paraId="6D96156A" w14:textId="68DCECD2" w:rsidR="00A508AF" w:rsidRDefault="00470E9F" w:rsidP="004C76DC">
      <w:pPr>
        <w:pStyle w:val="Newparagraph"/>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6"/>
      </w:r>
      <w:r>
        <w:t xml:space="preserve"> Conversely, commitments should be less credible with distance as well, as patrons will fear entrapment by distant allies </w:t>
      </w:r>
      <w:r w:rsidR="009B5AD6">
        <w:lastRenderedPageBreak/>
        <w:t xml:space="preserve">who have </w:t>
      </w:r>
      <w:r>
        <w:t>stronger local interests</w:t>
      </w:r>
      <w:r w:rsidR="00056E96">
        <w:t>.</w:t>
      </w:r>
      <w:r>
        <w:rPr>
          <w:rStyle w:val="FootnoteAnchor"/>
        </w:rPr>
        <w:footnoteReference w:id="57"/>
      </w:r>
      <w:r w:rsidR="002B0E4A">
        <w:t xml:space="preserve"> </w:t>
      </w:r>
      <w:r>
        <w:t>While NATO security guarantees nominally cover all 29 member states equally, the 12 founding members in Western Europe and North America are arguably more confident in this commitment.</w:t>
      </w:r>
      <w:r>
        <w:rPr>
          <w:rStyle w:val="FootnoteAnchor"/>
        </w:rPr>
        <w:footnoteReference w:id="58"/>
      </w:r>
      <w:r>
        <w:t xml:space="preserve"> Indeed, recent Eastern European entrants have questioned NATO resolve. Eastern European members also appear to have greater need of protection, given that Russia is both more interested in, and better able to control</w:t>
      </w:r>
      <w:r w:rsidR="009B5AD6">
        <w:t>,</w:t>
      </w:r>
      <w:r>
        <w:t xml:space="preserve"> territory near its borders.</w:t>
      </w:r>
      <w:r>
        <w:rPr>
          <w:rStyle w:val="FootnoteAnchor"/>
        </w:rPr>
        <w:footnoteReference w:id="59"/>
      </w:r>
    </w:p>
    <w:p w14:paraId="31C0806A" w14:textId="6BB889DF" w:rsidR="000A77B7" w:rsidRDefault="00A508AF" w:rsidP="004C76DC">
      <w:pPr>
        <w:pStyle w:val="Newparagraph"/>
      </w:pPr>
      <w:r>
        <w:t xml:space="preserve">Technology conditions but does not eliminate geography. Although it seems cyberspace has opened up the world to anyone with an internet connection, most states can and do enforce their laws on the digital infrastructure </w:t>
      </w:r>
      <w:r w:rsidR="009B5AD6">
        <w:t xml:space="preserve">located </w:t>
      </w:r>
      <w:r>
        <w:t>within their borders.</w:t>
      </w:r>
      <w:r>
        <w:rPr>
          <w:rStyle w:val="FootnoteAnchor"/>
        </w:rPr>
        <w:footnoteReference w:id="60"/>
      </w:r>
      <w:r>
        <w:t xml:space="preserve"> Indeed, cyber conflict appears to be concentrated along the fissures of traditional geographic rivalries.</w:t>
      </w:r>
      <w:r>
        <w:rPr>
          <w:rStyle w:val="FootnoteAnchor"/>
        </w:rPr>
        <w:footnoteReference w:id="61"/>
      </w:r>
      <w:r>
        <w:t xml:space="preserve"> To the extent </w:t>
      </w:r>
      <w:r>
        <w:lastRenderedPageBreak/>
        <w:t>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Pr>
          <w:rStyle w:val="FootnoteAnchor"/>
        </w:rPr>
        <w:footnoteReference w:id="62"/>
      </w:r>
      <w:r>
        <w:t xml:space="preserve"> The cybersecurity literature offers two </w:t>
      </w:r>
      <w:r w:rsidR="009B5AD6">
        <w:t xml:space="preserve">reasons </w:t>
      </w:r>
      <w:r>
        <w:t>for the empirical pattern of restraint observed in the cyber domain, and geography plays a tacit role in both.</w:t>
      </w:r>
      <w:r>
        <w:rPr>
          <w:rStyle w:val="FootnoteAnchor"/>
        </w:rPr>
        <w:footnoteReference w:id="63"/>
      </w:r>
      <w:r>
        <w:t xml:space="preserve"> First, complex offensive cyber operations require detailed intelligence preparation, often including human intelligence.</w:t>
      </w:r>
      <w:r>
        <w:rPr>
          <w:rStyle w:val="FootnoteAnchor"/>
        </w:rPr>
        <w:footnoteReference w:id="64"/>
      </w:r>
      <w:r>
        <w:t xml:space="preserve"> Intelligence is harder to collect and understand from a distance, and poor intelligence enhances cyber deterrence-by-denial. Second, attribution and retaliation depend on capabilities in more traditional domains.</w:t>
      </w:r>
      <w:r>
        <w:rPr>
          <w:rStyle w:val="FootnoteAnchor"/>
        </w:rPr>
        <w:footnoteReference w:id="65"/>
      </w:r>
      <w:r>
        <w:t xml:space="preserve"> Thus deterrence-by-punishment of cyber aggression will be affected by the </w:t>
      </w:r>
      <w:r>
        <w:lastRenderedPageBreak/>
        <w:t xml:space="preserve">same </w:t>
      </w:r>
      <w:r w:rsidR="009B5AD6">
        <w:t xml:space="preserve">loss-of-strength </w:t>
      </w:r>
      <w:r>
        <w:t xml:space="preserve">gradient that affects cross-domain military capabilities in the terrestrial world. </w:t>
      </w:r>
      <w:r w:rsidR="00470E9F">
        <w:t xml:space="preserve">In sum, </w:t>
      </w:r>
      <w:r w:rsidR="009B5AD6">
        <w:t xml:space="preserve">we expect </w:t>
      </w:r>
      <w:r w:rsidR="00470E9F">
        <w:t xml:space="preserve">Western resolve and capability </w:t>
      </w:r>
      <w:r w:rsidR="009B5AD6">
        <w:t xml:space="preserve">to decrease </w:t>
      </w:r>
      <w:r w:rsidR="00470E9F">
        <w:t xml:space="preserve">from West to East while Russian resolve and capability increases. </w:t>
      </w:r>
    </w:p>
    <w:p w14:paraId="410B348E" w14:textId="77777777" w:rsidR="000A77B7" w:rsidRDefault="00470E9F">
      <w:pPr>
        <w:pStyle w:val="Heading2"/>
        <w:spacing w:after="200"/>
        <w:ind w:right="10"/>
      </w:pPr>
      <w:r>
        <w:t>A Note on Third Parties</w:t>
      </w:r>
    </w:p>
    <w:p w14:paraId="65EC0174" w14:textId="75CC91BB" w:rsidR="000A77B7" w:rsidRDefault="00470E9F" w:rsidP="0000434C">
      <w:pPr>
        <w:pStyle w:val="Newparagraph"/>
        <w:ind w:firstLine="0"/>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6"/>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67"/>
      </w:r>
      <w:r>
        <w:t xml:space="preserve"> His argument </w:t>
      </w:r>
      <w:r w:rsidR="00B27E0C">
        <w:t xml:space="preserve">appears </w:t>
      </w:r>
      <w:r>
        <w:t xml:space="preserve">to run counter to our deterrence story until the weaker state is </w:t>
      </w:r>
      <w:r w:rsidR="00B27E0C">
        <w:t xml:space="preserve">considered together </w:t>
      </w:r>
      <w:r>
        <w:t xml:space="preserve">with its powerful protector(s). Russia may not be deterred by the Ukrainian military directly, but it calibrates its actions to avoid triggering a confrontation with NATO. More actors </w:t>
      </w:r>
      <w:r w:rsidR="00B27E0C">
        <w:t xml:space="preserve">may </w:t>
      </w:r>
      <w:r>
        <w:t xml:space="preserve">be considered “capable” </w:t>
      </w:r>
      <w:r w:rsidR="00B27E0C">
        <w:t xml:space="preserve">in this sense </w:t>
      </w:r>
      <w:r>
        <w:t>than if assessed in purely bilateral terms.</w:t>
      </w:r>
    </w:p>
    <w:p w14:paraId="2A009F20" w14:textId="77777777" w:rsidR="000A77B7" w:rsidRDefault="00470E9F" w:rsidP="004C76DC">
      <w:pPr>
        <w:pStyle w:val="Newparagraph"/>
      </w:pPr>
      <w:r>
        <w:lastRenderedPageBreak/>
        <w:t>Importantly, alliances, commitment mechanisms, and other attempts to aggregate capabilities are often explicitly or implicitly designed to generate deterrence by reducing agency (autonomy) on the part of individual participants, making them behave more like a single unit.</w:t>
      </w:r>
      <w:r>
        <w:rPr>
          <w:rStyle w:val="FootnoteAnchor"/>
        </w:rPr>
        <w:footnoteReference w:id="68"/>
      </w:r>
      <w:r>
        <w:t xml:space="preserve"> Deterrence works if an ally might respond to a given provocation, but friction between them complicates deterrence effectiveness.</w:t>
      </w:r>
      <w:r>
        <w:rPr>
          <w:rStyle w:val="FootnoteAnchor"/>
        </w:rPr>
        <w:footnoteReference w:id="69"/>
      </w:r>
      <w:r>
        <w:t xml:space="preserve"> Indeed, misalignment of interests within an alliance (or domestic civil politics) can serve to weaken deterrence and provide opportunities for gray zone intervention. </w:t>
      </w:r>
    </w:p>
    <w:p w14:paraId="74E55C3F" w14:textId="77777777" w:rsidR="000A77B7" w:rsidRDefault="00470E9F" w:rsidP="004C76DC">
      <w:pPr>
        <w:pStyle w:val="Newparagraph"/>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0"/>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zone.</w:t>
      </w:r>
      <w:r w:rsidR="00950D40">
        <w:rPr>
          <w:rStyle w:val="FootnoteReference"/>
        </w:rPr>
        <w:footnoteReference w:id="71"/>
      </w:r>
    </w:p>
    <w:p w14:paraId="1E10E3FC" w14:textId="77777777" w:rsidR="000A77B7" w:rsidRDefault="00470E9F">
      <w:pPr>
        <w:pStyle w:val="Heading1"/>
        <w:ind w:right="10"/>
      </w:pPr>
      <w:bookmarkStart w:id="14" w:name="_5n3w61b4kam6"/>
      <w:bookmarkEnd w:id="14"/>
      <w:r>
        <w:lastRenderedPageBreak/>
        <w:t>Russian Gray Zone Campaigns</w:t>
      </w:r>
    </w:p>
    <w:p w14:paraId="09070135" w14:textId="77777777" w:rsidR="000A77B7" w:rsidRDefault="00470E9F" w:rsidP="0000434C">
      <w:pPr>
        <w:pStyle w:val="Newparagraph"/>
        <w:ind w:firstLine="0"/>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2"/>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6CC60CBE" w14:textId="77777777" w:rsidR="000A77B7" w:rsidRDefault="00470E9F">
      <w:pPr>
        <w:pStyle w:val="Heading2"/>
        <w:spacing w:after="200"/>
        <w:ind w:right="10"/>
      </w:pPr>
      <w:bookmarkStart w:id="15" w:name="_nz7gptvniecz"/>
      <w:bookmarkEnd w:id="15"/>
      <w:r>
        <w:t>Cross-National Data</w:t>
      </w:r>
    </w:p>
    <w:p w14:paraId="04E3C199" w14:textId="77777777" w:rsidR="000A77B7" w:rsidRDefault="00470E9F" w:rsidP="0000434C">
      <w:pPr>
        <w:pStyle w:val="Newparagraph"/>
        <w:ind w:firstLine="0"/>
      </w:pPr>
      <w:r>
        <w:t>It is perhaps fitting that data on Russian gray zone interventions are themselves ambiguous. Previous studies have compiled open source data on Russian-attributed cyber conflict over the past three decades. Two cross-national datasets – Dyadic Cyber Incident and Dispute V1.1 (DCID) and Russian Electoral Interventions (REI) – cover almost entirely distinct samples.</w:t>
      </w:r>
      <w:r>
        <w:rPr>
          <w:rStyle w:val="FootnoteAnchor"/>
        </w:rPr>
        <w:footnoteReference w:id="73"/>
      </w:r>
      <w:r>
        <w:t xml:space="preserve"> </w:t>
      </w:r>
      <w:r>
        <w:lastRenderedPageBreak/>
        <w:t>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3086C5B4" w14:textId="77777777" w:rsidR="004819AE" w:rsidRDefault="00470E9F" w:rsidP="004C76DC">
      <w:pPr>
        <w:pStyle w:val="Newparagraph"/>
      </w:pPr>
      <w:r>
        <w:t>We present an expanded and consolidated dataset of 82 cases of Russian intervention from 1994-2018.</w:t>
      </w:r>
      <w:r>
        <w:rPr>
          <w:rStyle w:val="FootnoteAnchor"/>
        </w:rPr>
        <w:footnoteReference w:id="74"/>
      </w:r>
      <w:r>
        <w:t xml:space="preserve"> DCID and REI together describe 71 unique cases of Russian aggression that have either included some degree of cyber intervention or were cases of electoral interference. We have identified 10 additional instances of Russian cyber-attacks from 1994-2018</w:t>
      </w:r>
      <w:r w:rsidR="00965EF9">
        <w:t xml:space="preserve"> that are not covered in the previous datasets. Most of these new cases cover cyber conflict after 2011 (the latest year in DCID) that were non-electoral (the universe of cases in REI).</w:t>
      </w:r>
      <w:r w:rsidR="00965EF9">
        <w:rPr>
          <w:rStyle w:val="FootnoteReference"/>
        </w:rPr>
        <w:footnoteReference w:id="75"/>
      </w:r>
      <w:r>
        <w:t xml:space="preserve"> </w:t>
      </w:r>
      <w:r w:rsidR="00965EF9">
        <w:t xml:space="preserve">We further </w:t>
      </w:r>
      <w:r>
        <w:t>include 3 cases of non-cyber Russian aggression during this time period from the International Crisis Behavior (ICB) dataset.</w:t>
      </w:r>
      <w:r>
        <w:rPr>
          <w:rStyle w:val="FootnoteAnchor"/>
        </w:rPr>
        <w:footnoteReference w:id="76"/>
      </w:r>
      <w:r>
        <w:t xml:space="preserve"> Including ICB data has the further advantage of not focusing exclusively on Russian cyber-attacks but also including all Russian conflict short of war. To resolve the heterogeneity across datasets, we compiled an entirely new coding of the intensity of Russian attacks.</w:t>
      </w:r>
      <w:r w:rsidR="00965EF9">
        <w:rPr>
          <w:rStyle w:val="FootnoteReference"/>
        </w:rPr>
        <w:footnoteReference w:id="77"/>
      </w:r>
      <w:r>
        <w:t xml:space="preserve"> For each incident, we code whether Russia used conventional ground forces, </w:t>
      </w:r>
      <w:r>
        <w:lastRenderedPageBreak/>
        <w:t>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3D5B49EE" w14:textId="77777777" w:rsidR="000A77B7" w:rsidRDefault="00470E9F" w:rsidP="004C76DC">
      <w:pPr>
        <w:pStyle w:val="Newparagraph"/>
      </w:pPr>
      <w:r>
        <w:t xml:space="preserve">Figure 1 shows the frequency distribution of Russian gray zone operations since 1994. </w:t>
      </w:r>
      <w:r w:rsidR="00C71EB5">
        <w:t>We follow the coding criteria used in DCID, coding each country-year’s intensity as the highest observed Russian intervention on a scale where information operations are the least intense type of intervention and ground troops are the most intense.</w:t>
      </w:r>
      <w:r w:rsidR="00C71EB5">
        <w:rPr>
          <w:rStyle w:val="FootnoteReference"/>
        </w:rPr>
        <w:footnoteReference w:id="78"/>
      </w:r>
      <w:r w:rsidR="00C71EB5">
        <w:t xml:space="preserve"> </w:t>
      </w:r>
      <w:r>
        <w:t xml:space="preserve">Contrary to descriptions of gray zone conflict as new or the product of </w:t>
      </w:r>
      <w:r w:rsidR="00965EF9">
        <w:t>technological innovation</w:t>
      </w:r>
      <w:r>
        <w:t>,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72300A7F" w14:textId="77777777" w:rsidR="00D63020" w:rsidRDefault="00D63020" w:rsidP="004C76DC">
      <w:pPr>
        <w:pStyle w:val="Newparagraph"/>
      </w:pPr>
      <w:r>
        <w:t xml:space="preserve">A basic hypothesis of our theory is that limited war constrained by deterrence (gray zone conflict) should be distributed along a deterrence gradient, with conflict intensity inversely </w:t>
      </w:r>
      <w:r>
        <w:lastRenderedPageBreak/>
        <w:t>proportional to the credibility of deterrence. Limited war that is motivated by efficiency, by contrast, should be less correlated with geography.</w:t>
      </w:r>
    </w:p>
    <w:p w14:paraId="380F9E93" w14:textId="77777777" w:rsidR="000A77B7" w:rsidRDefault="00D63020" w:rsidP="004C76DC">
      <w:pPr>
        <w:pStyle w:val="Newparagraph"/>
      </w:pPr>
      <w:r>
        <w:rPr>
          <w:noProof/>
        </w:rPr>
        <w:drawing>
          <wp:inline distT="0" distB="0" distL="0" distR="0" wp14:anchorId="64946052" wp14:editId="2B4019CF">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14:paraId="4A4351BB"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1</w:t>
      </w:r>
      <w:r>
        <w:rPr>
          <w:b/>
        </w:rPr>
        <w:fldChar w:fldCharType="end"/>
      </w:r>
      <w:r>
        <w:t xml:space="preserve"> Intensity of Russian intervention over time. The bars represent the average intensity of Russian interventions in each year using the 1-5 scale provided. The line denotes the number of Russian interventions in each year.</w:t>
      </w:r>
    </w:p>
    <w:p w14:paraId="13A35518" w14:textId="54D3CBF2" w:rsidR="000A77B7" w:rsidRDefault="00470E9F" w:rsidP="004C76DC">
      <w:pPr>
        <w:pStyle w:val="Newparagraph"/>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w:t>
      </w:r>
      <w:r>
        <w:lastRenderedPageBreak/>
        <w:t>Syria, which hosts a major Russian naval base on the Mediterranean. The port of Tartus, a staging base for Russian combat operations in Syria, serves to lessen the Russian loss of strength gradient and may help to explain the Syrian exception to the East-West pattern in the intensity of Russian operations in Figure 2.</w:t>
      </w:r>
      <w:r>
        <w:br w:type="page"/>
      </w:r>
    </w:p>
    <w:p w14:paraId="7C042B3E" w14:textId="77777777" w:rsidR="000A77B7" w:rsidRDefault="00470E9F" w:rsidP="004C76DC">
      <w:pPr>
        <w:pStyle w:val="Newparagraph"/>
      </w:pPr>
      <w:r>
        <w:rPr>
          <w:noProof/>
        </w:rPr>
        <w:lastRenderedPageBreak/>
        <w:drawing>
          <wp:inline distT="0" distB="1905" distL="0" distR="0" wp14:anchorId="552AE2E1" wp14:editId="694EB2EB">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943600" cy="5770880"/>
                    </a:xfrm>
                    <a:prstGeom prst="rect">
                      <a:avLst/>
                    </a:prstGeom>
                  </pic:spPr>
                </pic:pic>
              </a:graphicData>
            </a:graphic>
          </wp:inline>
        </w:drawing>
      </w:r>
    </w:p>
    <w:p w14:paraId="46FBEC33"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2</w:t>
      </w:r>
      <w:r>
        <w:rPr>
          <w:b/>
        </w:rPr>
        <w:fldChar w:fldCharType="end"/>
      </w:r>
      <w:r>
        <w:t xml:space="preserve"> Geographic representation of Russia intervention. Each country's shading represents the highest intensity of Russian intervention in that state between 1994-2017. States closer to Russia have noticeably higher levels of </w:t>
      </w:r>
      <w:r w:rsidR="002D44B0">
        <w:t>severity</w:t>
      </w:r>
      <w:r>
        <w:t>.</w:t>
      </w:r>
    </w:p>
    <w:p w14:paraId="49A131F9" w14:textId="77777777" w:rsidR="000A77B7" w:rsidRDefault="00470E9F" w:rsidP="004C76DC">
      <w:pPr>
        <w:pStyle w:val="Newparagraph"/>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w:t>
      </w:r>
      <w:r>
        <w:lastRenderedPageBreak/>
        <w:t>Russian influence operations are ubiquitous, cyber disruption is less common, and overt military intervention occurs only in Russia’s immediate periphery (“near abroad”).</w:t>
      </w:r>
    </w:p>
    <w:p w14:paraId="4807084E" w14:textId="77777777" w:rsidR="000A77B7" w:rsidRDefault="00470E9F">
      <w:pPr>
        <w:pStyle w:val="Heading2"/>
      </w:pPr>
      <w:bookmarkStart w:id="16" w:name="_67l51pwqju7m"/>
      <w:bookmarkStart w:id="17" w:name="_qj6388j08rsl"/>
      <w:bookmarkEnd w:id="16"/>
      <w:bookmarkEnd w:id="17"/>
      <w:r>
        <w:t>Major Cyber Campaigns</w:t>
      </w:r>
    </w:p>
    <w:p w14:paraId="50D672EC" w14:textId="77777777" w:rsidR="000A77B7" w:rsidRDefault="00470E9F" w:rsidP="00090CF0">
      <w:pPr>
        <w:pStyle w:val="Newparagraph"/>
        <w:ind w:firstLine="0"/>
      </w:pPr>
      <w:r>
        <w:t>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79"/>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E03B8BA" w14:textId="77777777" w:rsidR="000A77B7" w:rsidRDefault="00470E9F" w:rsidP="004C76DC">
      <w:pPr>
        <w:pStyle w:val="Newparagraph"/>
      </w:pPr>
      <w: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w:t>
      </w:r>
      <w:r>
        <w:lastRenderedPageBreak/>
        <w:t>status seeking, and geopolitical imperatives for security.</w:t>
      </w:r>
      <w:r>
        <w:rPr>
          <w:rStyle w:val="FootnoteAnchor"/>
        </w:rPr>
        <w:footnoteReference w:id="80"/>
      </w:r>
      <w:r>
        <w:t xml:space="preserve"> Rather we argue that how motives are expressed, whatever their origins, will be more or less constrained by Western deterrence. We will consider some counterarguments in the case narratives.</w:t>
      </w:r>
    </w:p>
    <w:p w14:paraId="7FD28E1C" w14:textId="77777777" w:rsidR="000A77B7" w:rsidRDefault="00470E9F" w:rsidP="00013BB9">
      <w:pPr>
        <w:pStyle w:val="Tabletitle"/>
      </w:pPr>
      <w:r>
        <w:rPr>
          <w:b/>
        </w:rPr>
        <w:t>Table 2</w:t>
      </w:r>
      <w:r>
        <w:t>: Case comparison of Russian gray zone conflicts</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00"/>
        <w:gridCol w:w="2047"/>
        <w:gridCol w:w="1550"/>
        <w:gridCol w:w="1550"/>
        <w:gridCol w:w="1334"/>
      </w:tblGrid>
      <w:tr w:rsidR="000A77B7" w14:paraId="5AC63371"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BA2C082" w14:textId="77777777" w:rsidR="000A77B7" w:rsidRDefault="00470E9F" w:rsidP="001D5C1D">
            <w:pPr>
              <w:pStyle w:val="Newparagraph"/>
              <w:ind w:firstLine="0"/>
            </w:pPr>
            <w: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3DC00A47" w14:textId="77777777" w:rsidR="000A77B7" w:rsidRDefault="00470E9F" w:rsidP="001D5C1D">
            <w:pPr>
              <w:pStyle w:val="Newparagraph"/>
              <w:ind w:firstLine="0"/>
              <w:jc w:val="center"/>
            </w:pPr>
            <w:r>
              <w:t>United States</w:t>
            </w:r>
            <w:r w:rsidR="001D5C1D">
              <w:t xml:space="preserve"> </w:t>
            </w:r>
            <w:r>
              <w:t>(2016)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B571179" w14:textId="77777777" w:rsidR="000A77B7" w:rsidRDefault="00470E9F" w:rsidP="001D5C1D">
            <w:pPr>
              <w:pStyle w:val="Newparagraph"/>
              <w:ind w:firstLine="0"/>
              <w:jc w:val="center"/>
            </w:pPr>
            <w:r>
              <w:t>Estonia</w:t>
            </w:r>
            <w:r w:rsidR="001D5C1D">
              <w:t xml:space="preserve"> </w:t>
            </w:r>
            <w:r>
              <w:t>(2007)</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64613F8" w14:textId="77777777" w:rsidR="000A77B7" w:rsidRDefault="00470E9F" w:rsidP="001D5C1D">
            <w:pPr>
              <w:pStyle w:val="Newparagraph"/>
              <w:ind w:firstLine="0"/>
              <w:jc w:val="center"/>
            </w:pPr>
            <w:r>
              <w:t>Ukraine</w:t>
            </w:r>
            <w:r w:rsidR="001D5C1D">
              <w:t xml:space="preserve"> </w:t>
            </w:r>
            <w:r>
              <w:t>(2014)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6978CFBB" w14:textId="77777777" w:rsidR="000A77B7" w:rsidRDefault="00470E9F" w:rsidP="001D5C1D">
            <w:pPr>
              <w:pStyle w:val="Newparagraph"/>
              <w:ind w:firstLine="0"/>
              <w:jc w:val="center"/>
            </w:pPr>
            <w:r>
              <w:t>Georgia</w:t>
            </w:r>
            <w:r w:rsidR="001D5C1D">
              <w:t xml:space="preserve"> </w:t>
            </w:r>
            <w:r>
              <w:t>(2008)</w:t>
            </w:r>
          </w:p>
        </w:tc>
      </w:tr>
      <w:tr w:rsidR="000A77B7" w14:paraId="3FDAEF14"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00B04F38" w14:textId="77777777" w:rsidR="000A77B7" w:rsidRDefault="00470E9F" w:rsidP="001D5C1D">
            <w:pPr>
              <w:pStyle w:val="Newparagraph"/>
              <w:ind w:firstLine="0"/>
            </w:pPr>
            <w: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06DBD0AB"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9E0E1E0"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34624BC" w14:textId="77777777" w:rsidR="000A77B7" w:rsidRDefault="000A77B7" w:rsidP="001D5C1D">
            <w:pPr>
              <w:widowControl w:val="0"/>
              <w:spacing w:line="240" w:lineRule="auto"/>
              <w:jc w:val="cente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4FBEDB4" w14:textId="77777777" w:rsidR="000A77B7" w:rsidRDefault="00470E9F" w:rsidP="001D5C1D">
            <w:pPr>
              <w:pStyle w:val="Newparagraph"/>
              <w:ind w:firstLine="0"/>
              <w:jc w:val="center"/>
            </w:pPr>
            <w:r>
              <w:t>X</w:t>
            </w:r>
          </w:p>
        </w:tc>
      </w:tr>
      <w:tr w:rsidR="000A77B7" w14:paraId="1E81CC3B"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D12B732" w14:textId="77777777" w:rsidR="000A77B7" w:rsidRDefault="00470E9F" w:rsidP="001D5C1D">
            <w:pPr>
              <w:pStyle w:val="Newparagraph"/>
              <w:ind w:firstLine="0"/>
            </w:pPr>
            <w: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620AC657"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5267D4E4"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745F0E22"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DAE3059" w14:textId="77777777" w:rsidR="000A77B7" w:rsidRDefault="00470E9F" w:rsidP="001D5C1D">
            <w:pPr>
              <w:pStyle w:val="Newparagraph"/>
              <w:ind w:firstLine="0"/>
              <w:jc w:val="center"/>
            </w:pPr>
            <w:r>
              <w:t>X</w:t>
            </w:r>
          </w:p>
        </w:tc>
      </w:tr>
      <w:tr w:rsidR="000A77B7" w14:paraId="4223AAAD"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7484BDAF" w14:textId="77777777" w:rsidR="000A77B7" w:rsidRDefault="00470E9F" w:rsidP="001D5C1D">
            <w:pPr>
              <w:pStyle w:val="Newparagraph"/>
              <w:ind w:firstLine="0"/>
            </w:pPr>
            <w: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236DE301"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9AA5DBA"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7DA8389"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04F4E5E1" w14:textId="77777777" w:rsidR="000A77B7" w:rsidRDefault="00470E9F" w:rsidP="001D5C1D">
            <w:pPr>
              <w:pStyle w:val="Newparagraph"/>
              <w:ind w:firstLine="0"/>
              <w:jc w:val="center"/>
            </w:pPr>
            <w:r>
              <w:t>X</w:t>
            </w:r>
          </w:p>
        </w:tc>
      </w:tr>
      <w:tr w:rsidR="000A77B7" w14:paraId="5E0A77D5"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6D5782B1" w14:textId="77777777" w:rsidR="000A77B7" w:rsidRDefault="00470E9F" w:rsidP="001D5C1D">
            <w:pPr>
              <w:pStyle w:val="Newparagraph"/>
              <w:ind w:firstLine="0"/>
            </w:pPr>
            <w: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13DA3F4"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4C7B7F5"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CE9168F"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55133CA5" w14:textId="77777777" w:rsidR="000A77B7" w:rsidRDefault="00470E9F" w:rsidP="001D5C1D">
            <w:pPr>
              <w:pStyle w:val="Newparagraph"/>
              <w:ind w:firstLine="0"/>
              <w:jc w:val="center"/>
            </w:pPr>
            <w:r>
              <w:t>X</w:t>
            </w:r>
          </w:p>
        </w:tc>
      </w:tr>
    </w:tbl>
    <w:p w14:paraId="52A403D0" w14:textId="7C892CFC" w:rsidR="000A77B7" w:rsidRDefault="00470E9F" w:rsidP="004C76DC">
      <w:pPr>
        <w:pStyle w:val="Newparagraph"/>
      </w:pPr>
      <w:r>
        <w:t>Table 2 lists these cases by distance from Washington DC.</w:t>
      </w:r>
      <w:r>
        <w:rPr>
          <w:rStyle w:val="FootnoteAnchor"/>
        </w:rPr>
        <w:footnoteReference w:id="81"/>
      </w:r>
      <w:r>
        <w:t xml:space="preserve"> Again the geographical pattern is striking. Moscow is more likely to pull its punches for cases closer to Washington. Russian operations directly against the United States </w:t>
      </w:r>
      <w:r w:rsidR="00891C50">
        <w:t xml:space="preserve">have been </w:t>
      </w:r>
      <w:r>
        <w:t>limited to cyber influence and espionage operations. Operations against Estonia</w:t>
      </w:r>
      <w:r w:rsidR="00122003">
        <w:t xml:space="preserve"> in 2007</w:t>
      </w:r>
      <w:r>
        <w:t xml:space="preserve"> </w:t>
      </w:r>
      <w:r w:rsidR="00891C50">
        <w:t xml:space="preserve">were also </w:t>
      </w:r>
      <w:r>
        <w:t>restrained—</w:t>
      </w:r>
      <w:r w:rsidR="00891C50">
        <w:t>Estonia is a</w:t>
      </w:r>
      <w:r>
        <w:t xml:space="preserve"> </w:t>
      </w:r>
      <w:r>
        <w:lastRenderedPageBreak/>
        <w:t>NATO</w:t>
      </w:r>
      <w:r w:rsidR="00891C50">
        <w:t xml:space="preserve"> member</w:t>
      </w:r>
      <w:r>
        <w:t xml:space="preserve">—but </w:t>
      </w:r>
      <w:r w:rsidR="00891C50">
        <w:t>further included a more</w:t>
      </w:r>
      <w:r>
        <w:t xml:space="preserve"> punishing </w:t>
      </w:r>
      <w:r w:rsidR="00891C50">
        <w:t xml:space="preserve">set </w:t>
      </w:r>
      <w:r>
        <w:t xml:space="preserve">of DDoS attacks. Ukraine is not a member of NATO and is highly salient to Russia, but it borders European NATO states and was in negotiation for EU membership when the crisis began. Russian attacks </w:t>
      </w:r>
      <w:r w:rsidR="00891C50">
        <w:t xml:space="preserve">on Ukraine have been </w:t>
      </w:r>
      <w:r>
        <w:t>diverse</w:t>
      </w:r>
      <w:r w:rsidR="00891C50">
        <w:t xml:space="preserve"> and punishing</w:t>
      </w:r>
      <w:r>
        <w:t xml:space="preserve"> but </w:t>
      </w:r>
      <w:r w:rsidR="00891C50">
        <w:t xml:space="preserve">have fallen </w:t>
      </w:r>
      <w:r>
        <w:t>short of avowed military intervention. Georgia</w:t>
      </w:r>
      <w:r w:rsidR="00891C50">
        <w:t>, by contrast,</w:t>
      </w:r>
      <w:r>
        <w:t xml:space="preserve"> is not a NATO member and is deep in Russia’s sphere of influence. At the weakest end of the deterrence gradient, Russia intervened in Georgia</w:t>
      </w:r>
      <w:r w:rsidR="00122003">
        <w:t xml:space="preserve"> in 2008</w:t>
      </w:r>
      <w:r>
        <w:t xml:space="preserve"> using not only cyber-attacks but also paramilitaries and overt military force.</w:t>
      </w:r>
      <w:r>
        <w:rPr>
          <w:rStyle w:val="FootnoteAnchor"/>
        </w:rPr>
        <w:footnoteReference w:id="82"/>
      </w:r>
      <w:r>
        <w:t xml:space="preserve"> </w:t>
      </w:r>
      <w:r w:rsidR="00122003">
        <w:t>We will briefly consider each of them in chronological order.</w:t>
      </w:r>
    </w:p>
    <w:p w14:paraId="79332FCE" w14:textId="77777777" w:rsidR="000A77B7" w:rsidRDefault="00470E9F">
      <w:pPr>
        <w:pStyle w:val="Heading3"/>
        <w:spacing w:after="200" w:line="276" w:lineRule="auto"/>
        <w:ind w:left="-5" w:right="10"/>
      </w:pPr>
      <w:bookmarkStart w:id="18" w:name="_c8qq01qhrze2"/>
      <w:bookmarkEnd w:id="18"/>
      <w:r>
        <w:t>Estonia (2007)</w:t>
      </w:r>
    </w:p>
    <w:p w14:paraId="2A204965" w14:textId="2037F770" w:rsidR="00D155A0" w:rsidRDefault="00122003" w:rsidP="00090CF0">
      <w:pPr>
        <w:pStyle w:val="Newparagraph"/>
        <w:ind w:firstLine="0"/>
      </w:pPr>
      <w:r>
        <w:t>Moscow coordinated a wave of</w:t>
      </w:r>
      <w:r w:rsidR="00470E9F">
        <w:t xml:space="preserve"> DDoS</w:t>
      </w:r>
      <w:r w:rsidR="00891C50">
        <w:t xml:space="preserve"> attack</w:t>
      </w:r>
      <w:r>
        <w:t>s</w:t>
      </w:r>
      <w:r w:rsidR="00891C50">
        <w:t xml:space="preserve"> </w:t>
      </w:r>
      <w:r w:rsidR="000215AC">
        <w:t>against</w:t>
      </w:r>
      <w:r w:rsidR="00891C50">
        <w:t xml:space="preserve"> Estonia</w:t>
      </w:r>
      <w:r w:rsidR="00470E9F">
        <w:t xml:space="preserve"> </w:t>
      </w:r>
      <w:r>
        <w:t>following</w:t>
      </w:r>
      <w:r w:rsidR="00891C50">
        <w:t xml:space="preserve"> the relocation of a Soviet statue.</w:t>
      </w:r>
      <w:r w:rsidR="00891C50">
        <w:rPr>
          <w:rStyle w:val="FootnoteAnchor"/>
        </w:rPr>
        <w:footnoteReference w:id="83"/>
      </w:r>
      <w:r w:rsidR="000215AC">
        <w:t xml:space="preserve"> </w:t>
      </w:r>
      <w:r w:rsidR="00470E9F">
        <w:t xml:space="preserve">The gap in time between </w:t>
      </w:r>
      <w:r>
        <w:t xml:space="preserve">Estonia’s 2004 </w:t>
      </w:r>
      <w:r w:rsidR="00470E9F">
        <w:t xml:space="preserve">ascension </w:t>
      </w:r>
      <w:r>
        <w:t xml:space="preserve">to NATO </w:t>
      </w:r>
      <w:r w:rsidR="00470E9F">
        <w:t>and the</w:t>
      </w:r>
      <w:r w:rsidR="002B507E">
        <w:t xml:space="preserve"> </w:t>
      </w:r>
      <w:r>
        <w:t>2007</w:t>
      </w:r>
      <w:r w:rsidR="00470E9F">
        <w:t xml:space="preserve"> Russian cyber campaign is telling</w:t>
      </w:r>
      <w:r w:rsidR="002B507E">
        <w:t>. I</w:t>
      </w:r>
      <w:r w:rsidR="00470E9F">
        <w:t xml:space="preserve">n Georgia and </w:t>
      </w:r>
      <w:r w:rsidR="00090CF0">
        <w:t>Ukraine,</w:t>
      </w:r>
      <w:r w:rsidR="00470E9F">
        <w:t xml:space="preserve"> the mere prospect of future NATO membership </w:t>
      </w:r>
      <w:r w:rsidR="00AE7F9A">
        <w:t>(announced in the April 2008 Bucharest Summit Declaration) would provoke</w:t>
      </w:r>
      <w:r w:rsidR="002B507E">
        <w:t xml:space="preserve"> a Russian response</w:t>
      </w:r>
      <w:r w:rsidR="00470E9F">
        <w:t>. The Estonian attacks</w:t>
      </w:r>
      <w:r w:rsidR="00AE7F9A">
        <w:t>,</w:t>
      </w:r>
      <w:r w:rsidR="00ED647A">
        <w:t xml:space="preserve"> by contrast</w:t>
      </w:r>
      <w:r w:rsidR="00AE7F9A">
        <w:t>,</w:t>
      </w:r>
      <w:r w:rsidR="00470E9F">
        <w:t xml:space="preserve"> </w:t>
      </w:r>
      <w:r w:rsidR="00AE7F9A">
        <w:t>were</w:t>
      </w:r>
      <w:r w:rsidR="00D155A0">
        <w:t xml:space="preserve"> a muted</w:t>
      </w:r>
      <w:r w:rsidR="00470E9F">
        <w:t xml:space="preserve"> opportunistic protest</w:t>
      </w:r>
      <w:r w:rsidR="00AE7F9A">
        <w:t>, not</w:t>
      </w:r>
      <w:r w:rsidR="00470E9F">
        <w:t xml:space="preserve"> a determined bid to change or return</w:t>
      </w:r>
      <w:r w:rsidR="00AE7F9A">
        <w:t xml:space="preserve"> to</w:t>
      </w:r>
      <w:r w:rsidR="00470E9F">
        <w:t xml:space="preserve"> the status quo. </w:t>
      </w:r>
      <w:r w:rsidR="00AE7F9A">
        <w:t xml:space="preserve">No one issued any clear demands or claimed responsibility, and Estonia did not replace the statue. The DDoS attacks were an ambiguous symbolic move calibrated to fall well below the threshold of a NATO response. </w:t>
      </w:r>
      <w:r w:rsidR="00ED647A">
        <w:t>The ambiguous</w:t>
      </w:r>
      <w:r w:rsidR="00470E9F">
        <w:t xml:space="preserve"> </w:t>
      </w:r>
      <w:r w:rsidR="00470E9F">
        <w:lastRenderedPageBreak/>
        <w:t xml:space="preserve">legal status of a cyber-attack </w:t>
      </w:r>
      <w:r w:rsidR="00ED647A">
        <w:t>in 2007</w:t>
      </w:r>
      <w:r w:rsidR="00470E9F">
        <w:t xml:space="preserve"> </w:t>
      </w:r>
      <w:r>
        <w:t>both enabled and constrained</w:t>
      </w:r>
      <w:r w:rsidR="00470E9F">
        <w:t xml:space="preserve"> Russia</w:t>
      </w:r>
      <w:r w:rsidR="00AE7F9A">
        <w:t xml:space="preserve"> in this respect</w:t>
      </w:r>
      <w:r w:rsidR="00470E9F">
        <w:t>.</w:t>
      </w:r>
      <w:r w:rsidR="00470E9F">
        <w:rPr>
          <w:rStyle w:val="FootnoteAnchor"/>
        </w:rPr>
        <w:footnoteReference w:id="84"/>
      </w:r>
      <w:r w:rsidR="00470E9F">
        <w:t xml:space="preserve"> NATO </w:t>
      </w:r>
      <w:r>
        <w:t>was highly</w:t>
      </w:r>
      <w:r w:rsidR="00470E9F">
        <w:t xml:space="preserve"> unlikely to seriously consider formally responding so long as Russia avoided causing serious harm. </w:t>
      </w:r>
      <w:r w:rsidR="00ED647A">
        <w:t>Estonia’s defense minister considered but ultimately rejected invoking Article V, the collective defense clause of the NATO treaty, ultimately treating the episode as a domestic law enforcement matter.</w:t>
      </w:r>
      <w:r w:rsidR="00ED647A">
        <w:rPr>
          <w:rStyle w:val="FootnoteAnchor"/>
        </w:rPr>
        <w:footnoteReference w:id="85"/>
      </w:r>
      <w:r w:rsidR="00D155A0">
        <w:t xml:space="preserve"> After the event, Tallinn became more resolved to bind with the West. Indeed, Estonia bec</w:t>
      </w:r>
      <w:r w:rsidR="00AE7F9A">
        <w:t>a</w:t>
      </w:r>
      <w:r w:rsidR="00D155A0">
        <w:t xml:space="preserve">me a hub for coordinating NATO cyber </w:t>
      </w:r>
      <w:r w:rsidR="00AE7F9A">
        <w:t>defences. Because Russian moves were motivated by deterrence rather than efficiency, s</w:t>
      </w:r>
      <w:r w:rsidR="00D155A0">
        <w:t xml:space="preserve">ubsequent improvements in NATO cyber deterrence </w:t>
      </w:r>
      <w:r w:rsidR="00AE7F9A">
        <w:t>were not</w:t>
      </w:r>
      <w:r w:rsidR="00D155A0">
        <w:t xml:space="preserve"> met by Russian escalation.</w:t>
      </w:r>
    </w:p>
    <w:p w14:paraId="2EDC3E40" w14:textId="77777777" w:rsidR="000A77B7" w:rsidRDefault="00470E9F">
      <w:pPr>
        <w:pStyle w:val="Heading3"/>
        <w:spacing w:after="200" w:line="276" w:lineRule="auto"/>
        <w:ind w:left="-5" w:right="10"/>
      </w:pPr>
      <w:bookmarkStart w:id="19" w:name="_qfl5qr5bywfn"/>
      <w:bookmarkEnd w:id="19"/>
      <w:r>
        <w:t>Georgia (2008)</w:t>
      </w:r>
    </w:p>
    <w:p w14:paraId="2D8A069F" w14:textId="5A2D1AD2" w:rsidR="000A77B7" w:rsidRDefault="00470E9F" w:rsidP="00090CF0">
      <w:pPr>
        <w:pStyle w:val="Newparagraph"/>
        <w:ind w:firstLine="0"/>
      </w:pPr>
      <w:r>
        <w:t>Georgia was hit by similar DDoS attacks amidst an even more fractious duel of competing narratives in online fora.</w:t>
      </w:r>
      <w:r>
        <w:rPr>
          <w:rStyle w:val="FootnoteAnchor"/>
        </w:rPr>
        <w:footnoteReference w:id="86"/>
      </w:r>
      <w:r>
        <w:t xml:space="preserve"> Yet Russia also intervened militarily</w:t>
      </w:r>
      <w:r w:rsidR="00AE7F9A">
        <w:t xml:space="preserve"> in South Ossetia and Abkhazia</w:t>
      </w:r>
      <w:r>
        <w:t xml:space="preserve">, an early example of cross-domain operations leveraging cyberspace. Russia’s intervention choices in this conflict, situated at the far end of the Western deterrence gradient, were </w:t>
      </w:r>
      <w:r w:rsidR="00AE7F9A">
        <w:t>relatively unconstrained</w:t>
      </w:r>
      <w:r>
        <w:t>.</w:t>
      </w:r>
      <w:r w:rsidR="00AE7F9A">
        <w:t xml:space="preserve"> The same month as NATO announced a pathway to membership for Georgia, Russia announced that it would unilaterally increase peacekeepers in Abkhazia. </w:t>
      </w:r>
      <w:r>
        <w:t xml:space="preserve"> Russia </w:t>
      </w:r>
      <w:r w:rsidR="00AF45ED">
        <w:t xml:space="preserve">then </w:t>
      </w:r>
      <w:r>
        <w:t>used whatever mix of tools it needed to accomplish its objective</w:t>
      </w:r>
      <w:r w:rsidR="00AF45ED">
        <w:t>s</w:t>
      </w:r>
      <w:r>
        <w:t xml:space="preserve"> and did not pull its punches out of concern for Western counteraction. If anyone was deterred, it was NATO. As Driscoll and </w:t>
      </w:r>
      <w:r>
        <w:lastRenderedPageBreak/>
        <w:t>Maliniak point out, “because of Georgia’s location and its contested map, it is a security liability from the point of view of many in the West.”</w:t>
      </w:r>
      <w:r>
        <w:rPr>
          <w:rStyle w:val="FootnoteAnchor"/>
        </w:rPr>
        <w:footnoteReference w:id="87"/>
      </w:r>
      <w:r>
        <w:t xml:space="preserve">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w:t>
      </w:r>
      <w:r w:rsidR="006D670C">
        <w:t xml:space="preserve"> more forceful</w:t>
      </w:r>
      <w:r>
        <w:t xml:space="preserve"> Western response would have only escalated the situation since Russia’s actions were chosen through a calculation that its objectives could be accomplished at reasonable cost. </w:t>
      </w:r>
    </w:p>
    <w:p w14:paraId="232CBC95" w14:textId="00553874" w:rsidR="000A77B7" w:rsidRDefault="00470E9F">
      <w:pPr>
        <w:pStyle w:val="Heading3"/>
        <w:spacing w:after="200" w:line="276" w:lineRule="auto"/>
        <w:ind w:left="-15" w:right="10"/>
      </w:pPr>
      <w:bookmarkStart w:id="20" w:name="_15u7zsw4j3sl"/>
      <w:bookmarkEnd w:id="20"/>
      <w:r>
        <w:t>Ukraine (2014)</w:t>
      </w:r>
    </w:p>
    <w:p w14:paraId="1F31577A" w14:textId="2C5AF646" w:rsidR="007A138B" w:rsidRDefault="009A1F08" w:rsidP="009A1F08">
      <w:pPr>
        <w:pStyle w:val="Newparagraph"/>
        <w:ind w:firstLine="0"/>
      </w:pPr>
      <w:r>
        <w:t xml:space="preserve">Can efficiency calculations alone explain the single-domain response in Estonia versus the multi-domain engagement in Georgia? </w:t>
      </w:r>
      <w:r w:rsidR="005C0397">
        <w:t xml:space="preserve">One might argue that Russia values the stakes differently in each conflict and thus the geographical correlation </w:t>
      </w:r>
      <w:r>
        <w:t xml:space="preserve">observed </w:t>
      </w:r>
      <w:r w:rsidR="005C0397">
        <w:t xml:space="preserve">in Table 2 is spurious. </w:t>
      </w:r>
      <w:r>
        <w:t>Indeed,</w:t>
      </w:r>
      <w:r w:rsidR="005C0397">
        <w:t xml:space="preserve"> Russia let Estonia join NATO without a fight in 2004 and merely sought to register a protest vote in 2007 when Tallinn moved a Soviet statue. By contrast, Russia had supported Georgian separatists since the early 1990s and was highly resolved to ward off Western encroachment. </w:t>
      </w:r>
      <w:r>
        <w:t xml:space="preserve">The </w:t>
      </w:r>
      <w:r w:rsidR="005C0397">
        <w:t>Ukraine case finds</w:t>
      </w:r>
      <w:r>
        <w:t>, however, finds</w:t>
      </w:r>
      <w:r w:rsidR="005C0397">
        <w:t xml:space="preserve"> this alternative account wanting. The seat of the medieval Kievan Rus empire is more salient in Russian nationalist mythology than Georgia, a peripheral outpost in the Caucuses far from Moscow</w:t>
      </w:r>
      <w:r>
        <w:t>, and the Black Sea port of Sevastopol also makes Crimea more strategically relevant</w:t>
      </w:r>
      <w:r w:rsidR="005C0397">
        <w:t>.</w:t>
      </w:r>
      <w:r w:rsidR="005C0397">
        <w:rPr>
          <w:rStyle w:val="FootnoteAnchor"/>
        </w:rPr>
        <w:footnoteReference w:id="88"/>
      </w:r>
      <w:r w:rsidR="005C0397">
        <w:t xml:space="preserve"> If Russian moves were motivated by efficiency rather than deterrence, then we would expect more overt Russian military efforts in Ukraine, as in Georgia. </w:t>
      </w:r>
      <w:r>
        <w:t xml:space="preserve">On the contrary, despite Russia’s higher valuation of the stakes in Ukraine, we observe </w:t>
      </w:r>
      <w:r>
        <w:lastRenderedPageBreak/>
        <w:t>considerable restraint. Despite five years of</w:t>
      </w:r>
      <w:r w:rsidR="00593E48">
        <w:t xml:space="preserve"> protracted </w:t>
      </w:r>
      <w:r>
        <w:t>war—killing nearly ten thousand and displacing millions—so far there has occurred neither</w:t>
      </w:r>
      <w:r w:rsidR="00593E48">
        <w:t xml:space="preserve"> large</w:t>
      </w:r>
      <w:r>
        <w:t>-</w:t>
      </w:r>
      <w:r w:rsidR="00593E48">
        <w:t>scale combined arms warfare nor unrestrained ethnic cleansing. Indeed, cumulative civilian deaths plateaued at about 4000 in 2015.</w:t>
      </w:r>
      <w:r w:rsidR="00593E48">
        <w:rPr>
          <w:rStyle w:val="FootnoteAnchor"/>
        </w:rPr>
        <w:footnoteReference w:id="89"/>
      </w:r>
      <w:r w:rsidR="00593E48">
        <w:t xml:space="preserve"> </w:t>
      </w:r>
      <w:r w:rsidR="007A138B">
        <w:t>The fact that the costs of war could be much higher, together with efforts made to allow both sides to save face, is suggestive of Russian motives for restraint.</w:t>
      </w:r>
      <w:r w:rsidR="007A138B">
        <w:rPr>
          <w:rStyle w:val="FootnoteReference"/>
        </w:rPr>
        <w:footnoteReference w:id="90"/>
      </w:r>
    </w:p>
    <w:p w14:paraId="26742763" w14:textId="6A95CF02" w:rsidR="000A77B7" w:rsidRDefault="00775507">
      <w:pPr>
        <w:pStyle w:val="Newparagraph"/>
      </w:pPr>
      <w:r>
        <w:t>Militating against</w:t>
      </w:r>
      <w:r w:rsidR="002B0BF8">
        <w:t xml:space="preserve"> the efficiency </w:t>
      </w:r>
      <w:r>
        <w:t>explanation</w:t>
      </w:r>
      <w:r w:rsidR="002B0BF8">
        <w:t xml:space="preserve">, Russia took pains to create a fig leaf of ambiguity about the identity of Russian troops, the presence of Russian heavy weapons, and its role in orchestrating disinformation campaigns. Even though NATO has no formal commitment to Ukraine, </w:t>
      </w:r>
      <w:r w:rsidR="009A1F08">
        <w:t>c</w:t>
      </w:r>
      <w:r w:rsidR="002B0BF8">
        <w:t>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w:t>
      </w:r>
      <w:r w:rsidR="002B0BF8">
        <w:rPr>
          <w:rStyle w:val="FootnoteAnchor"/>
        </w:rPr>
        <w:footnoteReference w:id="91"/>
      </w:r>
      <w:r w:rsidR="002B0BF8">
        <w:t xml:space="preserve"> </w:t>
      </w:r>
      <w:r w:rsidR="003F32D8">
        <w:t>Russia has</w:t>
      </w:r>
      <w:r w:rsidR="005C0397">
        <w:t xml:space="preserve"> also</w:t>
      </w:r>
      <w:r w:rsidR="003F32D8">
        <w:t xml:space="preserve"> not realized </w:t>
      </w:r>
      <w:r w:rsidR="00593E48">
        <w:t>significant gain</w:t>
      </w:r>
      <w:r w:rsidR="003F32D8">
        <w:t xml:space="preserve"> for </w:t>
      </w:r>
      <w:r w:rsidR="005C0397">
        <w:t xml:space="preserve">all of </w:t>
      </w:r>
      <w:r w:rsidR="003F32D8">
        <w:t>its</w:t>
      </w:r>
      <w:r w:rsidR="005C0397">
        <w:t xml:space="preserve"> creative</w:t>
      </w:r>
      <w:r w:rsidR="003F32D8">
        <w:t xml:space="preserve"> efforts</w:t>
      </w:r>
      <w:r w:rsidR="005C0397">
        <w:t xml:space="preserve"> in cyberspace</w:t>
      </w:r>
      <w:r w:rsidR="003F32D8">
        <w:t>.</w:t>
      </w:r>
      <w:r w:rsidR="003F32D8">
        <w:rPr>
          <w:rStyle w:val="FootnoteAnchor"/>
        </w:rPr>
        <w:footnoteReference w:id="92"/>
      </w:r>
      <w:r w:rsidR="003F32D8">
        <w:t xml:space="preserve"> Endemic Russian cyber-attacks and </w:t>
      </w:r>
      <w:r w:rsidR="003F32D8">
        <w:lastRenderedPageBreak/>
        <w:t>information operations have had little impact on battlefield events.</w:t>
      </w:r>
      <w:r w:rsidR="003F32D8">
        <w:rPr>
          <w:rStyle w:val="FootnoteAnchor"/>
        </w:rPr>
        <w:footnoteReference w:id="93"/>
      </w:r>
      <w:r w:rsidR="003F32D8">
        <w:t xml:space="preserve"> Even </w:t>
      </w:r>
      <w:r w:rsidR="005C0397">
        <w:t>as</w:t>
      </w:r>
      <w:r w:rsidR="003F32D8">
        <w:t xml:space="preserve"> social media manipulation is supposedly a Russian specialty, pro-Kremlin narratives have never really taken hold in Western Ukraine.</w:t>
      </w:r>
      <w:r w:rsidR="003F32D8">
        <w:rPr>
          <w:rStyle w:val="FootnoteAnchor"/>
        </w:rPr>
        <w:footnoteReference w:id="94"/>
      </w:r>
      <w:r w:rsidR="003A30D5">
        <w:t xml:space="preserve"> The cyber domain is especially attractive for a risk-averse opportunist, providing lots of ways to do something without doing too much.</w:t>
      </w:r>
      <w:r w:rsidR="002B0BF8" w:rsidDel="005C0397">
        <w:t xml:space="preserve"> </w:t>
      </w:r>
      <w:r w:rsidR="009A1F08">
        <w:t>As Brantley et. al. points out, the modal diversity of conflict in Ukraine has lacked sufficient intensity to warrant outside intervention.</w:t>
      </w:r>
      <w:r w:rsidR="009A1F08">
        <w:rPr>
          <w:rStyle w:val="FootnoteAnchor"/>
        </w:rPr>
        <w:footnoteReference w:id="95"/>
      </w:r>
      <w:r w:rsidR="009A1F08">
        <w:t xml:space="preserve"> Russia has the ability to impose its will on Ukraine</w:t>
      </w:r>
      <w:r w:rsidR="00C07623">
        <w:t>,</w:t>
      </w:r>
      <w:r w:rsidR="009A1F08">
        <w:t xml:space="preserve"> but it stops short. Russian moves in Ukraine are a second-best option shaped by Western deterrence. </w:t>
      </w:r>
    </w:p>
    <w:p w14:paraId="5117BA36" w14:textId="77777777" w:rsidR="000A77B7" w:rsidRDefault="00470E9F" w:rsidP="00D12BCB">
      <w:pPr>
        <w:pStyle w:val="Heading3"/>
      </w:pPr>
      <w:bookmarkStart w:id="21" w:name="_p4w3lxqpnd1i"/>
      <w:bookmarkEnd w:id="21"/>
      <w:r>
        <w:t>United States (2016)</w:t>
      </w:r>
    </w:p>
    <w:p w14:paraId="0225802F" w14:textId="6B5542B5" w:rsidR="000A77B7" w:rsidRDefault="00470E9F" w:rsidP="00090CF0">
      <w:pPr>
        <w:pStyle w:val="Newparagraph"/>
        <w:ind w:firstLine="0"/>
      </w:pPr>
      <w:r>
        <w:t xml:space="preserve">A U.S. intelligence community statement released soon after the </w:t>
      </w:r>
      <w:r w:rsidR="00CC308C">
        <w:t xml:space="preserve">2016 </w:t>
      </w:r>
      <w:r>
        <w:t>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Pr>
          <w:rStyle w:val="FootnoteAnchor"/>
        </w:rPr>
        <w:footnoteReference w:id="96"/>
      </w:r>
      <w:r w:rsidR="00300C75">
        <w:t xml:space="preserve"> </w:t>
      </w:r>
      <w:r>
        <w:t>Moscow</w:t>
      </w:r>
      <w:r w:rsidR="00300C75">
        <w:t>’s influence operations</w:t>
      </w:r>
      <w:r>
        <w:t xml:space="preserve"> </w:t>
      </w:r>
      <w:r w:rsidR="00C16207">
        <w:t>might thus</w:t>
      </w:r>
      <w:r w:rsidR="00C07623">
        <w:t xml:space="preserve"> be</w:t>
      </w:r>
      <w:r>
        <w:t xml:space="preserve"> described as unrestrained, even brazen, and thus motivated entirely by efficiency calculations. Yet the choice </w:t>
      </w:r>
      <w:r>
        <w:lastRenderedPageBreak/>
        <w:t xml:space="preserve">to pursue this course of action in the first place was very much constrained by the implicit deterrence posture of the United States. Russia </w:t>
      </w:r>
      <w:r w:rsidR="00300C75">
        <w:t xml:space="preserve">can </w:t>
      </w:r>
      <w:r>
        <w:t xml:space="preserve">safely assume that the most powerful military in the world </w:t>
      </w:r>
      <w:r w:rsidR="00300C75">
        <w:t xml:space="preserve">will </w:t>
      </w:r>
      <w:r>
        <w:t xml:space="preserve">retaliate for armed attacks directly against its vital interests. </w:t>
      </w:r>
      <w:r w:rsidR="008557B0">
        <w:t xml:space="preserve">While the United States had not designated its electoral processes “critical infrastructure” to explicitly signal that cyber interference against them might be proscribed, Russia still had to consider America’s power to retaliate.  </w:t>
      </w:r>
      <w:r w:rsidR="00300C75">
        <w:t xml:space="preserve">Russia </w:t>
      </w:r>
      <w:r w:rsidR="008557B0">
        <w:t xml:space="preserve">sought opportunities </w:t>
      </w:r>
      <w:r w:rsidR="00300C75">
        <w:t>to impose costs and seek</w:t>
      </w:r>
      <w:r>
        <w:t xml:space="preserve"> benefits</w:t>
      </w:r>
      <w:r w:rsidR="00300C75">
        <w:t xml:space="preserve"> while minimizing</w:t>
      </w:r>
      <w:r>
        <w:t xml:space="preserve"> the risk of retaliation</w:t>
      </w:r>
      <w:r w:rsidR="008557B0">
        <w:t>, and it found them in covert manipulation of democratic discourse.</w:t>
      </w:r>
      <w:r w:rsidR="008557B0" w:rsidRPr="008557B0">
        <w:t xml:space="preserve"> </w:t>
      </w:r>
      <w:r>
        <w:t xml:space="preserve">Indeed, Russia's electoral interference has gone essentially unpunished by the United States to date, aside from the expulsion of some Russian intelligence officers and the application of </w:t>
      </w:r>
      <w:r w:rsidR="00300C75">
        <w:t>some</w:t>
      </w:r>
      <w:r>
        <w:t xml:space="preserve"> </w:t>
      </w:r>
      <w:r w:rsidR="00300C75">
        <w:t xml:space="preserve">additional </w:t>
      </w:r>
      <w:r>
        <w:t xml:space="preserve">sanctions </w:t>
      </w:r>
      <w:r w:rsidR="00300C75">
        <w:t>to an already heavy regime put in place after Ukraine</w:t>
      </w:r>
      <w:r>
        <w:t xml:space="preserve">. </w:t>
      </w:r>
      <w:r w:rsidR="00CC308C">
        <w:t>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w:t>
      </w:r>
      <w:r w:rsidR="00CC308C">
        <w:rPr>
          <w:rStyle w:val="FootnoteAnchor"/>
        </w:rPr>
        <w:footnoteReference w:id="97"/>
      </w:r>
      <w:r w:rsidR="00CC308C">
        <w:t xml:space="preserve"> Russian information operations were a low-cost gamble to influence an overdetermined outcome. </w:t>
      </w:r>
    </w:p>
    <w:p w14:paraId="3B48DD5E" w14:textId="77777777" w:rsidR="000A77B7" w:rsidRDefault="00470E9F">
      <w:pPr>
        <w:pStyle w:val="Heading2"/>
        <w:spacing w:after="200" w:line="276" w:lineRule="auto"/>
        <w:ind w:left="-15" w:right="10"/>
      </w:pPr>
      <w:bookmarkStart w:id="23" w:name="_cs8vg3ebxn8j"/>
      <w:bookmarkEnd w:id="23"/>
      <w:r>
        <w:t>Discussion</w:t>
      </w:r>
    </w:p>
    <w:p w14:paraId="2D279B58" w14:textId="4F170B8E" w:rsidR="000A77B7" w:rsidRDefault="00470E9F" w:rsidP="00090CF0">
      <w:pPr>
        <w:pStyle w:val="Newparagraph"/>
        <w:ind w:firstLine="0"/>
      </w:pPr>
      <w:r>
        <w:t xml:space="preserve">The overall pattern of recent Russian intervention is largely consistent with our hypothesis that deterrence encourages capable actors to </w:t>
      </w:r>
      <w:r w:rsidR="000E78EA">
        <w:t>engage in calculated restraint</w:t>
      </w:r>
      <w:r>
        <w:t xml:space="preserve">. As the deterrence gradient drops off from West to East, Russia </w:t>
      </w:r>
      <w:r w:rsidR="008557B0">
        <w:t>has more freedom to pursue</w:t>
      </w:r>
      <w:r>
        <w:t xml:space="preserve"> its international objectives.</w:t>
      </w:r>
      <w:r w:rsidR="000E78EA">
        <w:t xml:space="preserve"> </w:t>
      </w:r>
      <w:r w:rsidR="008557B0">
        <w:t>Ge</w:t>
      </w:r>
      <w:r>
        <w:t xml:space="preserve">ography does not determine deterrence, but it is correlated with other factors like military </w:t>
      </w:r>
      <w:r>
        <w:lastRenderedPageBreak/>
        <w:t xml:space="preserve">power, NATO membership, and the proximity of interests that shape deterrence credibility. While the degree of Russian interest does vary across these cases, the case of Ukraine </w:t>
      </w:r>
      <w:r w:rsidR="008557B0">
        <w:t>demonstrates that</w:t>
      </w:r>
      <w:r>
        <w:t xml:space="preserve"> Russia is sensitive to deterrence even when its interests are high. Differences in Russia</w:t>
      </w:r>
      <w:r w:rsidR="008557B0">
        <w:t>n choices</w:t>
      </w:r>
      <w:r>
        <w:t xml:space="preserve"> also cannot be explained </w:t>
      </w:r>
      <w:r w:rsidR="008557B0">
        <w:t xml:space="preserve">simply as an artefact of </w:t>
      </w:r>
      <w:r>
        <w:t xml:space="preserve">more options </w:t>
      </w:r>
      <w:r w:rsidR="008557B0">
        <w:t>becoming available over time (i.e., maturation)</w:t>
      </w:r>
      <w:r>
        <w:t xml:space="preserve">. </w:t>
      </w:r>
      <w:r w:rsidR="008557B0">
        <w:t xml:space="preserve">The </w:t>
      </w:r>
      <w:r>
        <w:t>oldest cases (Estonia and Georgia) feature very different levels of intensity between them</w:t>
      </w:r>
      <w:r w:rsidR="008557B0">
        <w:t xml:space="preserve">; </w:t>
      </w:r>
      <w:r w:rsidR="007C2821">
        <w:t>as</w:t>
      </w:r>
      <w:r w:rsidR="008557B0">
        <w:t xml:space="preserve"> do</w:t>
      </w:r>
      <w:r>
        <w:t xml:space="preserve">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w:t>
      </w:r>
      <w:r w:rsidR="008557B0">
        <w:t>it</w:t>
      </w:r>
      <w:r>
        <w:t xml:space="preserve">. </w:t>
      </w:r>
    </w:p>
    <w:p w14:paraId="379BF9E4" w14:textId="77777777" w:rsidR="000A77B7" w:rsidRDefault="00470E9F">
      <w:pPr>
        <w:pStyle w:val="Heading1"/>
        <w:spacing w:after="200" w:line="276" w:lineRule="auto"/>
        <w:ind w:left="-15" w:right="10"/>
      </w:pPr>
      <w:bookmarkStart w:id="24" w:name="_6h0561asae7s"/>
      <w:bookmarkEnd w:id="24"/>
      <w:r>
        <w:t>Every Silver Lining's Got a Touch of Gray</w:t>
      </w:r>
    </w:p>
    <w:p w14:paraId="75CE753E" w14:textId="272C385C" w:rsidR="000A77B7" w:rsidRDefault="00470E9F" w:rsidP="00090CF0">
      <w:pPr>
        <w:pStyle w:val="Newparagraph"/>
        <w:ind w:firstLine="0"/>
      </w:pPr>
      <w:r>
        <w:t>Gray zone conflict occurs when capable actors intentionally limit the intensity or capacity of aggression</w:t>
      </w:r>
      <w:r w:rsidR="00BD41FA">
        <w:t xml:space="preserve"> </w:t>
      </w:r>
      <w:r>
        <w:t xml:space="preserve">and refrain from escalation. It differs from other forms of irregular or asymmetric warfare that are also limited because one of the combatants simply lacks the means to escalate. Unlimited war for </w:t>
      </w:r>
      <w:r w:rsidR="00BD41FA">
        <w:t>the</w:t>
      </w:r>
      <w:r>
        <w:t xml:space="preserve"> guerrilla will be limited war for the state. Gray zone actors, by contrast, </w:t>
      </w:r>
      <w:r w:rsidR="001A3B2B">
        <w:t>exercise calculated restraint</w:t>
      </w:r>
      <w:r>
        <w:t xml:space="preserve"> out of concern for the potential consequences of aggression. </w:t>
      </w:r>
      <w:r w:rsidR="00BD41FA">
        <w:t xml:space="preserve">Adversaries who no longer possess monolithic interests will also prefer to compete around the edges rather than openly confront opponents, concerned that the maximization of military power would undermine larger political objectives. </w:t>
      </w:r>
      <w:r>
        <w:t xml:space="preserve">Limited conflict, ironically enough, </w:t>
      </w:r>
      <w:r w:rsidR="00BD41FA">
        <w:t xml:space="preserve">is </w:t>
      </w:r>
      <w:r>
        <w:t xml:space="preserve">a symptom of </w:t>
      </w:r>
      <w:r w:rsidR="00BD41FA">
        <w:t>deterrence</w:t>
      </w:r>
      <w:r w:rsidR="00BD41FA" w:rsidDel="00BD41FA">
        <w:t xml:space="preserve"> </w:t>
      </w:r>
      <w:r>
        <w:t>success. Gray zone conflict</w:t>
      </w:r>
      <w:r w:rsidR="00BD41FA">
        <w:t>, conversely,</w:t>
      </w:r>
      <w:r>
        <w:t xml:space="preserve"> may be a reflection of weakness </w:t>
      </w:r>
      <w:r w:rsidR="00BD41FA">
        <w:t xml:space="preserve">more </w:t>
      </w:r>
      <w:r>
        <w:t>than an expression of strength.</w:t>
      </w:r>
    </w:p>
    <w:p w14:paraId="781FEBA9" w14:textId="3B0E472D" w:rsidR="000A77B7" w:rsidRDefault="00470E9F" w:rsidP="004C76DC">
      <w:pPr>
        <w:pStyle w:val="Newparagraph"/>
      </w:pPr>
      <w:r>
        <w:t xml:space="preserve">Just as there is a gray zone between war and peace, the distinction between effective and ineffective deterrence is also fuzzy. We have introduced the notion of the deterrence gradient, </w:t>
      </w:r>
      <w:r w:rsidR="00BD41FA">
        <w:t xml:space="preserve">a straightforward extrapolation from </w:t>
      </w:r>
      <w:r>
        <w:t xml:space="preserve">the military loss of strength gradient, to describe credible </w:t>
      </w:r>
      <w:r>
        <w:lastRenderedPageBreak/>
        <w:t xml:space="preserve">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7BA097D8" w14:textId="15457ACE" w:rsidR="000A77B7" w:rsidRDefault="00BD41FA" w:rsidP="004C76DC">
      <w:pPr>
        <w:pStyle w:val="Newparagraph"/>
      </w:pPr>
      <w:r>
        <w:t>We</w:t>
      </w:r>
      <w:r w:rsidR="00D86017">
        <w:t xml:space="preserve"> have</w:t>
      </w:r>
      <w:r>
        <w:t xml:space="preserve"> used the </w:t>
      </w:r>
      <w:r w:rsidR="00470E9F">
        <w:t>same cases that have raised alarms about the dangers of gray zone conflict—Russian incursions in Georgia and Ukraine and cyber campaigns targeting many other countries—</w:t>
      </w:r>
      <w:r>
        <w:t>to test</w:t>
      </w:r>
      <w:r w:rsidR="00470E9F">
        <w:t xml:space="preserve"> our alternative explanation. </w:t>
      </w:r>
      <w:r w:rsidR="00D86017">
        <w:t>D</w:t>
      </w:r>
      <w:r>
        <w:t xml:space="preserve">eterrence </w:t>
      </w:r>
      <w:r w:rsidR="00470E9F">
        <w:t xml:space="preserve">credibility is highest for United States immediate deterrence and lowest in Russia’s Eurasian backyard, with decreasing values for Western NATO members, newer Eastern members, and European non-members. We found that Russia systematically </w:t>
      </w:r>
      <w:r w:rsidR="001A3B2B">
        <w:t>reduces operational intensity</w:t>
      </w:r>
      <w:r w:rsidR="00470E9F">
        <w:t xml:space="preserve"> along </w:t>
      </w:r>
      <w:r w:rsidR="00D86017">
        <w:t xml:space="preserve">the deterrence </w:t>
      </w:r>
      <w:r w:rsidR="00470E9F">
        <w:t xml:space="preserve">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w:t>
      </w:r>
      <w:r w:rsidR="00643125">
        <w:t>general-purpose</w:t>
      </w:r>
      <w:r w:rsidR="00470E9F">
        <w:t xml:space="preserve"> capability that it can use at will to destabilize any Western democracy or undermine any deterrence posture. Rather it acts opportunistically as circumstances enable it to hassle adversaries and their clients without, however, risking a military confrontation that </w:t>
      </w:r>
      <w:r w:rsidR="00D86017">
        <w:t xml:space="preserve">Moscow </w:t>
      </w:r>
      <w:r w:rsidR="00470E9F">
        <w:t xml:space="preserve">does not desire. The flip side of this logic, however, is that Russia is willing to call NATO’s bluffs in cases where it can reasonably expect that NATO is unwilling to intervene. The case of Georgia (and even more so Chechnya and less </w:t>
      </w:r>
      <w:r w:rsidR="00470E9F">
        <w:lastRenderedPageBreak/>
        <w:t xml:space="preserve">so Ukraine) illustrates Russian willingness to indulge efficiency considerations (i.e., take the gloves off) when there is little prospect of NATO punishment. </w:t>
      </w:r>
    </w:p>
    <w:p w14:paraId="5AEE3792" w14:textId="0F07EA2A" w:rsidR="000A77B7" w:rsidRDefault="00470E9F" w:rsidP="004C76DC">
      <w:pPr>
        <w:pStyle w:val="Newparagraph"/>
      </w:pPr>
      <w:r>
        <w:t>This argument has implications for the debate over NATO expansion after the Cold War.</w:t>
      </w:r>
      <w:r w:rsidR="00D86172">
        <w:rPr>
          <w:rStyle w:val="FootnoteReference"/>
        </w:rPr>
        <w:footnoteReference w:id="98"/>
      </w:r>
      <w:r>
        <w:t xml:space="preserve"> </w:t>
      </w:r>
      <w:r w:rsidR="00D86172">
        <w:t xml:space="preserve">When expansion is posed </w:t>
      </w:r>
      <w:r>
        <w:t xml:space="preserve">in starkly binary terms, expansion is seen as either a stabilizing force for Europe in the face of Russian recidivism or an irresponsible provocation of legitimate Russian security interests </w:t>
      </w:r>
      <w:r w:rsidR="00FF4AB1">
        <w:t>fuelled</w:t>
      </w:r>
      <w:r>
        <w:t xml:space="preserve"> by liberal delusions</w:t>
      </w:r>
      <w:r w:rsidR="00FF4AB1">
        <w:t>.</w:t>
      </w:r>
      <w:r>
        <w:rPr>
          <w:rStyle w:val="FootnoteAnchor"/>
        </w:rPr>
        <w:footnoteReference w:id="99"/>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w:t>
      </w:r>
      <w:r w:rsidR="00D86172">
        <w:t xml:space="preserve">. After the fall of the Soviet Union and during a period of military and economic weakness, moreover, </w:t>
      </w:r>
      <w:r>
        <w:t>Russia was</w:t>
      </w:r>
      <w:r w:rsidR="00D86172">
        <w:t xml:space="preserve"> grudgingly</w:t>
      </w:r>
      <w:r>
        <w:t xml:space="preserve"> willing to accept a downward revision of its European influence. </w:t>
      </w:r>
      <w:r w:rsidR="00D86172">
        <w:t xml:space="preserve">One might also debate whether </w:t>
      </w:r>
      <w:r>
        <w:t xml:space="preserve">later rounds which brought in Baltic and Balkan countries made sense in whole or part. This is not the place to debate this history. We merely wish to point out that the </w:t>
      </w:r>
      <w:r>
        <w:lastRenderedPageBreak/>
        <w:t xml:space="preserve">alternative perspectives of NATO provocation and Russian aggression are better conceived as context specific variables rather than absolute qualities of either actor. </w:t>
      </w:r>
      <w:r w:rsidR="00D86172">
        <w:t>The right question is not whether NATO should have expanded, but how far.</w:t>
      </w:r>
    </w:p>
    <w:p w14:paraId="7FD6D0D9" w14:textId="77777777" w:rsidR="000A77B7" w:rsidRDefault="00470E9F" w:rsidP="004C76DC">
      <w:pPr>
        <w:pStyle w:val="Newparagraph"/>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14:paraId="6F171BDA" w14:textId="2A8F54FF" w:rsidR="000A77B7" w:rsidRDefault="00470E9F" w:rsidP="004C76DC">
      <w:pPr>
        <w:pStyle w:val="Newparagraph"/>
      </w:pPr>
      <w:r>
        <w:t xml:space="preserve">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w:t>
      </w:r>
      <w:r>
        <w:lastRenderedPageBreak/>
        <w:t>simple remedy for gray zone conflict does not exist and it instead requires constant activity across domains to understand and contain new variations of provocation. Because conflict and deterrence are variable, they must be managed continuously as well.</w:t>
      </w:r>
    </w:p>
    <w:p w14:paraId="777F2AAA" w14:textId="3CBD9514" w:rsidR="00D86172" w:rsidRPr="004C76DC" w:rsidRDefault="00D86172" w:rsidP="00D86172">
      <w:pPr>
        <w:pStyle w:val="Newparagraph"/>
      </w:pPr>
      <w:r>
        <w:t xml:space="preserve">While Russian cyberattacks the focus of our empirical analysis, the theory should apply more broadly to all cases of gray zone conflict. Chinese incursions in the South China Sea offer another potential test. China’s use of “little blue men” </w:t>
      </w:r>
      <w:r w:rsidR="006C45C4">
        <w:t>suggests that</w:t>
      </w:r>
      <w:r>
        <w:t xml:space="preserve"> Chinese opportunism and restraint</w:t>
      </w:r>
      <w:r w:rsidR="006C45C4">
        <w:t xml:space="preserve"> are both enabling and constraining its foreign policy. That is, Beijing appears to fear</w:t>
      </w:r>
      <w:r>
        <w:t xml:space="preserve"> that the use of more intense military operations risks provoking a Western response that both sides hope to avoid.</w:t>
      </w:r>
      <w:r>
        <w:rPr>
          <w:rStyle w:val="FootnoteReference"/>
        </w:rPr>
        <w:footnoteReference w:id="100"/>
      </w:r>
      <w:r>
        <w:t xml:space="preserve"> </w:t>
      </w:r>
      <w:r w:rsidRPr="00D86172">
        <w:t xml:space="preserve"> </w:t>
      </w:r>
      <w:r>
        <w:t>Focusing on the credibility of deterrence rather than the novelty of means used for gray</w:t>
      </w:r>
      <w:r w:rsidR="006C45C4">
        <w:t>-</w:t>
      </w:r>
      <w:r>
        <w:t>zone conflict can also help to evaluate proper policy responses.</w:t>
      </w:r>
      <w:r>
        <w:rPr>
          <w:rStyle w:val="FootnoteReference"/>
        </w:rPr>
        <w:footnoteReference w:id="101"/>
      </w:r>
      <w:r>
        <w:t xml:space="preserve"> </w:t>
      </w:r>
      <w:r w:rsidR="00231536">
        <w:t>Confronted with</w:t>
      </w:r>
      <w:r>
        <w:t xml:space="preserve"> gray zone </w:t>
      </w:r>
      <w:r w:rsidR="00231536">
        <w:t>provocations</w:t>
      </w:r>
      <w:r>
        <w:t xml:space="preserve"> by capable actors like Russia, China, and Iran</w:t>
      </w:r>
      <w:r w:rsidR="00231536">
        <w:t xml:space="preserve">, the United States would be well advised to reinforce its strengths while avoiding overextension. </w:t>
      </w:r>
    </w:p>
    <w:p w14:paraId="57BC8D22" w14:textId="4F954290" w:rsidR="00604876" w:rsidRDefault="00604876">
      <w:pPr>
        <w:spacing w:line="240" w:lineRule="auto"/>
      </w:pPr>
      <w:r>
        <w:br w:type="page"/>
      </w:r>
    </w:p>
    <w:p w14:paraId="4770D06C" w14:textId="650AAC5F" w:rsidR="00604876" w:rsidRDefault="00604876" w:rsidP="00604876">
      <w:pPr>
        <w:pStyle w:val="Heading1"/>
      </w:pPr>
      <w:r>
        <w:lastRenderedPageBreak/>
        <w:t>References</w:t>
      </w:r>
    </w:p>
    <w:p w14:paraId="403B30E9" w14:textId="3E7FC9E3" w:rsidR="00604876" w:rsidRPr="00604876" w:rsidRDefault="00604876" w:rsidP="00604876">
      <w:pPr>
        <w:pStyle w:val="Bibliography"/>
      </w:pPr>
      <w:r>
        <w:fldChar w:fldCharType="begin"/>
      </w:r>
      <w:r>
        <w:instrText xml:space="preserve"> ADDIN ZOTERO_BIBL {"uncited":[],"omitted":[],"custom":[]} CSL_BIBLIOGRAPHY </w:instrText>
      </w:r>
      <w:r>
        <w:fldChar w:fldCharType="separate"/>
      </w:r>
      <w:r w:rsidRPr="00604876">
        <w:t xml:space="preserve">Adams, Thomas. “LIC (Low Intensity Clausewitz).” </w:t>
      </w:r>
      <w:r w:rsidRPr="00604876">
        <w:rPr>
          <w:i/>
          <w:iCs/>
        </w:rPr>
        <w:t>Small Wars and Insurgencies</w:t>
      </w:r>
      <w:r w:rsidRPr="00604876">
        <w:t xml:space="preserve"> 1, no. 3 (December 1, 1990): 266–75. https://doi.org/10.1080/09592319008422959.</w:t>
      </w:r>
    </w:p>
    <w:p w14:paraId="39D02F2A" w14:textId="77777777" w:rsidR="00604876" w:rsidRPr="00604876" w:rsidRDefault="00604876" w:rsidP="00604876">
      <w:pPr>
        <w:pStyle w:val="Bibliography"/>
      </w:pPr>
      <w:r w:rsidRPr="00604876">
        <w:t xml:space="preserve">Altman, Dan. “Advancing without Attacking: The Strategic Game around the Use of Force.” </w:t>
      </w:r>
      <w:r w:rsidRPr="00604876">
        <w:rPr>
          <w:i/>
          <w:iCs/>
        </w:rPr>
        <w:t>Security Studies</w:t>
      </w:r>
      <w:r w:rsidRPr="00604876">
        <w:t>, August 16, 2017, 1–31. https://doi.org/10.1080/09636412.2017.1360074.</w:t>
      </w:r>
    </w:p>
    <w:p w14:paraId="02AE33E8" w14:textId="77777777" w:rsidR="00604876" w:rsidRPr="00604876" w:rsidRDefault="00604876" w:rsidP="00604876">
      <w:pPr>
        <w:pStyle w:val="Bibliography"/>
      </w:pPr>
      <w:r w:rsidRPr="00604876">
        <w:t>Angevine, Robert, Warden, John K., Russell Keller, and Clark Frye. “Learning Lessons from the Ukraine Conflict.” Institute for Defense Analyses, May 2019.</w:t>
      </w:r>
    </w:p>
    <w:p w14:paraId="7009EFFE" w14:textId="77777777" w:rsidR="00604876" w:rsidRPr="00604876" w:rsidRDefault="00604876" w:rsidP="00604876">
      <w:pPr>
        <w:pStyle w:val="Bibliography"/>
      </w:pPr>
      <w:proofErr w:type="spellStart"/>
      <w:r w:rsidRPr="00604876">
        <w:t>Baezner</w:t>
      </w:r>
      <w:proofErr w:type="spellEnd"/>
      <w:r w:rsidRPr="00604876">
        <w:t>, Marie, and Patrice Robin. “Cyber and Information Warfare in the Ukrainian Conflict.” Report. ETH Zurich, June 2017. https://doi.org/10.3929/ethz-b-000169634.</w:t>
      </w:r>
    </w:p>
    <w:p w14:paraId="4848E3A1" w14:textId="77777777" w:rsidR="00604876" w:rsidRPr="00604876" w:rsidRDefault="00604876" w:rsidP="00604876">
      <w:pPr>
        <w:pStyle w:val="Bibliography"/>
      </w:pPr>
      <w:proofErr w:type="spellStart"/>
      <w:r w:rsidRPr="00604876">
        <w:t>Bak</w:t>
      </w:r>
      <w:proofErr w:type="spellEnd"/>
      <w:r w:rsidRPr="00604876">
        <w:t xml:space="preserve">, </w:t>
      </w:r>
      <w:proofErr w:type="spellStart"/>
      <w:r w:rsidRPr="00604876">
        <w:t>Daehee</w:t>
      </w:r>
      <w:proofErr w:type="spellEnd"/>
      <w:r w:rsidRPr="00604876">
        <w:t xml:space="preserve">. “Alliance Proximity and Effectiveness of Extended Deterrence.” </w:t>
      </w:r>
      <w:r w:rsidRPr="00604876">
        <w:rPr>
          <w:i/>
          <w:iCs/>
        </w:rPr>
        <w:t>International Interactions</w:t>
      </w:r>
      <w:r w:rsidRPr="00604876">
        <w:t xml:space="preserve"> 44, no. 1 (January 2, 2018): 107–31. https://doi.org/10.1080/03050629.2017.1320995.</w:t>
      </w:r>
    </w:p>
    <w:p w14:paraId="2F5167BD" w14:textId="77777777" w:rsidR="00604876" w:rsidRPr="00604876" w:rsidRDefault="00604876" w:rsidP="00604876">
      <w:pPr>
        <w:pStyle w:val="Bibliography"/>
      </w:pPr>
      <w:r w:rsidRPr="00604876">
        <w:t>Bar-</w:t>
      </w:r>
      <w:proofErr w:type="spellStart"/>
      <w:r w:rsidRPr="00604876">
        <w:t>Siman</w:t>
      </w:r>
      <w:proofErr w:type="spellEnd"/>
      <w:r w:rsidRPr="00604876">
        <w:t xml:space="preserve">-Tov, Yaacov. “The Strategy of War by Proxy.” </w:t>
      </w:r>
      <w:r w:rsidRPr="00604876">
        <w:rPr>
          <w:i/>
          <w:iCs/>
        </w:rPr>
        <w:t>Cooperation and Conflict</w:t>
      </w:r>
      <w:r w:rsidRPr="00604876">
        <w:t xml:space="preserve"> 19, no. 4 (1984): 263–273.</w:t>
      </w:r>
    </w:p>
    <w:p w14:paraId="610585BD" w14:textId="77777777" w:rsidR="00604876" w:rsidRPr="00604876" w:rsidRDefault="00604876" w:rsidP="00604876">
      <w:pPr>
        <w:pStyle w:val="Bibliography"/>
      </w:pPr>
      <w:r w:rsidRPr="00604876">
        <w:t xml:space="preserve">Bennett, Andrew, and Colin Elman. “Case Study Methods in the International Relations Subfield.” </w:t>
      </w:r>
      <w:r w:rsidRPr="00604876">
        <w:rPr>
          <w:i/>
          <w:iCs/>
        </w:rPr>
        <w:t>Comparative Political Studies</w:t>
      </w:r>
      <w:r w:rsidRPr="00604876">
        <w:t xml:space="preserve"> 40, no. 2 (February 2007): 170–95. https://doi.org/10.1177/0010414006296346.</w:t>
      </w:r>
    </w:p>
    <w:p w14:paraId="2BE899D3" w14:textId="77777777" w:rsidR="00604876" w:rsidRPr="00604876" w:rsidRDefault="00604876" w:rsidP="00604876">
      <w:pPr>
        <w:pStyle w:val="Bibliography"/>
      </w:pPr>
      <w:proofErr w:type="spellStart"/>
      <w:r w:rsidRPr="00604876">
        <w:t>Blaufarb</w:t>
      </w:r>
      <w:proofErr w:type="spellEnd"/>
      <w:r w:rsidRPr="00604876">
        <w:t xml:space="preserve">, Douglas. </w:t>
      </w:r>
      <w:r w:rsidRPr="00604876">
        <w:rPr>
          <w:i/>
          <w:iCs/>
        </w:rPr>
        <w:t>The Counterinsurgency Era: U.S. Doctrine and Performance, 1950 to the Present</w:t>
      </w:r>
      <w:r w:rsidRPr="00604876">
        <w:t>. Free Press, 1977.</w:t>
      </w:r>
    </w:p>
    <w:p w14:paraId="1561F84A" w14:textId="77777777" w:rsidR="00604876" w:rsidRPr="00604876" w:rsidRDefault="00604876" w:rsidP="00604876">
      <w:pPr>
        <w:pStyle w:val="Bibliography"/>
      </w:pPr>
      <w:proofErr w:type="spellStart"/>
      <w:r w:rsidRPr="00604876">
        <w:t>Borghard</w:t>
      </w:r>
      <w:proofErr w:type="spellEnd"/>
      <w:r w:rsidRPr="00604876">
        <w:t xml:space="preserve">, Erica, and Shawn Lonergan. “The Logic of Coercion in Cyberspace.” </w:t>
      </w:r>
      <w:r w:rsidRPr="00604876">
        <w:rPr>
          <w:i/>
          <w:iCs/>
        </w:rPr>
        <w:t>Security Studies</w:t>
      </w:r>
      <w:r w:rsidRPr="00604876">
        <w:t xml:space="preserve"> 26, no. 3 (July 3, 2017): 452–81. https://doi.org/10.1080/09636412.2017.1306396.</w:t>
      </w:r>
    </w:p>
    <w:p w14:paraId="6A7EF10B" w14:textId="77777777" w:rsidR="00604876" w:rsidRPr="00604876" w:rsidRDefault="00604876" w:rsidP="00604876">
      <w:pPr>
        <w:pStyle w:val="Bibliography"/>
      </w:pPr>
      <w:r w:rsidRPr="00604876">
        <w:t xml:space="preserve">Boulding, Kenneth. </w:t>
      </w:r>
      <w:r w:rsidRPr="00604876">
        <w:rPr>
          <w:i/>
          <w:iCs/>
        </w:rPr>
        <w:t>Conflict and Defense: A General Theory</w:t>
      </w:r>
      <w:r w:rsidRPr="00604876">
        <w:t>. New York: Harper, 1962.</w:t>
      </w:r>
    </w:p>
    <w:p w14:paraId="22F21BBF" w14:textId="77777777" w:rsidR="00604876" w:rsidRPr="00604876" w:rsidRDefault="00604876" w:rsidP="00604876">
      <w:pPr>
        <w:pStyle w:val="Bibliography"/>
      </w:pPr>
      <w:r w:rsidRPr="00604876">
        <w:t>Bragg, Belinda. “Integration Report: Gray Zone Conflicts, Challenges, and Opportunities.” Strategic Multi-Layer Assessment (SMA). Arlington, VA, July 2017. http://nsiteam.com/social/wp-content/uploads/2017/07/Integration-Report-Final-07-13-2017-R.pdf.</w:t>
      </w:r>
    </w:p>
    <w:p w14:paraId="3D1F45AE" w14:textId="77777777" w:rsidR="00604876" w:rsidRPr="00604876" w:rsidRDefault="00604876" w:rsidP="00604876">
      <w:pPr>
        <w:pStyle w:val="Bibliography"/>
      </w:pPr>
      <w:r w:rsidRPr="00604876">
        <w:t xml:space="preserve">Brantly, Aaron, </w:t>
      </w:r>
      <w:proofErr w:type="spellStart"/>
      <w:r w:rsidRPr="00604876">
        <w:t>Nerea</w:t>
      </w:r>
      <w:proofErr w:type="spellEnd"/>
      <w:r w:rsidRPr="00604876">
        <w:t xml:space="preserve"> Cal, and Devlin Winkelstein. “Defending the Borderland: Ukrainian Military Experiences with IO, Cyber, and EW.” Report. Army Cyber Institute, December 1, 2017. https://vtechworks.lib.vt.edu/handle/10919/81979.</w:t>
      </w:r>
    </w:p>
    <w:p w14:paraId="73C0EF23" w14:textId="77777777" w:rsidR="00604876" w:rsidRPr="00604876" w:rsidRDefault="00604876" w:rsidP="00604876">
      <w:pPr>
        <w:pStyle w:val="Bibliography"/>
      </w:pPr>
      <w:r w:rsidRPr="00604876">
        <w:t xml:space="preserve">Brodie, Bernard. “More About Limited War.” Edited by RN Rear Admiral Sir Anthony W. Buzzard, Robert E. Osgood, and P. M. S. Blackett. </w:t>
      </w:r>
      <w:r w:rsidRPr="00604876">
        <w:rPr>
          <w:i/>
          <w:iCs/>
        </w:rPr>
        <w:t>World Politics</w:t>
      </w:r>
      <w:r w:rsidRPr="00604876">
        <w:t xml:space="preserve"> 10, no. 1 (1957): 112–22. https://doi.org/10.2307/2009228.</w:t>
      </w:r>
    </w:p>
    <w:p w14:paraId="4BA30421" w14:textId="77777777" w:rsidR="00604876" w:rsidRPr="00604876" w:rsidRDefault="00604876" w:rsidP="00604876">
      <w:pPr>
        <w:pStyle w:val="Bibliography"/>
      </w:pPr>
      <w:r w:rsidRPr="00604876">
        <w:t xml:space="preserve">Brooks, Risa. </w:t>
      </w:r>
      <w:r w:rsidRPr="00604876">
        <w:rPr>
          <w:i/>
          <w:iCs/>
        </w:rPr>
        <w:t>Shaping Strategy: The Civil-Military Politics of Strategic Assessment</w:t>
      </w:r>
      <w:r w:rsidRPr="00604876">
        <w:t>. Princeton, NJ: Princeton University Press, 2008.</w:t>
      </w:r>
    </w:p>
    <w:p w14:paraId="47E24DEA" w14:textId="77777777" w:rsidR="00604876" w:rsidRPr="00604876" w:rsidRDefault="00604876" w:rsidP="00604876">
      <w:pPr>
        <w:pStyle w:val="Bibliography"/>
      </w:pPr>
      <w:r w:rsidRPr="00604876">
        <w:t xml:space="preserve">Brown, </w:t>
      </w:r>
      <w:proofErr w:type="spellStart"/>
      <w:r w:rsidRPr="00604876">
        <w:t>Seyom</w:t>
      </w:r>
      <w:proofErr w:type="spellEnd"/>
      <w:r w:rsidRPr="00604876">
        <w:t xml:space="preserve">. “Purposes and Pitfalls of War by Proxy: A Systemic Analysis.” </w:t>
      </w:r>
      <w:r w:rsidRPr="00604876">
        <w:rPr>
          <w:i/>
          <w:iCs/>
        </w:rPr>
        <w:t>Small Wars &amp; Insurgencies</w:t>
      </w:r>
      <w:r w:rsidRPr="00604876">
        <w:t xml:space="preserve"> 27, no. 2 (2016): 243–57. https://doi.org/10.1080/09592318.2015.1134047.</w:t>
      </w:r>
    </w:p>
    <w:p w14:paraId="4FD3E160" w14:textId="77777777" w:rsidR="00604876" w:rsidRPr="00604876" w:rsidRDefault="00604876" w:rsidP="00604876">
      <w:pPr>
        <w:pStyle w:val="Bibliography"/>
      </w:pPr>
      <w:r w:rsidRPr="00604876">
        <w:t xml:space="preserve">Buchanan, Ben. </w:t>
      </w:r>
      <w:r w:rsidRPr="00604876">
        <w:rPr>
          <w:i/>
          <w:iCs/>
        </w:rPr>
        <w:t>The Cybersecurity Dilemma: Hacking, Trust, and Fear Between Nations</w:t>
      </w:r>
      <w:r w:rsidRPr="00604876">
        <w:t>. Oxford University Press, 2016.</w:t>
      </w:r>
    </w:p>
    <w:p w14:paraId="0E79F1C6" w14:textId="77777777" w:rsidR="00604876" w:rsidRPr="00604876" w:rsidRDefault="00604876" w:rsidP="00604876">
      <w:pPr>
        <w:pStyle w:val="Bibliography"/>
      </w:pPr>
      <w:r w:rsidRPr="00604876">
        <w:t xml:space="preserve">Carson, Austin. “Facing Off and Saving Face: Covert Intervention and Escalation Management in the Korean War.” </w:t>
      </w:r>
      <w:r w:rsidRPr="00604876">
        <w:rPr>
          <w:i/>
          <w:iCs/>
        </w:rPr>
        <w:t>International Organization</w:t>
      </w:r>
      <w:r w:rsidRPr="00604876">
        <w:t xml:space="preserve"> 70, no. 1 (Winter 2016): 103–31. https://doi.org/10.1017/S0020818315000284.</w:t>
      </w:r>
    </w:p>
    <w:p w14:paraId="773D00DC" w14:textId="77777777" w:rsidR="00604876" w:rsidRPr="00604876" w:rsidRDefault="00604876" w:rsidP="00604876">
      <w:pPr>
        <w:pStyle w:val="Bibliography"/>
      </w:pPr>
      <w:r w:rsidRPr="00604876">
        <w:t xml:space="preserve">———. </w:t>
      </w:r>
      <w:r w:rsidRPr="00604876">
        <w:rPr>
          <w:i/>
          <w:iCs/>
        </w:rPr>
        <w:t>Secret Wars: Covert Conflict in International Politics</w:t>
      </w:r>
      <w:r w:rsidRPr="00604876">
        <w:t>. Princeton Studies in International History and Politics. Princeton, NJ: Princeton University Press, 2018.</w:t>
      </w:r>
    </w:p>
    <w:p w14:paraId="7A56E025" w14:textId="77777777" w:rsidR="00604876" w:rsidRPr="00604876" w:rsidRDefault="00604876" w:rsidP="00604876">
      <w:pPr>
        <w:pStyle w:val="Bibliography"/>
      </w:pPr>
      <w:r w:rsidRPr="00604876">
        <w:lastRenderedPageBreak/>
        <w:t xml:space="preserve">Carver, Michael. “Conventional Warfare in the Nuclear Age.” In </w:t>
      </w:r>
      <w:r w:rsidRPr="00604876">
        <w:rPr>
          <w:i/>
          <w:iCs/>
        </w:rPr>
        <w:t>Makers of Modern Strategy from Machiavelli to the Nuclear Age.</w:t>
      </w:r>
      <w:r w:rsidRPr="00604876">
        <w:t xml:space="preserve">, edited by Peter </w:t>
      </w:r>
      <w:proofErr w:type="spellStart"/>
      <w:r w:rsidRPr="00604876">
        <w:t>Paret</w:t>
      </w:r>
      <w:proofErr w:type="spellEnd"/>
      <w:r w:rsidRPr="00604876">
        <w:t>, Gordon Craig, and Felix Gilbert, 779–814. New Jersey: Princeton University Press, 1986.</w:t>
      </w:r>
    </w:p>
    <w:p w14:paraId="71E1DEC1" w14:textId="77777777" w:rsidR="00604876" w:rsidRPr="00604876" w:rsidRDefault="00604876" w:rsidP="00604876">
      <w:pPr>
        <w:pStyle w:val="Bibliography"/>
      </w:pPr>
      <w:r w:rsidRPr="00604876">
        <w:t xml:space="preserve">Casey, Adam, and Lucan Ahmad Way. “Russian Electoral Interventions, 1991-2017.” Scholars Portal </w:t>
      </w:r>
      <w:proofErr w:type="spellStart"/>
      <w:r w:rsidRPr="00604876">
        <w:t>Dataverse</w:t>
      </w:r>
      <w:proofErr w:type="spellEnd"/>
      <w:r w:rsidRPr="00604876">
        <w:t>, 2017. https://doi.org/10.5683/SP/BYRQQS.</w:t>
      </w:r>
    </w:p>
    <w:p w14:paraId="012B80F0" w14:textId="77777777" w:rsidR="00604876" w:rsidRPr="00604876" w:rsidRDefault="00604876" w:rsidP="00604876">
      <w:pPr>
        <w:pStyle w:val="Bibliography"/>
      </w:pPr>
      <w:proofErr w:type="spellStart"/>
      <w:r w:rsidRPr="00604876">
        <w:t>Charap</w:t>
      </w:r>
      <w:proofErr w:type="spellEnd"/>
      <w:r w:rsidRPr="00604876">
        <w:t xml:space="preserve">, Samuel. “The Ghost of Hybrid War.” </w:t>
      </w:r>
      <w:r w:rsidRPr="00604876">
        <w:rPr>
          <w:i/>
          <w:iCs/>
        </w:rPr>
        <w:t>Survival</w:t>
      </w:r>
      <w:r w:rsidRPr="00604876">
        <w:t xml:space="preserve"> 57, no. 6 (November 2, 2015): 51–58. https://doi.org/10.1080/00396338.2015.1116147.</w:t>
      </w:r>
    </w:p>
    <w:p w14:paraId="7CFE1D2C" w14:textId="77777777" w:rsidR="00604876" w:rsidRPr="00604876" w:rsidRDefault="00604876" w:rsidP="00604876">
      <w:pPr>
        <w:pStyle w:val="Bibliography"/>
      </w:pPr>
      <w:proofErr w:type="spellStart"/>
      <w:r w:rsidRPr="00604876">
        <w:t>Chivvis</w:t>
      </w:r>
      <w:proofErr w:type="spellEnd"/>
      <w:r w:rsidRPr="00604876">
        <w:t xml:space="preserve">, Christopher. “Hybrid War: Russian Contemporary Political Warfare.” </w:t>
      </w:r>
      <w:r w:rsidRPr="00604876">
        <w:rPr>
          <w:i/>
          <w:iCs/>
        </w:rPr>
        <w:t>Bulletin of the Atomic Scientists</w:t>
      </w:r>
      <w:r w:rsidRPr="00604876">
        <w:t xml:space="preserve"> 73, no. 5 (September 3, 2017): 316–21. https://doi.org/10.1080/00963402.2017.1362903.</w:t>
      </w:r>
    </w:p>
    <w:p w14:paraId="3BB224B6" w14:textId="77777777" w:rsidR="00604876" w:rsidRPr="00604876" w:rsidRDefault="00604876" w:rsidP="00604876">
      <w:pPr>
        <w:pStyle w:val="Bibliography"/>
      </w:pPr>
      <w:r w:rsidRPr="00604876">
        <w:t xml:space="preserve">Christensen, Thomas J., and Jack Snyder. “Chain Gangs and Passed Bucks: Predicting Alliance Patterns in Multipolarity.” </w:t>
      </w:r>
      <w:r w:rsidRPr="00604876">
        <w:rPr>
          <w:i/>
          <w:iCs/>
        </w:rPr>
        <w:t>International Organization</w:t>
      </w:r>
      <w:r w:rsidRPr="00604876">
        <w:t xml:space="preserve"> 44, no. 02 (March 1990): 137–168. https://doi.org/10.1017/S0020818300035232.</w:t>
      </w:r>
    </w:p>
    <w:p w14:paraId="3C372592" w14:textId="77777777" w:rsidR="00604876" w:rsidRPr="00604876" w:rsidRDefault="00604876" w:rsidP="00604876">
      <w:pPr>
        <w:pStyle w:val="Bibliography"/>
      </w:pPr>
      <w:r w:rsidRPr="00604876">
        <w:t xml:space="preserve">Corbett, Julian. </w:t>
      </w:r>
      <w:r w:rsidRPr="00604876">
        <w:rPr>
          <w:i/>
          <w:iCs/>
        </w:rPr>
        <w:t>Some Principles of Maritime Strategy</w:t>
      </w:r>
      <w:r w:rsidRPr="00604876">
        <w:t>. Longmans, Green and Co., 1911.</w:t>
      </w:r>
    </w:p>
    <w:p w14:paraId="2AA92882" w14:textId="77777777" w:rsidR="00604876" w:rsidRPr="00604876" w:rsidRDefault="00604876" w:rsidP="00604876">
      <w:pPr>
        <w:pStyle w:val="Bibliography"/>
      </w:pPr>
      <w:r w:rsidRPr="00604876">
        <w:t xml:space="preserve">Crawford, Timothy W. </w:t>
      </w:r>
      <w:r w:rsidRPr="00604876">
        <w:rPr>
          <w:i/>
          <w:iCs/>
        </w:rPr>
        <w:t>Pivotal Deterrence: Third-Party Statecraft and the Pursuit of Peace</w:t>
      </w:r>
      <w:r w:rsidRPr="00604876">
        <w:t>. Cornell University Press, 2003.</w:t>
      </w:r>
    </w:p>
    <w:p w14:paraId="3683CE3B" w14:textId="77777777" w:rsidR="00604876" w:rsidRPr="00604876" w:rsidRDefault="00604876" w:rsidP="00604876">
      <w:pPr>
        <w:pStyle w:val="Bibliography"/>
      </w:pPr>
      <w:proofErr w:type="spellStart"/>
      <w:r w:rsidRPr="00604876">
        <w:t>Danilovic</w:t>
      </w:r>
      <w:proofErr w:type="spellEnd"/>
      <w:r w:rsidRPr="00604876">
        <w:t xml:space="preserve">, Vesna. “The Sources of Threat Credibility in Extended Deterrence.” </w:t>
      </w:r>
      <w:r w:rsidRPr="00604876">
        <w:rPr>
          <w:i/>
          <w:iCs/>
        </w:rPr>
        <w:t>Journal of Conflict Resolution</w:t>
      </w:r>
      <w:r w:rsidRPr="00604876">
        <w:t xml:space="preserve"> 45, no. 3 (2001): 341–69. https://doi.org/10.1177/0022002701045003005.</w:t>
      </w:r>
    </w:p>
    <w:p w14:paraId="798B8073" w14:textId="77777777" w:rsidR="00604876" w:rsidRPr="00604876" w:rsidRDefault="00604876" w:rsidP="00604876">
      <w:pPr>
        <w:pStyle w:val="Bibliography"/>
      </w:pPr>
      <w:r w:rsidRPr="00604876">
        <w:t>Deibert, Ronald, Rafal Rohozinski, and Masashi Crete-</w:t>
      </w:r>
      <w:proofErr w:type="spellStart"/>
      <w:r w:rsidRPr="00604876">
        <w:t>Nishihata</w:t>
      </w:r>
      <w:proofErr w:type="spellEnd"/>
      <w:r w:rsidRPr="00604876">
        <w:t xml:space="preserve">. “Cyclones in Cyberspace: Information Shaping and Denial in the 2008 Russia–Georgia War.” </w:t>
      </w:r>
      <w:r w:rsidRPr="00604876">
        <w:rPr>
          <w:i/>
          <w:iCs/>
        </w:rPr>
        <w:t>Security Dialogue</w:t>
      </w:r>
      <w:r w:rsidRPr="00604876">
        <w:t xml:space="preserve"> 43, no. 1 (February 1, 2012): 3–24. https://doi.org/10.1177/0967010611431079.</w:t>
      </w:r>
    </w:p>
    <w:p w14:paraId="77CBC5DE" w14:textId="77777777" w:rsidR="00604876" w:rsidRPr="00604876" w:rsidRDefault="00604876" w:rsidP="00604876">
      <w:pPr>
        <w:pStyle w:val="Bibliography"/>
      </w:pPr>
      <w:proofErr w:type="spellStart"/>
      <w:r w:rsidRPr="00604876">
        <w:t>Downie</w:t>
      </w:r>
      <w:proofErr w:type="spellEnd"/>
      <w:r w:rsidRPr="00604876">
        <w:t xml:space="preserve">, Richard. “Low Intensity Conflict Doctrine and Policy: Old Wine in a New Bottle?” </w:t>
      </w:r>
      <w:r w:rsidRPr="00604876">
        <w:rPr>
          <w:i/>
          <w:iCs/>
        </w:rPr>
        <w:t>Studies in Conflict &amp; Terrorism</w:t>
      </w:r>
      <w:r w:rsidRPr="00604876">
        <w:t xml:space="preserve"> 15, no. 1 (January 1, 1992): 53–67. https://doi.org/10.1080/10576109208435891.</w:t>
      </w:r>
    </w:p>
    <w:p w14:paraId="5F72CCDC" w14:textId="77777777" w:rsidR="00604876" w:rsidRPr="00604876" w:rsidRDefault="00604876" w:rsidP="00604876">
      <w:pPr>
        <w:pStyle w:val="Bibliography"/>
      </w:pPr>
      <w:proofErr w:type="spellStart"/>
      <w:r w:rsidRPr="00604876">
        <w:t>Drezner</w:t>
      </w:r>
      <w:proofErr w:type="spellEnd"/>
      <w:r w:rsidRPr="00604876">
        <w:t xml:space="preserve">, Daniel. “The Global Governance of the Internet: Bringing the State Back In.” </w:t>
      </w:r>
      <w:r w:rsidRPr="00604876">
        <w:rPr>
          <w:i/>
          <w:iCs/>
        </w:rPr>
        <w:t>Political Science Quarterly</w:t>
      </w:r>
      <w:r w:rsidRPr="00604876">
        <w:t xml:space="preserve"> 119, no. 3 (2004): 477–98. https://doi.org/10.2307/20202392.</w:t>
      </w:r>
    </w:p>
    <w:p w14:paraId="5229ED76" w14:textId="77777777" w:rsidR="00604876" w:rsidRPr="00604876" w:rsidRDefault="00604876" w:rsidP="00604876">
      <w:pPr>
        <w:pStyle w:val="Bibliography"/>
      </w:pPr>
      <w:r w:rsidRPr="00604876">
        <w:t xml:space="preserve">Driscoll, Jesse, and Daniel Maliniak. “With Friends Like These: Brinkmanship and Chain-Ganging in Russia’s Near Abroad.” </w:t>
      </w:r>
      <w:r w:rsidRPr="00604876">
        <w:rPr>
          <w:i/>
          <w:iCs/>
        </w:rPr>
        <w:t>Security Studies</w:t>
      </w:r>
      <w:r w:rsidRPr="00604876">
        <w:t xml:space="preserve"> 25, no. 4 (2016): 585–607. https://doi.org/10.1080/09636412.2016.1220208.</w:t>
      </w:r>
    </w:p>
    <w:p w14:paraId="2D87A408" w14:textId="77777777" w:rsidR="00604876" w:rsidRPr="00604876" w:rsidRDefault="00604876" w:rsidP="00604876">
      <w:pPr>
        <w:pStyle w:val="Bibliography"/>
      </w:pPr>
      <w:r w:rsidRPr="00604876">
        <w:t>Driscoll, Jesse, and Zachary Steinert-Threlkeld. “Social Media and Russian Territorial Irredentism: Some Facts and a Conjecture.” Working Paper, 2019.</w:t>
      </w:r>
    </w:p>
    <w:p w14:paraId="47AC8A6B" w14:textId="77777777" w:rsidR="00604876" w:rsidRPr="00604876" w:rsidRDefault="00604876" w:rsidP="00604876">
      <w:pPr>
        <w:pStyle w:val="Bibliography"/>
      </w:pPr>
      <w:r w:rsidRPr="00604876">
        <w:t>Dunford, Joseph. “Gen. Dunford’s Remarks and Q&amp;A at the Center for Strategic and International Studies.” Remarks, Center for Strategic and International Studies, March 29, 2016. http://www.jcs.mil/Media/Speeches/Article/707418/gen-dunfords-remarks-and-qa-at-the-center-for-strategic-and-international-studi/.</w:t>
      </w:r>
    </w:p>
    <w:p w14:paraId="4146F799" w14:textId="77777777" w:rsidR="00604876" w:rsidRPr="00604876" w:rsidRDefault="00604876" w:rsidP="00604876">
      <w:pPr>
        <w:pStyle w:val="Bibliography"/>
      </w:pPr>
      <w:r w:rsidRPr="00604876">
        <w:t xml:space="preserve">Early, Bryan, and Victor </w:t>
      </w:r>
      <w:proofErr w:type="spellStart"/>
      <w:r w:rsidRPr="00604876">
        <w:t>Asal</w:t>
      </w:r>
      <w:proofErr w:type="spellEnd"/>
      <w:r w:rsidRPr="00604876">
        <w:t xml:space="preserve">. “Nuclear Weapons, Existential Threats, and the Stability–Instability Paradox.” </w:t>
      </w:r>
      <w:r w:rsidRPr="00604876">
        <w:rPr>
          <w:i/>
          <w:iCs/>
        </w:rPr>
        <w:t xml:space="preserve">The </w:t>
      </w:r>
      <w:proofErr w:type="spellStart"/>
      <w:r w:rsidRPr="00604876">
        <w:rPr>
          <w:i/>
          <w:iCs/>
        </w:rPr>
        <w:t>Nonproliferation</w:t>
      </w:r>
      <w:proofErr w:type="spellEnd"/>
      <w:r w:rsidRPr="00604876">
        <w:rPr>
          <w:i/>
          <w:iCs/>
        </w:rPr>
        <w:t xml:space="preserve"> Review</w:t>
      </w:r>
      <w:r w:rsidRPr="00604876">
        <w:t xml:space="preserve"> 25, no. 3–4 (2018): 223–47. https://doi.org/10.1080/10736700.2018.1518757.</w:t>
      </w:r>
    </w:p>
    <w:p w14:paraId="5A95826B" w14:textId="77777777" w:rsidR="00604876" w:rsidRPr="00604876" w:rsidRDefault="00604876" w:rsidP="00604876">
      <w:pPr>
        <w:pStyle w:val="Bibliography"/>
      </w:pPr>
      <w:r w:rsidRPr="00604876">
        <w:t>Erickson, Andrew, and Connor Kennedy. “Directing China’s ‘Little Blue Men’: Uncovering the Maritime Militia Command Structure.” CSIS Asia Maritime Transparency Initiative, September 11, 2015. https://amti.csis.org/directing-chinas-little-blue-men-uncovering-the-maritime-militia-command-structure/.</w:t>
      </w:r>
    </w:p>
    <w:p w14:paraId="34B93AE8" w14:textId="77777777" w:rsidR="00604876" w:rsidRPr="00604876" w:rsidRDefault="00604876" w:rsidP="00604876">
      <w:pPr>
        <w:pStyle w:val="Bibliography"/>
      </w:pPr>
      <w:r w:rsidRPr="00604876">
        <w:t xml:space="preserve">Fallon, Michael. “Speech Delivered by Secretary of State for Defence Sir Michael Fallon at the RUSI </w:t>
      </w:r>
      <w:proofErr w:type="spellStart"/>
      <w:r w:rsidRPr="00604876">
        <w:t>Landwarfare</w:t>
      </w:r>
      <w:proofErr w:type="spellEnd"/>
      <w:r w:rsidRPr="00604876">
        <w:t xml:space="preserve"> Conference.” Speech presented at the RUSI </w:t>
      </w:r>
      <w:proofErr w:type="spellStart"/>
      <w:r w:rsidRPr="00604876">
        <w:t>Landwarfare</w:t>
      </w:r>
      <w:proofErr w:type="spellEnd"/>
      <w:r w:rsidRPr="00604876">
        <w:t xml:space="preserve"> Conference, June 28, 2017. https://www.gov.uk/government/speeches/rusi-landwarfare-conference.</w:t>
      </w:r>
    </w:p>
    <w:p w14:paraId="4115AFAC" w14:textId="77777777" w:rsidR="00604876" w:rsidRPr="00604876" w:rsidRDefault="00604876" w:rsidP="00604876">
      <w:pPr>
        <w:pStyle w:val="Bibliography"/>
      </w:pPr>
      <w:r w:rsidRPr="00604876">
        <w:lastRenderedPageBreak/>
        <w:t>Fearon, James. “Bargaining Over Objects That Influence Future Bargaining Power.” Draft, October 1996.</w:t>
      </w:r>
    </w:p>
    <w:p w14:paraId="780127B5" w14:textId="77777777" w:rsidR="00604876" w:rsidRPr="00604876" w:rsidRDefault="00604876" w:rsidP="00604876">
      <w:pPr>
        <w:pStyle w:val="Bibliography"/>
      </w:pPr>
      <w:r w:rsidRPr="00604876">
        <w:t>Foust, Joshua. “Can Fancy Bear Be Stopped? The Clear and Present Danger of Russian Info Ops.” War on the Rocks, September 29, 2016. http://warontherocks.com/2016/09/can-fancy-bear-be-stopped-the-clear-and-present-danger-of-russian-info-ops/.</w:t>
      </w:r>
    </w:p>
    <w:p w14:paraId="5F5D3CDE" w14:textId="77777777" w:rsidR="00604876" w:rsidRPr="00604876" w:rsidRDefault="00604876" w:rsidP="00604876">
      <w:pPr>
        <w:pStyle w:val="Bibliography"/>
      </w:pPr>
      <w:r w:rsidRPr="00604876">
        <w:t xml:space="preserve">Freedman, Lawrence. “Ukraine and the Art of Limited War.” </w:t>
      </w:r>
      <w:r w:rsidRPr="00604876">
        <w:rPr>
          <w:i/>
          <w:iCs/>
        </w:rPr>
        <w:t>Survival</w:t>
      </w:r>
      <w:r w:rsidRPr="00604876">
        <w:t xml:space="preserve"> 56, no. 6 (November 2, 2014): 7–38. https://doi.org/10.1080/00396338.2014.985432.</w:t>
      </w:r>
    </w:p>
    <w:p w14:paraId="16F50311" w14:textId="77777777" w:rsidR="00604876" w:rsidRPr="00604876" w:rsidRDefault="00604876" w:rsidP="00604876">
      <w:pPr>
        <w:pStyle w:val="Bibliography"/>
      </w:pPr>
      <w:proofErr w:type="spellStart"/>
      <w:r w:rsidRPr="00604876">
        <w:t>Freysinger</w:t>
      </w:r>
      <w:proofErr w:type="spellEnd"/>
      <w:r w:rsidRPr="00604876">
        <w:t xml:space="preserve">, Robert. “US Military and Economic Intervention in an International Context of Low-Intensity Conflict.” </w:t>
      </w:r>
      <w:r w:rsidRPr="00604876">
        <w:rPr>
          <w:i/>
          <w:iCs/>
        </w:rPr>
        <w:t>Political Studies</w:t>
      </w:r>
      <w:r w:rsidRPr="00604876">
        <w:t xml:space="preserve"> 39, no. 2 (June 1, 1991): 321–34. https://doi.org/10.1111/j.1467-9248.1991.tb01370.x.</w:t>
      </w:r>
    </w:p>
    <w:p w14:paraId="508364AA" w14:textId="77777777" w:rsidR="00604876" w:rsidRPr="00604876" w:rsidRDefault="00604876" w:rsidP="00604876">
      <w:pPr>
        <w:pStyle w:val="Bibliography"/>
      </w:pPr>
      <w:r w:rsidRPr="00604876">
        <w:t xml:space="preserve">Friedman, Norman. </w:t>
      </w:r>
      <w:proofErr w:type="spellStart"/>
      <w:r w:rsidRPr="00604876">
        <w:rPr>
          <w:i/>
          <w:iCs/>
        </w:rPr>
        <w:t>Seapower</w:t>
      </w:r>
      <w:proofErr w:type="spellEnd"/>
      <w:r w:rsidRPr="00604876">
        <w:rPr>
          <w:i/>
          <w:iCs/>
        </w:rPr>
        <w:t xml:space="preserve"> as Strategy: Navies and National Interests</w:t>
      </w:r>
      <w:r w:rsidRPr="00604876">
        <w:t>. Naval Institute Press, 2001.</w:t>
      </w:r>
    </w:p>
    <w:p w14:paraId="5BB99E28" w14:textId="77777777" w:rsidR="00604876" w:rsidRPr="00604876" w:rsidRDefault="00604876" w:rsidP="00604876">
      <w:pPr>
        <w:pStyle w:val="Bibliography"/>
      </w:pPr>
      <w:proofErr w:type="spellStart"/>
      <w:r w:rsidRPr="00604876">
        <w:t>Galeotti</w:t>
      </w:r>
      <w:proofErr w:type="spellEnd"/>
      <w:r w:rsidRPr="00604876">
        <w:t xml:space="preserve">, Mark. “Hybrid, Ambiguous, and Non-Linear? How New Is Russia’s ‘New Way of War’?” </w:t>
      </w:r>
      <w:r w:rsidRPr="00604876">
        <w:rPr>
          <w:i/>
          <w:iCs/>
        </w:rPr>
        <w:t>Small Wars &amp; Insurgencies</w:t>
      </w:r>
      <w:r w:rsidRPr="00604876">
        <w:t xml:space="preserve"> 27, no. 2 (March 3, 2016): 282–301. https://doi.org/10.1080/09592318.2015.1129170.</w:t>
      </w:r>
    </w:p>
    <w:p w14:paraId="7AF53A8C" w14:textId="77777777" w:rsidR="00604876" w:rsidRPr="00604876" w:rsidRDefault="00604876" w:rsidP="00604876">
      <w:pPr>
        <w:pStyle w:val="Bibliography"/>
      </w:pPr>
      <w:proofErr w:type="spellStart"/>
      <w:r w:rsidRPr="00604876">
        <w:t>Galula</w:t>
      </w:r>
      <w:proofErr w:type="spellEnd"/>
      <w:r w:rsidRPr="00604876">
        <w:t xml:space="preserve">, David. </w:t>
      </w:r>
      <w:r w:rsidRPr="00604876">
        <w:rPr>
          <w:i/>
          <w:iCs/>
        </w:rPr>
        <w:t>Counterinsurgency Warfare: Theory and Practice</w:t>
      </w:r>
      <w:r w:rsidRPr="00604876">
        <w:t>. Hailer Publishing, 1964.</w:t>
      </w:r>
    </w:p>
    <w:p w14:paraId="2CD3FAC8" w14:textId="77777777" w:rsidR="00604876" w:rsidRPr="00604876" w:rsidRDefault="00604876" w:rsidP="00604876">
      <w:pPr>
        <w:pStyle w:val="Bibliography"/>
      </w:pPr>
      <w:proofErr w:type="spellStart"/>
      <w:r w:rsidRPr="00604876">
        <w:t>Ganguly</w:t>
      </w:r>
      <w:proofErr w:type="spellEnd"/>
      <w:r w:rsidRPr="00604876">
        <w:t xml:space="preserve">, </w:t>
      </w:r>
      <w:proofErr w:type="spellStart"/>
      <w:r w:rsidRPr="00604876">
        <w:t>Sumit</w:t>
      </w:r>
      <w:proofErr w:type="spellEnd"/>
      <w:r w:rsidRPr="00604876">
        <w:t xml:space="preserve">. “Indo‐Pakistani Nuclear Issues and the Stability/Instability Paradox.” </w:t>
      </w:r>
      <w:r w:rsidRPr="00604876">
        <w:rPr>
          <w:i/>
          <w:iCs/>
        </w:rPr>
        <w:t>Studies in Conflict &amp; Terrorism</w:t>
      </w:r>
      <w:r w:rsidRPr="00604876">
        <w:t xml:space="preserve"> 18, no. 4 (January 1, 1995): 325–34. https://doi.org/10.1080/10576109508435989.</w:t>
      </w:r>
    </w:p>
    <w:p w14:paraId="5B48901D" w14:textId="77777777" w:rsidR="00604876" w:rsidRPr="00604876" w:rsidRDefault="00604876" w:rsidP="00604876">
      <w:pPr>
        <w:pStyle w:val="Bibliography"/>
      </w:pPr>
      <w:r w:rsidRPr="00604876">
        <w:t xml:space="preserve">Gartzke, Erik. “The Myth of Cyberwar: Bringing War in Cyberspace Back Down to Earth.” </w:t>
      </w:r>
      <w:r w:rsidRPr="00604876">
        <w:rPr>
          <w:i/>
          <w:iCs/>
        </w:rPr>
        <w:t>International Security</w:t>
      </w:r>
      <w:r w:rsidRPr="00604876">
        <w:t xml:space="preserve"> 38, no. 2 (October 1, 2013): 41–73. https://doi.org/10.1162/ISEC_a_00136.</w:t>
      </w:r>
    </w:p>
    <w:p w14:paraId="09CD90FD" w14:textId="77777777" w:rsidR="00604876" w:rsidRPr="00604876" w:rsidRDefault="00604876" w:rsidP="00604876">
      <w:pPr>
        <w:pStyle w:val="Bibliography"/>
      </w:pPr>
      <w:r w:rsidRPr="00604876">
        <w:t>Gartzke, Erik, and Patrick Hulme. “The Tyranny of Distance: Assessing and Explaining the Apparent Decline in U.S. Military Performance.” Manuscript, June 2019.</w:t>
      </w:r>
    </w:p>
    <w:p w14:paraId="2E3FF554" w14:textId="77777777" w:rsidR="00604876" w:rsidRPr="00604876" w:rsidRDefault="00604876" w:rsidP="00604876">
      <w:pPr>
        <w:pStyle w:val="Bibliography"/>
      </w:pPr>
      <w:r w:rsidRPr="00604876">
        <w:t xml:space="preserve">Gartzke, Erik, and Jon R. Lindsay. “Weaving Tangled Webs: Offense, Defense, and Deception in Cyberspace.” </w:t>
      </w:r>
      <w:r w:rsidRPr="00604876">
        <w:rPr>
          <w:i/>
          <w:iCs/>
        </w:rPr>
        <w:t>Security Studies</w:t>
      </w:r>
      <w:r w:rsidRPr="00604876">
        <w:t xml:space="preserve"> 24, no. 2 (April 3, 2015): 316–48. https://doi.org/10.1080/09636412.2015.1038188.</w:t>
      </w:r>
    </w:p>
    <w:p w14:paraId="66B372ED" w14:textId="77777777" w:rsidR="00604876" w:rsidRPr="00604876" w:rsidRDefault="00604876" w:rsidP="00604876">
      <w:pPr>
        <w:pStyle w:val="Bibliography"/>
      </w:pPr>
      <w:r w:rsidRPr="00604876">
        <w:t xml:space="preserve">Geers, Kenneth. </w:t>
      </w:r>
      <w:r w:rsidRPr="00604876">
        <w:rPr>
          <w:i/>
          <w:iCs/>
        </w:rPr>
        <w:t>Cyber War in Perspective: Russian Aggression against Ukraine</w:t>
      </w:r>
      <w:r w:rsidRPr="00604876">
        <w:t>. CCDCOE, NATO Cooperative Cyber Defence Centre of Excellence, 2015.</w:t>
      </w:r>
    </w:p>
    <w:p w14:paraId="0D4CDF05" w14:textId="77777777" w:rsidR="00604876" w:rsidRPr="00604876" w:rsidRDefault="00604876" w:rsidP="00604876">
      <w:pPr>
        <w:pStyle w:val="Bibliography"/>
      </w:pPr>
      <w:r w:rsidRPr="00604876">
        <w:t xml:space="preserve">Gelman, Andrew, and Julia Azari. “19 Things We Learned from the 2016 Election.” </w:t>
      </w:r>
      <w:r w:rsidRPr="00604876">
        <w:rPr>
          <w:i/>
          <w:iCs/>
        </w:rPr>
        <w:t>Statistics and Public Policy</w:t>
      </w:r>
      <w:r w:rsidRPr="00604876">
        <w:t xml:space="preserve"> 4, no. 1 (January 1, 2017): 1–10. https://doi.org/10.1080/2330443X.2017.1356775.</w:t>
      </w:r>
    </w:p>
    <w:p w14:paraId="59146C07" w14:textId="77777777" w:rsidR="00604876" w:rsidRPr="00604876" w:rsidRDefault="00604876" w:rsidP="00604876">
      <w:pPr>
        <w:pStyle w:val="Bibliography"/>
      </w:pPr>
      <w:r w:rsidRPr="00604876">
        <w:t xml:space="preserve">George, Alexander, and Richard Smoke. “Deterrence and Foreign Policy.” </w:t>
      </w:r>
      <w:r w:rsidRPr="00604876">
        <w:rPr>
          <w:i/>
          <w:iCs/>
        </w:rPr>
        <w:t>World Politics</w:t>
      </w:r>
      <w:r w:rsidRPr="00604876">
        <w:t xml:space="preserve"> 41, no. 2 (1989): 170–82. https://doi.org/10.2307/2010406.</w:t>
      </w:r>
    </w:p>
    <w:p w14:paraId="7F811EA2" w14:textId="77777777" w:rsidR="00604876" w:rsidRPr="00604876" w:rsidRDefault="00604876" w:rsidP="00604876">
      <w:pPr>
        <w:pStyle w:val="Bibliography"/>
      </w:pPr>
      <w:r w:rsidRPr="00604876">
        <w:t xml:space="preserve">———. </w:t>
      </w:r>
      <w:r w:rsidRPr="00604876">
        <w:rPr>
          <w:i/>
          <w:iCs/>
        </w:rPr>
        <w:t>Deterrence in American Foreign Policy: Theory and Practice</w:t>
      </w:r>
      <w:r w:rsidRPr="00604876">
        <w:t>. Columbia University Press, 1974.</w:t>
      </w:r>
    </w:p>
    <w:p w14:paraId="178121BE" w14:textId="77777777" w:rsidR="00604876" w:rsidRPr="00604876" w:rsidRDefault="00604876" w:rsidP="00604876">
      <w:pPr>
        <w:pStyle w:val="Bibliography"/>
      </w:pPr>
      <w:r w:rsidRPr="00604876">
        <w:t xml:space="preserve">George, Justin, and Todd Sandler. “Demand for Military Spending in NATO, 1968–2015: A Spatial Panel Approach.” </w:t>
      </w:r>
      <w:r w:rsidRPr="00604876">
        <w:rPr>
          <w:i/>
          <w:iCs/>
        </w:rPr>
        <w:t>European Journal of Political Economy</w:t>
      </w:r>
      <w:r w:rsidRPr="00604876">
        <w:t xml:space="preserve"> 53 (July 1, 2018): 222–36. https://doi.org/10.1016/j.ejpoleco.2017.09.002.</w:t>
      </w:r>
    </w:p>
    <w:p w14:paraId="4FF83749" w14:textId="77777777" w:rsidR="00604876" w:rsidRPr="00604876" w:rsidRDefault="00604876" w:rsidP="00604876">
      <w:pPr>
        <w:pStyle w:val="Bibliography"/>
      </w:pPr>
      <w:r w:rsidRPr="00604876">
        <w:t xml:space="preserve">Goldsmith, Jack, and Tim Wu. </w:t>
      </w:r>
      <w:r w:rsidRPr="00604876">
        <w:rPr>
          <w:i/>
          <w:iCs/>
        </w:rPr>
        <w:t xml:space="preserve">Who Controls the </w:t>
      </w:r>
      <w:proofErr w:type="gramStart"/>
      <w:r w:rsidRPr="00604876">
        <w:rPr>
          <w:i/>
          <w:iCs/>
        </w:rPr>
        <w:t>Internet?:</w:t>
      </w:r>
      <w:proofErr w:type="gramEnd"/>
      <w:r w:rsidRPr="00604876">
        <w:rPr>
          <w:i/>
          <w:iCs/>
        </w:rPr>
        <w:t xml:space="preserve"> Illusions of a Borderless World</w:t>
      </w:r>
      <w:r w:rsidRPr="00604876">
        <w:t>. Oxford University Press, 2006.</w:t>
      </w:r>
    </w:p>
    <w:p w14:paraId="006DCD61" w14:textId="77777777" w:rsidR="00604876" w:rsidRPr="00604876" w:rsidRDefault="00604876" w:rsidP="00604876">
      <w:pPr>
        <w:pStyle w:val="Bibliography"/>
      </w:pPr>
      <w:r w:rsidRPr="00604876">
        <w:t xml:space="preserve">Gordon, Michael R., and Bernard E. Trainor. </w:t>
      </w:r>
      <w:r w:rsidRPr="00604876">
        <w:rPr>
          <w:i/>
          <w:iCs/>
        </w:rPr>
        <w:t xml:space="preserve">Cobra II: The Inside Story of the Invasion </w:t>
      </w:r>
      <w:proofErr w:type="gramStart"/>
      <w:r w:rsidRPr="00604876">
        <w:rPr>
          <w:i/>
          <w:iCs/>
        </w:rPr>
        <w:t>And</w:t>
      </w:r>
      <w:proofErr w:type="gramEnd"/>
      <w:r w:rsidRPr="00604876">
        <w:rPr>
          <w:i/>
          <w:iCs/>
        </w:rPr>
        <w:t xml:space="preserve"> Occupation of Iraq</w:t>
      </w:r>
      <w:r w:rsidRPr="00604876">
        <w:t>. New York: Vintage Books, 2007.</w:t>
      </w:r>
    </w:p>
    <w:p w14:paraId="0F6CBE42" w14:textId="77777777" w:rsidR="00604876" w:rsidRPr="00604876" w:rsidRDefault="00604876" w:rsidP="00604876">
      <w:pPr>
        <w:pStyle w:val="Bibliography"/>
      </w:pPr>
      <w:r w:rsidRPr="00604876">
        <w:t xml:space="preserve">———. </w:t>
      </w:r>
      <w:r w:rsidRPr="00604876">
        <w:rPr>
          <w:i/>
          <w:iCs/>
        </w:rPr>
        <w:t>The Endgame: The Inside Story of the Struggle for Iraq, from George W. Bush to Barack Obama</w:t>
      </w:r>
      <w:r w:rsidRPr="00604876">
        <w:t>. Pantheon Books, 2012.</w:t>
      </w:r>
    </w:p>
    <w:p w14:paraId="59CBB069" w14:textId="77777777" w:rsidR="00604876" w:rsidRPr="00604876" w:rsidRDefault="00604876" w:rsidP="00604876">
      <w:pPr>
        <w:pStyle w:val="Bibliography"/>
      </w:pPr>
      <w:proofErr w:type="spellStart"/>
      <w:r w:rsidRPr="00604876">
        <w:lastRenderedPageBreak/>
        <w:t>Götz</w:t>
      </w:r>
      <w:proofErr w:type="spellEnd"/>
      <w:r w:rsidRPr="00604876">
        <w:t xml:space="preserve">, Elias. “Putin, the State, and War: The Causes of Russia’s Near Abroad Assertion Revisited.” </w:t>
      </w:r>
      <w:r w:rsidRPr="00604876">
        <w:rPr>
          <w:i/>
          <w:iCs/>
        </w:rPr>
        <w:t>International Studies Review</w:t>
      </w:r>
      <w:r w:rsidRPr="00604876">
        <w:t xml:space="preserve"> 19, no. 2 (June 1, 2017): 228–53. https://doi.org/10.1093/isr/viw009.</w:t>
      </w:r>
    </w:p>
    <w:p w14:paraId="763B8797" w14:textId="77777777" w:rsidR="00604876" w:rsidRPr="00604876" w:rsidRDefault="00604876" w:rsidP="00604876">
      <w:pPr>
        <w:pStyle w:val="Bibliography"/>
      </w:pPr>
      <w:r w:rsidRPr="00604876">
        <w:t xml:space="preserve">Grant, Arthur. “Strategic Decisions: The Mire of Low-Intensity Conflict.” </w:t>
      </w:r>
      <w:r w:rsidRPr="00604876">
        <w:rPr>
          <w:i/>
          <w:iCs/>
        </w:rPr>
        <w:t>Comparative Strategy</w:t>
      </w:r>
      <w:r w:rsidRPr="00604876">
        <w:t xml:space="preserve"> 10, no. 2 (April 1, 1991): 165–75. https://doi.org/10.1080/01495939108402840.</w:t>
      </w:r>
    </w:p>
    <w:p w14:paraId="64CDB379" w14:textId="77777777" w:rsidR="00604876" w:rsidRPr="00604876" w:rsidRDefault="00604876" w:rsidP="00604876">
      <w:pPr>
        <w:pStyle w:val="Bibliography"/>
      </w:pPr>
      <w:r w:rsidRPr="00604876">
        <w:t xml:space="preserve">Green, Michael, Kathleen Hicks, Zack Cooper, John </w:t>
      </w:r>
      <w:proofErr w:type="spellStart"/>
      <w:r w:rsidRPr="00604876">
        <w:t>Schaus</w:t>
      </w:r>
      <w:proofErr w:type="spellEnd"/>
      <w:r w:rsidRPr="00604876">
        <w:t xml:space="preserve">, and Jake Douglas. </w:t>
      </w:r>
      <w:r w:rsidRPr="00604876">
        <w:rPr>
          <w:i/>
          <w:iCs/>
        </w:rPr>
        <w:t>Countering Coercion in Maritime Asia: The Theory and Practice of Gray Zone Deterrence</w:t>
      </w:r>
      <w:r w:rsidRPr="00604876">
        <w:t>. Rowman &amp; Littlefield, 2017.</w:t>
      </w:r>
    </w:p>
    <w:p w14:paraId="426B2078" w14:textId="77777777" w:rsidR="00604876" w:rsidRPr="00604876" w:rsidRDefault="00604876" w:rsidP="00604876">
      <w:pPr>
        <w:pStyle w:val="Bibliography"/>
      </w:pPr>
      <w:r w:rsidRPr="00604876">
        <w:t xml:space="preserve">Greenberg, Andy. “How an Entire Nation Became Russia’s Test Lab for Cyberwar.” </w:t>
      </w:r>
      <w:r w:rsidRPr="00604876">
        <w:rPr>
          <w:i/>
          <w:iCs/>
        </w:rPr>
        <w:t>Wired</w:t>
      </w:r>
      <w:r w:rsidRPr="00604876">
        <w:t>, June 20, 2017. https://www.wired.com/story/russian-hackers-attack-ukraine/.</w:t>
      </w:r>
    </w:p>
    <w:p w14:paraId="22C96A92" w14:textId="77777777" w:rsidR="00604876" w:rsidRPr="00604876" w:rsidRDefault="00604876" w:rsidP="00604876">
      <w:pPr>
        <w:pStyle w:val="Bibliography"/>
      </w:pPr>
      <w:r w:rsidRPr="00604876">
        <w:t xml:space="preserve">Hammond, Grant T. “Low Intensity Conflict: War by Another Name.” </w:t>
      </w:r>
      <w:r w:rsidRPr="00604876">
        <w:rPr>
          <w:i/>
          <w:iCs/>
        </w:rPr>
        <w:t>Small Wars &amp; Insurgencies</w:t>
      </w:r>
      <w:r w:rsidRPr="00604876">
        <w:t xml:space="preserve"> 1, no. 3 (1990): 226–38. https://doi.org/10.1080/09592319008422957.</w:t>
      </w:r>
    </w:p>
    <w:p w14:paraId="240A27C0" w14:textId="77777777" w:rsidR="00604876" w:rsidRPr="00604876" w:rsidRDefault="00604876" w:rsidP="00604876">
      <w:pPr>
        <w:pStyle w:val="Bibliography"/>
      </w:pPr>
      <w:r w:rsidRPr="00604876">
        <w:t xml:space="preserve">Hart, Sir Basil Henry Liddell. </w:t>
      </w:r>
      <w:r w:rsidRPr="00604876">
        <w:rPr>
          <w:i/>
          <w:iCs/>
        </w:rPr>
        <w:t>Strategy: The Indirect Approach</w:t>
      </w:r>
      <w:r w:rsidRPr="00604876">
        <w:t>. Faber &amp; Faber, 1954.</w:t>
      </w:r>
    </w:p>
    <w:p w14:paraId="34A3B9E2" w14:textId="77777777" w:rsidR="00604876" w:rsidRPr="00604876" w:rsidRDefault="00604876" w:rsidP="00604876">
      <w:pPr>
        <w:pStyle w:val="Bibliography"/>
      </w:pPr>
      <w:r w:rsidRPr="00604876">
        <w:t xml:space="preserve">Hazelton, Jacqueline. “The ‘Hearts and Minds’ Fallacy: Violence, Coercion, and Success in Counterinsurgency Warfare.” </w:t>
      </w:r>
      <w:r w:rsidRPr="00604876">
        <w:rPr>
          <w:i/>
          <w:iCs/>
        </w:rPr>
        <w:t>International Security</w:t>
      </w:r>
      <w:r w:rsidRPr="00604876">
        <w:t xml:space="preserve"> 42, no. 1 (July 1, 2017): 80–113. https://doi.org/10.1162/ISEC_a_00283.</w:t>
      </w:r>
    </w:p>
    <w:p w14:paraId="081ED15F" w14:textId="77777777" w:rsidR="00604876" w:rsidRPr="00604876" w:rsidRDefault="00604876" w:rsidP="00604876">
      <w:pPr>
        <w:pStyle w:val="Bibliography"/>
      </w:pPr>
      <w:r w:rsidRPr="00604876">
        <w:t xml:space="preserve">Holmes, James R., and </w:t>
      </w:r>
      <w:proofErr w:type="spellStart"/>
      <w:r w:rsidRPr="00604876">
        <w:t>Toshi</w:t>
      </w:r>
      <w:proofErr w:type="spellEnd"/>
      <w:r w:rsidRPr="00604876">
        <w:t xml:space="preserve"> Yoshihara. “Deterring China in the ‘Gray Zone’: Lessons of the South China Sea for U.S. Alliances.” </w:t>
      </w:r>
      <w:r w:rsidRPr="00604876">
        <w:rPr>
          <w:i/>
          <w:iCs/>
        </w:rPr>
        <w:t>Orbis</w:t>
      </w:r>
      <w:r w:rsidRPr="00604876">
        <w:t>, May 11, 2017. https://doi.org/10.1016/j.orbis.2017.05.002.</w:t>
      </w:r>
    </w:p>
    <w:p w14:paraId="2152DAD1" w14:textId="77777777" w:rsidR="00604876" w:rsidRPr="00604876" w:rsidRDefault="00604876" w:rsidP="00604876">
      <w:pPr>
        <w:pStyle w:val="Bibliography"/>
      </w:pPr>
      <w:r w:rsidRPr="00604876">
        <w:t xml:space="preserve">Jackson, Van. “Preventing Nuclear War with North Korea.” </w:t>
      </w:r>
      <w:r w:rsidRPr="00604876">
        <w:rPr>
          <w:i/>
          <w:iCs/>
        </w:rPr>
        <w:t>Foreign Affairs</w:t>
      </w:r>
      <w:r w:rsidRPr="00604876">
        <w:t>, September 11, 2016. https://www.foreignaffairs.com/articles/north-korea/2016-09-11/preventing-nuclear-war-north-korea.</w:t>
      </w:r>
    </w:p>
    <w:p w14:paraId="02A14B56" w14:textId="77777777" w:rsidR="00604876" w:rsidRPr="00604876" w:rsidRDefault="00604876" w:rsidP="00604876">
      <w:pPr>
        <w:pStyle w:val="Bibliography"/>
      </w:pPr>
      <w:r w:rsidRPr="00604876">
        <w:t xml:space="preserve">———. “Tactics of Strategic Competition: Gray Zones, Redlines, and Conflict before War.” </w:t>
      </w:r>
      <w:r w:rsidRPr="00604876">
        <w:rPr>
          <w:i/>
          <w:iCs/>
        </w:rPr>
        <w:t>Naval War College Review</w:t>
      </w:r>
      <w:r w:rsidRPr="00604876">
        <w:t xml:space="preserve"> 70, no. 3 (2017): 39–61.</w:t>
      </w:r>
    </w:p>
    <w:p w14:paraId="00D3D9B1" w14:textId="77777777" w:rsidR="00604876" w:rsidRPr="00604876" w:rsidRDefault="00604876" w:rsidP="00604876">
      <w:pPr>
        <w:pStyle w:val="Bibliography"/>
      </w:pPr>
      <w:r w:rsidRPr="00604876">
        <w:t>Jensen, Benjamin, and David Banks. “Cyber Operations in Conflict: Lessons from Analytic Wargames.” CLTC Occasional White Paper Series. Berkeley, CA: Center for Long-term Cybersecurity, April 16, 2018. https://cltc.berkeley.edu/wp-content/uploads/2018/04/Cyber_Operations_In_Conflict.pdf.</w:t>
      </w:r>
    </w:p>
    <w:p w14:paraId="5A531EAA" w14:textId="77777777" w:rsidR="00604876" w:rsidRPr="00604876" w:rsidRDefault="00604876" w:rsidP="00604876">
      <w:pPr>
        <w:pStyle w:val="Bibliography"/>
      </w:pPr>
      <w:r w:rsidRPr="00604876">
        <w:t xml:space="preserve">Jensen, Benjamin, Brandon Valeriano, and Ryan Maness. “Fancy Bears and Digital Trolls: Cyber Strategy with a Russian Twist.” </w:t>
      </w:r>
      <w:r w:rsidRPr="00604876">
        <w:rPr>
          <w:i/>
          <w:iCs/>
        </w:rPr>
        <w:t>Journal of Strategic Studies</w:t>
      </w:r>
      <w:r w:rsidRPr="00604876">
        <w:t xml:space="preserve"> 42, no. 2 (January 10, 2019): 212–34. https://doi.org/10.1080/01402390.2018.1559152.</w:t>
      </w:r>
    </w:p>
    <w:p w14:paraId="41CC358C" w14:textId="77777777" w:rsidR="00604876" w:rsidRPr="00604876" w:rsidRDefault="00604876" w:rsidP="00604876">
      <w:pPr>
        <w:pStyle w:val="Bibliography"/>
      </w:pPr>
      <w:r w:rsidRPr="00604876">
        <w:t xml:space="preserve">Jervis, Robert. “Cooperation Under the Security Dilemma.” </w:t>
      </w:r>
      <w:r w:rsidRPr="00604876">
        <w:rPr>
          <w:i/>
          <w:iCs/>
        </w:rPr>
        <w:t>World Politics</w:t>
      </w:r>
      <w:r w:rsidRPr="00604876">
        <w:t xml:space="preserve"> 30, no. 2 (1978): 167–214.</w:t>
      </w:r>
    </w:p>
    <w:p w14:paraId="522F01C4" w14:textId="77777777" w:rsidR="00604876" w:rsidRPr="00604876" w:rsidRDefault="00604876" w:rsidP="00604876">
      <w:pPr>
        <w:pStyle w:val="Bibliography"/>
      </w:pPr>
      <w:r w:rsidRPr="00604876">
        <w:t xml:space="preserve">———. </w:t>
      </w:r>
      <w:r w:rsidRPr="00604876">
        <w:rPr>
          <w:i/>
          <w:iCs/>
        </w:rPr>
        <w:t>The Illogic of American Nuclear Strategy</w:t>
      </w:r>
      <w:r w:rsidRPr="00604876">
        <w:t>. Cornell University Press, 1984.</w:t>
      </w:r>
    </w:p>
    <w:p w14:paraId="7063A819" w14:textId="77777777" w:rsidR="00604876" w:rsidRPr="00604876" w:rsidRDefault="00604876" w:rsidP="00604876">
      <w:pPr>
        <w:pStyle w:val="Bibliography"/>
      </w:pPr>
      <w:r w:rsidRPr="00604876">
        <w:t xml:space="preserve">Johnson, Loch. “On Drawing a Bright Line for Covert Operations.” </w:t>
      </w:r>
      <w:r w:rsidRPr="00604876">
        <w:rPr>
          <w:i/>
          <w:iCs/>
        </w:rPr>
        <w:t>The American Journal of International Law</w:t>
      </w:r>
      <w:r w:rsidRPr="00604876">
        <w:t xml:space="preserve"> 86, no. 2 (1992): 284–309. https://doi.org/10.2307/2203235.</w:t>
      </w:r>
    </w:p>
    <w:p w14:paraId="3A34B680" w14:textId="77777777" w:rsidR="00604876" w:rsidRPr="00604876" w:rsidRDefault="00604876" w:rsidP="00604876">
      <w:pPr>
        <w:pStyle w:val="Bibliography"/>
      </w:pPr>
      <w:r w:rsidRPr="00604876">
        <w:t xml:space="preserve">———. “The Myths of America’s Shadow War.” </w:t>
      </w:r>
      <w:r w:rsidRPr="00604876">
        <w:rPr>
          <w:i/>
          <w:iCs/>
        </w:rPr>
        <w:t>The Atlantic</w:t>
      </w:r>
      <w:r w:rsidRPr="00604876">
        <w:t>, January 31, 2013. https://www.theatlantic.com/international/archive/2013/01/the-myths-of-americas-shadow-war/272712/.</w:t>
      </w:r>
    </w:p>
    <w:p w14:paraId="134A2A3D" w14:textId="77777777" w:rsidR="00604876" w:rsidRPr="00604876" w:rsidRDefault="00604876" w:rsidP="00604876">
      <w:pPr>
        <w:pStyle w:val="Bibliography"/>
      </w:pPr>
      <w:r w:rsidRPr="00604876">
        <w:t>Jones, Seth. “Going on the Offensive: A U.S. Strategy to Combat Russian Information Warfare.” Brief. Washington, D.C: Center for Strategic and International Studies, October 2018.</w:t>
      </w:r>
    </w:p>
    <w:p w14:paraId="1F43228E" w14:textId="77777777" w:rsidR="00604876" w:rsidRPr="00604876" w:rsidRDefault="00604876" w:rsidP="00604876">
      <w:pPr>
        <w:pStyle w:val="Bibliography"/>
      </w:pPr>
      <w:r w:rsidRPr="00604876">
        <w:t>Joubert, Vincent. “Five Years after Estonia’s Cyber Attacks: Lessons Learned for NATO?” Rome, Italy: NATO Defense College, 2012.</w:t>
      </w:r>
    </w:p>
    <w:p w14:paraId="6D91647F" w14:textId="77777777" w:rsidR="00604876" w:rsidRPr="00604876" w:rsidRDefault="00604876" w:rsidP="00604876">
      <w:pPr>
        <w:pStyle w:val="Bibliography"/>
      </w:pPr>
      <w:proofErr w:type="spellStart"/>
      <w:r w:rsidRPr="00604876">
        <w:t>Kalyvas</w:t>
      </w:r>
      <w:proofErr w:type="spellEnd"/>
      <w:r w:rsidRPr="00604876">
        <w:t xml:space="preserve">, </w:t>
      </w:r>
      <w:proofErr w:type="spellStart"/>
      <w:r w:rsidRPr="00604876">
        <w:t>Stathis</w:t>
      </w:r>
      <w:proofErr w:type="spellEnd"/>
      <w:r w:rsidRPr="00604876">
        <w:t xml:space="preserve">. “Review of The New U.S. Army/Marine Corps Counterinsurgency Field Manual.” </w:t>
      </w:r>
      <w:r w:rsidRPr="00604876">
        <w:rPr>
          <w:i/>
          <w:iCs/>
        </w:rPr>
        <w:t>Perspectives on Politics</w:t>
      </w:r>
      <w:r w:rsidRPr="00604876">
        <w:t xml:space="preserve"> 6, no. 2 (June 2008). https://doi.org/10.1017/S1537592708081164.</w:t>
      </w:r>
    </w:p>
    <w:p w14:paraId="7DC93DD7" w14:textId="77777777" w:rsidR="00604876" w:rsidRPr="00604876" w:rsidRDefault="00604876" w:rsidP="00604876">
      <w:pPr>
        <w:pStyle w:val="Bibliography"/>
      </w:pPr>
      <w:proofErr w:type="spellStart"/>
      <w:r w:rsidRPr="00604876">
        <w:lastRenderedPageBreak/>
        <w:t>Kapur</w:t>
      </w:r>
      <w:proofErr w:type="spellEnd"/>
      <w:r w:rsidRPr="00604876">
        <w:t xml:space="preserve">, S. Paul. </w:t>
      </w:r>
      <w:r w:rsidRPr="00604876">
        <w:rPr>
          <w:i/>
          <w:iCs/>
        </w:rPr>
        <w:t>Dangerous Deterrent: Nuclear Weapons Proliferation and Conflict in South Asia</w:t>
      </w:r>
      <w:r w:rsidRPr="00604876">
        <w:t>. Stanford University Press, 2007.</w:t>
      </w:r>
    </w:p>
    <w:p w14:paraId="2C565BEA" w14:textId="77777777" w:rsidR="00604876" w:rsidRPr="00604876" w:rsidRDefault="00604876" w:rsidP="00604876">
      <w:pPr>
        <w:pStyle w:val="Bibliography"/>
      </w:pPr>
      <w:r w:rsidRPr="00604876">
        <w:t>Kennan, George. “269. Policy Planning Staff Memorandum.” Records of the National Security Council NSC 10/2. Washington: National Archives and Records Administration, May 4, 1948. http://academic.brooklyn.cuny.edu/history/johnson/65ciafounding3.htm.</w:t>
      </w:r>
    </w:p>
    <w:p w14:paraId="0810EEC3" w14:textId="77777777" w:rsidR="00604876" w:rsidRPr="00604876" w:rsidRDefault="00604876" w:rsidP="00604876">
      <w:pPr>
        <w:pStyle w:val="Bibliography"/>
      </w:pPr>
      <w:r w:rsidRPr="00604876">
        <w:t xml:space="preserve">Kilcullen, David. </w:t>
      </w:r>
      <w:r w:rsidRPr="00604876">
        <w:rPr>
          <w:i/>
          <w:iCs/>
        </w:rPr>
        <w:t>Counterinsurgency</w:t>
      </w:r>
      <w:r w:rsidRPr="00604876">
        <w:t>. Hurst, 2010.</w:t>
      </w:r>
    </w:p>
    <w:p w14:paraId="0CA45EA6" w14:textId="77777777" w:rsidR="00604876" w:rsidRPr="00604876" w:rsidRDefault="00604876" w:rsidP="00604876">
      <w:pPr>
        <w:pStyle w:val="Bibliography"/>
      </w:pPr>
      <w:r w:rsidRPr="00604876">
        <w:t xml:space="preserve">Kinross, Stuart. “Clausewitz and Low-Intensity Conflict.” </w:t>
      </w:r>
      <w:r w:rsidRPr="00604876">
        <w:rPr>
          <w:i/>
          <w:iCs/>
        </w:rPr>
        <w:t>Journal of Strategic Studies</w:t>
      </w:r>
      <w:r w:rsidRPr="00604876">
        <w:t xml:space="preserve"> 27, no. 1 (March 1, 2004): 35–58. https://doi.org/10.1080/0140239042000232765.</w:t>
      </w:r>
    </w:p>
    <w:p w14:paraId="18CFB570" w14:textId="77777777" w:rsidR="00604876" w:rsidRPr="00604876" w:rsidRDefault="00604876" w:rsidP="00604876">
      <w:pPr>
        <w:pStyle w:val="Bibliography"/>
      </w:pPr>
      <w:r w:rsidRPr="00604876">
        <w:t xml:space="preserve">Kissinger, Henry. “Military Policy and Defense of the ‘Grey Areas.’” </w:t>
      </w:r>
      <w:r w:rsidRPr="00604876">
        <w:rPr>
          <w:i/>
          <w:iCs/>
        </w:rPr>
        <w:t>Foreign Affairs</w:t>
      </w:r>
      <w:r w:rsidRPr="00604876">
        <w:t xml:space="preserve"> 33, no. 3 (1955): 416–28. https://doi.org/10.2307/20031108.</w:t>
      </w:r>
    </w:p>
    <w:p w14:paraId="737046D4" w14:textId="77777777" w:rsidR="00604876" w:rsidRPr="00604876" w:rsidRDefault="00604876" w:rsidP="00604876">
      <w:pPr>
        <w:pStyle w:val="Bibliography"/>
      </w:pPr>
      <w:r w:rsidRPr="00604876">
        <w:t xml:space="preserve">———. “Strategy and Organization.” </w:t>
      </w:r>
      <w:r w:rsidRPr="00604876">
        <w:rPr>
          <w:i/>
          <w:iCs/>
        </w:rPr>
        <w:t>Foreign Affairs</w:t>
      </w:r>
      <w:r w:rsidRPr="00604876">
        <w:t xml:space="preserve"> 35, no. 3 (1957): 379–94. https://doi.org/10.2307/20031235.</w:t>
      </w:r>
    </w:p>
    <w:p w14:paraId="355A153F" w14:textId="77777777" w:rsidR="00604876" w:rsidRPr="00604876" w:rsidRDefault="00604876" w:rsidP="00604876">
      <w:pPr>
        <w:pStyle w:val="Bibliography"/>
      </w:pPr>
      <w:proofErr w:type="spellStart"/>
      <w:r w:rsidRPr="00604876">
        <w:t>Kitson</w:t>
      </w:r>
      <w:proofErr w:type="spellEnd"/>
      <w:r w:rsidRPr="00604876">
        <w:t xml:space="preserve">, Frank. </w:t>
      </w:r>
      <w:r w:rsidRPr="00604876">
        <w:rPr>
          <w:i/>
          <w:iCs/>
        </w:rPr>
        <w:t>Low Intensity Operations: Subversion, Insurgency, Peace-Keeping</w:t>
      </w:r>
      <w:r w:rsidRPr="00604876">
        <w:t>. Faber &amp; Faber, 1971.</w:t>
      </w:r>
    </w:p>
    <w:p w14:paraId="5BEDF0D2" w14:textId="77777777" w:rsidR="00604876" w:rsidRPr="00604876" w:rsidRDefault="00604876" w:rsidP="00604876">
      <w:pPr>
        <w:pStyle w:val="Bibliography"/>
      </w:pPr>
      <w:proofErr w:type="spellStart"/>
      <w:r w:rsidRPr="00604876">
        <w:t>Kober</w:t>
      </w:r>
      <w:proofErr w:type="spellEnd"/>
      <w:r w:rsidRPr="00604876">
        <w:t xml:space="preserve">, </w:t>
      </w:r>
      <w:proofErr w:type="spellStart"/>
      <w:r w:rsidRPr="00604876">
        <w:t>Avi</w:t>
      </w:r>
      <w:proofErr w:type="spellEnd"/>
      <w:r w:rsidRPr="00604876">
        <w:t xml:space="preserve">. “Low-Intensity Conflicts: Why the Gap Between Theory and Practise?” </w:t>
      </w:r>
      <w:r w:rsidRPr="00604876">
        <w:rPr>
          <w:i/>
          <w:iCs/>
        </w:rPr>
        <w:t>Defense &amp; Security Analysis</w:t>
      </w:r>
      <w:r w:rsidRPr="00604876">
        <w:t xml:space="preserve"> 18, no. 1 (2002): 15–38. https://doi.org/10.1080/07430170120113712.</w:t>
      </w:r>
    </w:p>
    <w:p w14:paraId="523C8772" w14:textId="77777777" w:rsidR="00604876" w:rsidRPr="00604876" w:rsidRDefault="00604876" w:rsidP="00604876">
      <w:pPr>
        <w:pStyle w:val="Bibliography"/>
      </w:pPr>
      <w:proofErr w:type="spellStart"/>
      <w:r w:rsidRPr="00604876">
        <w:t>Kofman</w:t>
      </w:r>
      <w:proofErr w:type="spellEnd"/>
      <w:r w:rsidRPr="00604876">
        <w:t xml:space="preserve">, Michael, Katya </w:t>
      </w:r>
      <w:proofErr w:type="spellStart"/>
      <w:r w:rsidRPr="00604876">
        <w:t>Migacheva</w:t>
      </w:r>
      <w:proofErr w:type="spellEnd"/>
      <w:r w:rsidRPr="00604876">
        <w:t xml:space="preserve">, Brian </w:t>
      </w:r>
      <w:proofErr w:type="spellStart"/>
      <w:r w:rsidRPr="00604876">
        <w:t>Nichiporuk</w:t>
      </w:r>
      <w:proofErr w:type="spellEnd"/>
      <w:r w:rsidRPr="00604876">
        <w:t xml:space="preserve">, Andrew </w:t>
      </w:r>
      <w:proofErr w:type="spellStart"/>
      <w:r w:rsidRPr="00604876">
        <w:t>Radin</w:t>
      </w:r>
      <w:proofErr w:type="spellEnd"/>
      <w:r w:rsidRPr="00604876">
        <w:t xml:space="preserve">, Olesya </w:t>
      </w:r>
      <w:proofErr w:type="spellStart"/>
      <w:r w:rsidRPr="00604876">
        <w:t>Tkacheva</w:t>
      </w:r>
      <w:proofErr w:type="spellEnd"/>
      <w:r w:rsidRPr="00604876">
        <w:t xml:space="preserve">, and Jenny </w:t>
      </w:r>
      <w:proofErr w:type="spellStart"/>
      <w:r w:rsidRPr="00604876">
        <w:t>Oberholtzer</w:t>
      </w:r>
      <w:proofErr w:type="spellEnd"/>
      <w:r w:rsidRPr="00604876">
        <w:t>. “Lessons from Russia’s Operations in Crimea and Eastern Ukraine.” Santa Monica, CA: Rand Corporation, 2017. https://www.rand.org/pubs/research_reports/RR1498.html.</w:t>
      </w:r>
    </w:p>
    <w:p w14:paraId="7725147A" w14:textId="77777777" w:rsidR="00604876" w:rsidRPr="00604876" w:rsidRDefault="00604876" w:rsidP="00604876">
      <w:pPr>
        <w:pStyle w:val="Bibliography"/>
      </w:pPr>
      <w:proofErr w:type="spellStart"/>
      <w:r w:rsidRPr="00604876">
        <w:t>Kornbluh</w:t>
      </w:r>
      <w:proofErr w:type="spellEnd"/>
      <w:r w:rsidRPr="00604876">
        <w:t xml:space="preserve">, Peter, and Joy </w:t>
      </w:r>
      <w:proofErr w:type="spellStart"/>
      <w:r w:rsidRPr="00604876">
        <w:t>Hackel</w:t>
      </w:r>
      <w:proofErr w:type="spellEnd"/>
      <w:r w:rsidRPr="00604876">
        <w:t xml:space="preserve">. “Low-Intensity Conflict Is It Live or Is It Memorex?” </w:t>
      </w:r>
      <w:r w:rsidRPr="00604876">
        <w:rPr>
          <w:i/>
          <w:iCs/>
        </w:rPr>
        <w:t>NACLA Report on the Americas</w:t>
      </w:r>
      <w:r w:rsidRPr="00604876">
        <w:t xml:space="preserve"> 20, no. 3 (June 1986): 8–11. https://doi.org/10.1080/10714839.1986.11723411.</w:t>
      </w:r>
    </w:p>
    <w:p w14:paraId="648F7405" w14:textId="77777777" w:rsidR="00604876" w:rsidRPr="00604876" w:rsidRDefault="00604876" w:rsidP="00604876">
      <w:pPr>
        <w:pStyle w:val="Bibliography"/>
      </w:pPr>
      <w:r w:rsidRPr="00604876">
        <w:t xml:space="preserve">Kostyuk, Nadiya, and Yuri Zhukov. “Invisible Digital Front: Can Cyber Attacks Shape Battlefield Events?” </w:t>
      </w:r>
      <w:r w:rsidRPr="00604876">
        <w:rPr>
          <w:i/>
          <w:iCs/>
        </w:rPr>
        <w:t>Journal of Conflict Resolution</w:t>
      </w:r>
      <w:r w:rsidRPr="00604876">
        <w:t xml:space="preserve"> 63, no. 2 (2019): 317–47. https://doi.org/10.1177/0022002717737138.</w:t>
      </w:r>
    </w:p>
    <w:p w14:paraId="6E62CCA3" w14:textId="77777777" w:rsidR="00604876" w:rsidRPr="00604876" w:rsidRDefault="00604876" w:rsidP="00604876">
      <w:pPr>
        <w:pStyle w:val="Bibliography"/>
      </w:pPr>
      <w:r w:rsidRPr="00604876">
        <w:t xml:space="preserve">Lanoszka, Alexander. “Russian Hybrid Warfare and Extended Deterrence in Eastern Europe.” </w:t>
      </w:r>
      <w:r w:rsidRPr="00604876">
        <w:rPr>
          <w:i/>
          <w:iCs/>
        </w:rPr>
        <w:t>International Affairs</w:t>
      </w:r>
      <w:r w:rsidRPr="00604876">
        <w:t xml:space="preserve"> 92, no. 1 (January 2016): 175–95. https://doi.org/10.1111/1468-2346.12509.</w:t>
      </w:r>
    </w:p>
    <w:p w14:paraId="5F518DD6" w14:textId="77777777" w:rsidR="00604876" w:rsidRPr="00604876" w:rsidRDefault="00604876" w:rsidP="00604876">
      <w:pPr>
        <w:pStyle w:val="Bibliography"/>
      </w:pPr>
      <w:r w:rsidRPr="00604876">
        <w:t xml:space="preserve">Lebow, Richard. “The Past and Future of War.” </w:t>
      </w:r>
      <w:r w:rsidRPr="00604876">
        <w:rPr>
          <w:i/>
          <w:iCs/>
        </w:rPr>
        <w:t>International Relations</w:t>
      </w:r>
      <w:r w:rsidRPr="00604876">
        <w:t xml:space="preserve"> 24, no. 3 (September 1, 2010): 243–70. https://doi.org/10.1177/0047117810377277.</w:t>
      </w:r>
    </w:p>
    <w:p w14:paraId="56BB3810" w14:textId="77777777" w:rsidR="00604876" w:rsidRPr="00604876" w:rsidRDefault="00604876" w:rsidP="00604876">
      <w:pPr>
        <w:pStyle w:val="Bibliography"/>
      </w:pPr>
      <w:proofErr w:type="spellStart"/>
      <w:r w:rsidRPr="00604876">
        <w:t>Lepgold</w:t>
      </w:r>
      <w:proofErr w:type="spellEnd"/>
      <w:r w:rsidRPr="00604876">
        <w:t xml:space="preserve">, Joseph, and Brent Sterling. “When Do States Fight Limited </w:t>
      </w:r>
      <w:proofErr w:type="gramStart"/>
      <w:r w:rsidRPr="00604876">
        <w:t>Wars?:</w:t>
      </w:r>
      <w:proofErr w:type="gramEnd"/>
      <w:r w:rsidRPr="00604876">
        <w:t xml:space="preserve"> Political Risk, Policy Risk, and Policy Choice.” </w:t>
      </w:r>
      <w:r w:rsidRPr="00604876">
        <w:rPr>
          <w:i/>
          <w:iCs/>
        </w:rPr>
        <w:t>Security Studies</w:t>
      </w:r>
      <w:r w:rsidRPr="00604876">
        <w:t xml:space="preserve"> 9, no. 4 (June 1, 2000): 127–66. https://doi.org/10.1080/09636410008429415.</w:t>
      </w:r>
    </w:p>
    <w:p w14:paraId="6762982D" w14:textId="77777777" w:rsidR="00604876" w:rsidRPr="00604876" w:rsidRDefault="00604876" w:rsidP="00604876">
      <w:pPr>
        <w:pStyle w:val="Bibliography"/>
      </w:pPr>
      <w:r w:rsidRPr="00604876">
        <w:t xml:space="preserve">Lieberman, Elli. </w:t>
      </w:r>
      <w:r w:rsidRPr="00604876">
        <w:rPr>
          <w:i/>
          <w:iCs/>
        </w:rPr>
        <w:t>Reconceptualizing Deterrence: Nudging Toward Rationality in Middle Eastern Rivalries</w:t>
      </w:r>
      <w:r w:rsidRPr="00604876">
        <w:t>. Routledge, 2012.</w:t>
      </w:r>
    </w:p>
    <w:p w14:paraId="4C74D26F" w14:textId="77777777" w:rsidR="00604876" w:rsidRPr="00604876" w:rsidRDefault="00604876" w:rsidP="00604876">
      <w:pPr>
        <w:pStyle w:val="Bibliography"/>
      </w:pPr>
      <w:r w:rsidRPr="00604876">
        <w:t xml:space="preserve">Lindsay, Jon R. “Reinventing the Revolution: Technological Visions, Counterinsurgent Criticism, and the Rise of Special Operations.” </w:t>
      </w:r>
      <w:r w:rsidRPr="00604876">
        <w:rPr>
          <w:i/>
          <w:iCs/>
        </w:rPr>
        <w:t>Journal of Strategic Studies</w:t>
      </w:r>
      <w:r w:rsidRPr="00604876">
        <w:t xml:space="preserve"> 36, no. 3 (June 1, 2013): 422–53. https://doi.org/10.1080/01402390.2012.734252.</w:t>
      </w:r>
    </w:p>
    <w:p w14:paraId="38B9CF3B" w14:textId="77777777" w:rsidR="00604876" w:rsidRPr="00604876" w:rsidRDefault="00604876" w:rsidP="00604876">
      <w:pPr>
        <w:pStyle w:val="Bibliography"/>
      </w:pPr>
      <w:r w:rsidRPr="00604876">
        <w:t xml:space="preserve">Lindsay, Jon R., and Erik Gartzke. “Coercion through Cyberspace: The Stability-Instability Paradox Revisited.” In </w:t>
      </w:r>
      <w:r w:rsidRPr="00604876">
        <w:rPr>
          <w:i/>
          <w:iCs/>
        </w:rPr>
        <w:t>Coercion: The Power to Hurt in International Politics</w:t>
      </w:r>
      <w:r w:rsidRPr="00604876">
        <w:t>, edited by Kelly M. Greenhill and Peter Krause. New York, NY: Oxford University Press, 2018.</w:t>
      </w:r>
    </w:p>
    <w:p w14:paraId="4B4FDB48" w14:textId="77777777" w:rsidR="00604876" w:rsidRPr="00604876" w:rsidRDefault="00604876" w:rsidP="00604876">
      <w:pPr>
        <w:pStyle w:val="Bibliography"/>
      </w:pPr>
      <w:r w:rsidRPr="00604876">
        <w:t>Lindsay, Jon R., and Roger Petersen. “Varieties of Insurgency and Counterinsurgency in Iraq, 2003-2009.” Center for Irregular Warfare and Armed Groups Case Study Series. Newport, RI: Naval War College, 2012.</w:t>
      </w:r>
    </w:p>
    <w:p w14:paraId="519C329F" w14:textId="77777777" w:rsidR="00604876" w:rsidRPr="00604876" w:rsidRDefault="00604876" w:rsidP="00604876">
      <w:pPr>
        <w:pStyle w:val="Bibliography"/>
      </w:pPr>
      <w:r w:rsidRPr="00604876">
        <w:lastRenderedPageBreak/>
        <w:t xml:space="preserve">Lin-Greenberg, Erik. “Non-Traditional Security Dilemmas: Can Military Operations Other than War Intensify Security Competition in Asia?” </w:t>
      </w:r>
      <w:r w:rsidRPr="00604876">
        <w:rPr>
          <w:i/>
          <w:iCs/>
        </w:rPr>
        <w:t>Asian Security</w:t>
      </w:r>
      <w:r w:rsidRPr="00604876">
        <w:t xml:space="preserve"> 14, no. 3 (2018): 282–302. https://doi.org/10.1080/14799855.2017.1414044.</w:t>
      </w:r>
    </w:p>
    <w:p w14:paraId="704ED2F4" w14:textId="77777777" w:rsidR="00604876" w:rsidRPr="00604876" w:rsidRDefault="00604876" w:rsidP="00604876">
      <w:pPr>
        <w:pStyle w:val="Bibliography"/>
      </w:pPr>
      <w:r w:rsidRPr="00604876">
        <w:t xml:space="preserve">Long, Austin. </w:t>
      </w:r>
      <w:r w:rsidRPr="00604876">
        <w:rPr>
          <w:i/>
          <w:iCs/>
        </w:rPr>
        <w:t>The Soul of Armies: Counterinsurgency Doctrine and Military Culture in the US and UK</w:t>
      </w:r>
      <w:r w:rsidRPr="00604876">
        <w:t>. Cornell University Press, 2016.</w:t>
      </w:r>
    </w:p>
    <w:p w14:paraId="1AFFC8A3" w14:textId="77777777" w:rsidR="00604876" w:rsidRPr="00604876" w:rsidRDefault="00604876" w:rsidP="00604876">
      <w:pPr>
        <w:pStyle w:val="Bibliography"/>
      </w:pPr>
      <w:r w:rsidRPr="00604876">
        <w:t xml:space="preserve">MacFarquhar, Neil. “A Powerful Russian Weapon: The Spread of False Stories.” </w:t>
      </w:r>
      <w:r w:rsidRPr="00604876">
        <w:rPr>
          <w:i/>
          <w:iCs/>
        </w:rPr>
        <w:t>The New York Times</w:t>
      </w:r>
      <w:r w:rsidRPr="00604876">
        <w:t>, October 12, 2016, sec. World. https://www.nytimes.com/2016/08/29/world/europe/russia-sweden-disinformation.html.</w:t>
      </w:r>
    </w:p>
    <w:p w14:paraId="61C0E191" w14:textId="77777777" w:rsidR="00604876" w:rsidRPr="00604876" w:rsidRDefault="00604876" w:rsidP="00604876">
      <w:pPr>
        <w:pStyle w:val="Bibliography"/>
      </w:pPr>
      <w:r w:rsidRPr="00604876">
        <w:t xml:space="preserve">Marten, Kimberly. “Putin’s Choices: Explaining Russian Foreign Policy and Intervention in Ukraine.” </w:t>
      </w:r>
      <w:r w:rsidRPr="00604876">
        <w:rPr>
          <w:i/>
          <w:iCs/>
        </w:rPr>
        <w:t>The Washington Quarterly</w:t>
      </w:r>
      <w:r w:rsidRPr="00604876">
        <w:t xml:space="preserve"> 38, no. 2 (April 3, 2015): 189–204. https://doi.org/10.1080/0163660X.2015.1064717.</w:t>
      </w:r>
    </w:p>
    <w:p w14:paraId="3F9A5509" w14:textId="77777777" w:rsidR="00604876" w:rsidRPr="00604876" w:rsidRDefault="00604876" w:rsidP="00604876">
      <w:pPr>
        <w:pStyle w:val="Bibliography"/>
      </w:pPr>
      <w:proofErr w:type="spellStart"/>
      <w:r w:rsidRPr="00604876">
        <w:t>Matisek</w:t>
      </w:r>
      <w:proofErr w:type="spellEnd"/>
      <w:r w:rsidRPr="00604876">
        <w:t xml:space="preserve">, </w:t>
      </w:r>
      <w:proofErr w:type="spellStart"/>
      <w:r w:rsidRPr="00604876">
        <w:t>Jahara</w:t>
      </w:r>
      <w:proofErr w:type="spellEnd"/>
      <w:r w:rsidRPr="00604876">
        <w:t xml:space="preserve"> W. “Shades of Gray Deterrence: Issues of Fighting in the Gray Zone.” </w:t>
      </w:r>
      <w:r w:rsidRPr="00604876">
        <w:rPr>
          <w:i/>
          <w:iCs/>
        </w:rPr>
        <w:t>Journal of Strategic Security</w:t>
      </w:r>
      <w:r w:rsidRPr="00604876">
        <w:t xml:space="preserve"> 10, no. 3 (2017): 1–26.</w:t>
      </w:r>
    </w:p>
    <w:p w14:paraId="1EBD208D" w14:textId="77777777" w:rsidR="00604876" w:rsidRPr="00604876" w:rsidRDefault="00604876" w:rsidP="00604876">
      <w:pPr>
        <w:pStyle w:val="Bibliography"/>
      </w:pPr>
      <w:proofErr w:type="spellStart"/>
      <w:r w:rsidRPr="00604876">
        <w:t>Matláry</w:t>
      </w:r>
      <w:proofErr w:type="spellEnd"/>
      <w:r w:rsidRPr="00604876">
        <w:t xml:space="preserve">, </w:t>
      </w:r>
      <w:proofErr w:type="spellStart"/>
      <w:r w:rsidRPr="00604876">
        <w:t>Janne</w:t>
      </w:r>
      <w:proofErr w:type="spellEnd"/>
      <w:r w:rsidRPr="00604876">
        <w:t xml:space="preserve"> </w:t>
      </w:r>
      <w:proofErr w:type="spellStart"/>
      <w:r w:rsidRPr="00604876">
        <w:t>Haaland</w:t>
      </w:r>
      <w:proofErr w:type="spellEnd"/>
      <w:r w:rsidRPr="00604876">
        <w:t xml:space="preserve">. “Partners versus Members? NATO as an Arena for Coalitions.” In </w:t>
      </w:r>
      <w:r w:rsidRPr="00604876">
        <w:rPr>
          <w:i/>
          <w:iCs/>
        </w:rPr>
        <w:t>NATO’s Post-Cold War Politics: The Changing Provision of Security</w:t>
      </w:r>
      <w:r w:rsidRPr="00604876">
        <w:t>, edited by Sebastian Mayer, 251–66. New Security Challenges Series. London: Palgrave Macmillan UK, 2014. https://doi.org/10.1057/9781137330307_14.</w:t>
      </w:r>
    </w:p>
    <w:p w14:paraId="58967260" w14:textId="77777777" w:rsidR="00604876" w:rsidRPr="00604876" w:rsidRDefault="00604876" w:rsidP="00604876">
      <w:pPr>
        <w:pStyle w:val="Bibliography"/>
      </w:pPr>
      <w:r w:rsidRPr="00604876">
        <w:t>Mazarr, Michael. “Mastering the Gray Zone: Understanding a Changing Era of Conflict.” Research Report. Strategic Studies Institute: US Army War College, February 2, 2015.</w:t>
      </w:r>
    </w:p>
    <w:p w14:paraId="1EAEACB6" w14:textId="77777777" w:rsidR="00604876" w:rsidRPr="00604876" w:rsidRDefault="00604876" w:rsidP="00604876">
      <w:pPr>
        <w:pStyle w:val="Bibliography"/>
      </w:pPr>
      <w:r w:rsidRPr="00604876">
        <w:t xml:space="preserve">McFaul, Michael, Stephen Sestanovich, and John J. Mearsheimer. “Faulty Powers: Who Started the Ukraine Crisis?” </w:t>
      </w:r>
      <w:r w:rsidRPr="00604876">
        <w:rPr>
          <w:i/>
          <w:iCs/>
        </w:rPr>
        <w:t>Foreign Affairs</w:t>
      </w:r>
      <w:r w:rsidRPr="00604876">
        <w:t>, December 2014. http://www.foreignaffairs.com/articles/142260/michael-mcfaul-stephen-sestanovich-john-j-mearsheimer/faulty-powers.</w:t>
      </w:r>
    </w:p>
    <w:p w14:paraId="2E2481CF" w14:textId="77777777" w:rsidR="00604876" w:rsidRPr="00604876" w:rsidRDefault="00604876" w:rsidP="00604876">
      <w:pPr>
        <w:pStyle w:val="Bibliography"/>
      </w:pPr>
      <w:r w:rsidRPr="00604876">
        <w:t xml:space="preserve">Mearsheimer, John J. “Why the Ukraine Crisis Is the West’s Fault: The Liberal Delusions That Provoked Putin.” </w:t>
      </w:r>
      <w:r w:rsidRPr="00604876">
        <w:rPr>
          <w:i/>
          <w:iCs/>
        </w:rPr>
        <w:t>Foreign Affairs</w:t>
      </w:r>
      <w:r w:rsidRPr="00604876">
        <w:t>, October 2014. http://www.foreignaffairs.com/articles/141769/john-j-mearsheimer/why-the-ukraine-crisis-is-the-wests-fault.</w:t>
      </w:r>
    </w:p>
    <w:p w14:paraId="4994A4CF" w14:textId="77777777" w:rsidR="00604876" w:rsidRPr="00604876" w:rsidRDefault="00604876" w:rsidP="00604876">
      <w:pPr>
        <w:pStyle w:val="Bibliography"/>
      </w:pPr>
      <w:r w:rsidRPr="00604876">
        <w:t xml:space="preserve">Metz, Steven. “Foundation for a Low Intensity Conflict Strategy.” </w:t>
      </w:r>
      <w:r w:rsidRPr="00604876">
        <w:rPr>
          <w:i/>
          <w:iCs/>
        </w:rPr>
        <w:t>Comparative Strategy</w:t>
      </w:r>
      <w:r w:rsidRPr="00604876">
        <w:t xml:space="preserve"> 8, no. 2 (January 1989): 265–73. https://doi.org/10.1080/01495938908402780.</w:t>
      </w:r>
    </w:p>
    <w:p w14:paraId="66838565" w14:textId="77777777" w:rsidR="00604876" w:rsidRPr="00604876" w:rsidRDefault="00604876" w:rsidP="00604876">
      <w:pPr>
        <w:pStyle w:val="Bibliography"/>
      </w:pPr>
      <w:r w:rsidRPr="00604876">
        <w:t xml:space="preserve">Morris, Lyle J., Michael J. Mazarr, Jeffrey W. Hornung, Stephanie </w:t>
      </w:r>
      <w:proofErr w:type="spellStart"/>
      <w:r w:rsidRPr="00604876">
        <w:t>Pezard</w:t>
      </w:r>
      <w:proofErr w:type="spellEnd"/>
      <w:r w:rsidRPr="00604876">
        <w:t xml:space="preserve">, Anika </w:t>
      </w:r>
      <w:proofErr w:type="spellStart"/>
      <w:r w:rsidRPr="00604876">
        <w:t>Binnendijk</w:t>
      </w:r>
      <w:proofErr w:type="spellEnd"/>
      <w:r w:rsidRPr="00604876">
        <w:t xml:space="preserve">, and Marta </w:t>
      </w:r>
      <w:proofErr w:type="spellStart"/>
      <w:r w:rsidRPr="00604876">
        <w:t>Kepe</w:t>
      </w:r>
      <w:proofErr w:type="spellEnd"/>
      <w:r w:rsidRPr="00604876">
        <w:t>. “Gaining Competitive Advantage in the Gray Zone.” Santa Monica, CA: RAND Corporation, 2019. https://www.rand.org/pubs/research_reports/RR2942.html.</w:t>
      </w:r>
    </w:p>
    <w:p w14:paraId="5EA1589E" w14:textId="77777777" w:rsidR="00604876" w:rsidRPr="00604876" w:rsidRDefault="00604876" w:rsidP="00604876">
      <w:pPr>
        <w:pStyle w:val="Bibliography"/>
      </w:pPr>
      <w:proofErr w:type="spellStart"/>
      <w:r w:rsidRPr="00604876">
        <w:t>Nagl</w:t>
      </w:r>
      <w:proofErr w:type="spellEnd"/>
      <w:r w:rsidRPr="00604876">
        <w:t xml:space="preserve">, John. </w:t>
      </w:r>
      <w:r w:rsidRPr="00604876">
        <w:rPr>
          <w:i/>
          <w:iCs/>
        </w:rPr>
        <w:t>Learning to Eat Soup with a Knife: Counterinsurgency Lessons from Malaya and Vietnam</w:t>
      </w:r>
      <w:r w:rsidRPr="00604876">
        <w:t>. University of Chicago Press, 2005.</w:t>
      </w:r>
    </w:p>
    <w:p w14:paraId="6ED198EF" w14:textId="77777777" w:rsidR="00604876" w:rsidRPr="00604876" w:rsidRDefault="00604876" w:rsidP="00604876">
      <w:pPr>
        <w:pStyle w:val="Bibliography"/>
      </w:pPr>
      <w:r w:rsidRPr="00604876">
        <w:t xml:space="preserve">Naylor, Sean. </w:t>
      </w:r>
      <w:r w:rsidRPr="00604876">
        <w:rPr>
          <w:i/>
          <w:iCs/>
        </w:rPr>
        <w:t>Relentless Strike: The Secret History of Joint Special Operations Command</w:t>
      </w:r>
      <w:r w:rsidRPr="00604876">
        <w:t>. St. Martin’s Press, 2015.</w:t>
      </w:r>
    </w:p>
    <w:p w14:paraId="79E50C78" w14:textId="77777777" w:rsidR="00604876" w:rsidRPr="00604876" w:rsidRDefault="00604876" w:rsidP="00604876">
      <w:pPr>
        <w:pStyle w:val="Bibliography"/>
      </w:pPr>
      <w:proofErr w:type="spellStart"/>
      <w:r w:rsidRPr="00604876">
        <w:t>Noetzel</w:t>
      </w:r>
      <w:proofErr w:type="spellEnd"/>
      <w:r w:rsidRPr="00604876">
        <w:t xml:space="preserve">, Timo, and Benjamin </w:t>
      </w:r>
      <w:proofErr w:type="spellStart"/>
      <w:r w:rsidRPr="00604876">
        <w:t>Schreer</w:t>
      </w:r>
      <w:proofErr w:type="spellEnd"/>
      <w:r w:rsidRPr="00604876">
        <w:t xml:space="preserve">. “NATO’s Vietnam? Afghanistan and the Future of the Atlantic Alliance.” </w:t>
      </w:r>
      <w:r w:rsidRPr="00604876">
        <w:rPr>
          <w:i/>
          <w:iCs/>
        </w:rPr>
        <w:t>Contemporary Security Policy</w:t>
      </w:r>
      <w:r w:rsidRPr="00604876">
        <w:t xml:space="preserve"> 30, no. 3 (December 1, 2009): 529–47. https://doi.org/10.1080/13523260903327618.</w:t>
      </w:r>
    </w:p>
    <w:p w14:paraId="631C5D57" w14:textId="77777777" w:rsidR="00604876" w:rsidRPr="00604876" w:rsidRDefault="00604876" w:rsidP="00604876">
      <w:pPr>
        <w:pStyle w:val="Bibliography"/>
      </w:pPr>
      <w:r w:rsidRPr="00604876">
        <w:t>Office of the Director of National Intelligence. “Assessing Russian Activities and Intentions in Recent US Elections.” Intelligence Community Assessment. Washington, DC: National Intelligence Council, January 6, 2017. https://www.dni.gov/files/documents/ICA_2017_01.pdf.</w:t>
      </w:r>
    </w:p>
    <w:p w14:paraId="5235B549" w14:textId="77777777" w:rsidR="00604876" w:rsidRPr="00604876" w:rsidRDefault="00604876" w:rsidP="00604876">
      <w:pPr>
        <w:pStyle w:val="Bibliography"/>
      </w:pPr>
      <w:r w:rsidRPr="00604876">
        <w:t xml:space="preserve">Olson, William. “The Concept of Small Wars.” </w:t>
      </w:r>
      <w:r w:rsidRPr="00604876">
        <w:rPr>
          <w:i/>
          <w:iCs/>
        </w:rPr>
        <w:t>Small Wars &amp; Insurgencies</w:t>
      </w:r>
      <w:r w:rsidRPr="00604876">
        <w:t xml:space="preserve"> 1, no. 1 (April 1, 1990): 39–46. https://doi.org/10.1080/09592319008422940.</w:t>
      </w:r>
    </w:p>
    <w:p w14:paraId="717893D3" w14:textId="77777777" w:rsidR="00604876" w:rsidRPr="00604876" w:rsidRDefault="00604876" w:rsidP="00604876">
      <w:pPr>
        <w:pStyle w:val="Bibliography"/>
      </w:pPr>
      <w:r w:rsidRPr="00604876">
        <w:lastRenderedPageBreak/>
        <w:t xml:space="preserve">O’Rourke, Lindsey. </w:t>
      </w:r>
      <w:r w:rsidRPr="00604876">
        <w:rPr>
          <w:i/>
          <w:iCs/>
        </w:rPr>
        <w:t>Covert Regime Change: America’s Secret Cold War</w:t>
      </w:r>
      <w:r w:rsidRPr="00604876">
        <w:t>. Cornell Studies in Security Affairs. Ithaca, NY: Cornell University Press, 2018.</w:t>
      </w:r>
    </w:p>
    <w:p w14:paraId="39CBEB7B" w14:textId="77777777" w:rsidR="00604876" w:rsidRPr="00604876" w:rsidRDefault="00604876" w:rsidP="00604876">
      <w:pPr>
        <w:pStyle w:val="Bibliography"/>
      </w:pPr>
      <w:r w:rsidRPr="00604876">
        <w:t xml:space="preserve">Osgood, Robert. “The Reappraisal of Limited War.” </w:t>
      </w:r>
      <w:r w:rsidRPr="00604876">
        <w:rPr>
          <w:i/>
          <w:iCs/>
        </w:rPr>
        <w:t>The Adelphi Papers</w:t>
      </w:r>
      <w:r w:rsidRPr="00604876">
        <w:t xml:space="preserve"> 9, no. 54 (February 1969): 41–54. https://doi.org/10.1080/05679326908448127.</w:t>
      </w:r>
    </w:p>
    <w:p w14:paraId="5F15A1D4" w14:textId="77777777" w:rsidR="00604876" w:rsidRPr="00604876" w:rsidRDefault="00604876" w:rsidP="00604876">
      <w:pPr>
        <w:pStyle w:val="Bibliography"/>
      </w:pPr>
      <w:r w:rsidRPr="00604876">
        <w:t>Paul, Christopher, and Miriam Matthews. “The Russian ‘Firehose of Falsehood’ Propaganda Model: Why It Might Work and Options to Counter It.” Santa Monica, CA: Rand Corporation, 2016.</w:t>
      </w:r>
    </w:p>
    <w:p w14:paraId="5BEE1B2E" w14:textId="77777777" w:rsidR="00604876" w:rsidRPr="00604876" w:rsidRDefault="00604876" w:rsidP="00604876">
      <w:pPr>
        <w:pStyle w:val="Bibliography"/>
      </w:pPr>
      <w:r w:rsidRPr="00604876">
        <w:t xml:space="preserve">Pearlman, Wendy, and Boaz </w:t>
      </w:r>
      <w:proofErr w:type="spellStart"/>
      <w:r w:rsidRPr="00604876">
        <w:t>Atzili</w:t>
      </w:r>
      <w:proofErr w:type="spellEnd"/>
      <w:r w:rsidRPr="00604876">
        <w:t xml:space="preserve">. </w:t>
      </w:r>
      <w:r w:rsidRPr="00604876">
        <w:rPr>
          <w:i/>
          <w:iCs/>
        </w:rPr>
        <w:t>Triadic Coercion: Israel’s Targeting of States That Host Nonstate Actors</w:t>
      </w:r>
      <w:r w:rsidRPr="00604876">
        <w:t>. New York: Columbia University Press, 2018.</w:t>
      </w:r>
    </w:p>
    <w:p w14:paraId="58959365" w14:textId="77777777" w:rsidR="00604876" w:rsidRPr="00604876" w:rsidRDefault="00604876" w:rsidP="00604876">
      <w:pPr>
        <w:pStyle w:val="Bibliography"/>
      </w:pPr>
      <w:r w:rsidRPr="00604876">
        <w:t xml:space="preserve">Petersen, Roger. </w:t>
      </w:r>
      <w:r w:rsidRPr="00604876">
        <w:rPr>
          <w:i/>
          <w:iCs/>
        </w:rPr>
        <w:t xml:space="preserve">Resistance and Rebellion: Lessons </w:t>
      </w:r>
      <w:proofErr w:type="gramStart"/>
      <w:r w:rsidRPr="00604876">
        <w:rPr>
          <w:i/>
          <w:iCs/>
        </w:rPr>
        <w:t>From</w:t>
      </w:r>
      <w:proofErr w:type="gramEnd"/>
      <w:r w:rsidRPr="00604876">
        <w:rPr>
          <w:i/>
          <w:iCs/>
        </w:rPr>
        <w:t xml:space="preserve"> Eastern Europe</w:t>
      </w:r>
      <w:r w:rsidRPr="00604876">
        <w:t>. Cambridge: Cambridge University Press, 2001. https://doi.org/10.1017/CBO9780511612725.</w:t>
      </w:r>
    </w:p>
    <w:p w14:paraId="7D4461CE" w14:textId="77777777" w:rsidR="00604876" w:rsidRPr="00604876" w:rsidRDefault="00604876" w:rsidP="00604876">
      <w:pPr>
        <w:pStyle w:val="Bibliography"/>
      </w:pPr>
      <w:r w:rsidRPr="00604876">
        <w:t xml:space="preserve">Posen, Barry. “Command of the Commons: The Military Foundation of U.S. Hegemony.” </w:t>
      </w:r>
      <w:r w:rsidRPr="00604876">
        <w:rPr>
          <w:i/>
          <w:iCs/>
        </w:rPr>
        <w:t>International Security</w:t>
      </w:r>
      <w:r w:rsidRPr="00604876">
        <w:t xml:space="preserve"> 28, no. 1 (July 1, 2003): 5–46. https://doi.org/10.1162/016228803322427965.</w:t>
      </w:r>
    </w:p>
    <w:p w14:paraId="43690D0D" w14:textId="77777777" w:rsidR="00604876" w:rsidRPr="00604876" w:rsidRDefault="00604876" w:rsidP="00604876">
      <w:pPr>
        <w:pStyle w:val="Bibliography"/>
      </w:pPr>
      <w:r w:rsidRPr="00604876">
        <w:t xml:space="preserve">Powell, Robert. “Nuclear Brinkmanship, Limited War, and Military Power.” </w:t>
      </w:r>
      <w:r w:rsidRPr="00604876">
        <w:rPr>
          <w:i/>
          <w:iCs/>
        </w:rPr>
        <w:t>International Organization</w:t>
      </w:r>
      <w:r w:rsidRPr="00604876">
        <w:t xml:space="preserve"> 69, no. 3 (June 2015): 589–626. https://doi.org/10.1017/S0020818315000028.</w:t>
      </w:r>
    </w:p>
    <w:p w14:paraId="3026973F" w14:textId="77777777" w:rsidR="00604876" w:rsidRPr="00604876" w:rsidRDefault="00604876" w:rsidP="00604876">
      <w:pPr>
        <w:pStyle w:val="Bibliography"/>
      </w:pPr>
      <w:r w:rsidRPr="00604876">
        <w:t xml:space="preserve">Raghavan, V.R. “Limited War and Nuclear Escalation in South Asia.” </w:t>
      </w:r>
      <w:r w:rsidRPr="00604876">
        <w:rPr>
          <w:i/>
          <w:iCs/>
        </w:rPr>
        <w:t xml:space="preserve">The </w:t>
      </w:r>
      <w:proofErr w:type="spellStart"/>
      <w:r w:rsidRPr="00604876">
        <w:rPr>
          <w:i/>
          <w:iCs/>
        </w:rPr>
        <w:t>Nonproliferation</w:t>
      </w:r>
      <w:proofErr w:type="spellEnd"/>
      <w:r w:rsidRPr="00604876">
        <w:rPr>
          <w:i/>
          <w:iCs/>
        </w:rPr>
        <w:t xml:space="preserve"> Review</w:t>
      </w:r>
      <w:r w:rsidRPr="00604876">
        <w:t xml:space="preserve"> 8, no. 3 (September 2001): 82–98. https://doi.org/10.1080/10736700108436865.</w:t>
      </w:r>
    </w:p>
    <w:p w14:paraId="53851876" w14:textId="77777777" w:rsidR="00604876" w:rsidRPr="00604876" w:rsidRDefault="00604876" w:rsidP="00604876">
      <w:pPr>
        <w:pStyle w:val="Bibliography"/>
      </w:pPr>
      <w:proofErr w:type="spellStart"/>
      <w:r w:rsidRPr="00604876">
        <w:t>Rauchhaus</w:t>
      </w:r>
      <w:proofErr w:type="spellEnd"/>
      <w:r w:rsidRPr="00604876">
        <w:t xml:space="preserve">, Robert. “Evaluating the Nuclear Peace Hypothesis: A Quantitative Approach.” </w:t>
      </w:r>
      <w:r w:rsidRPr="00604876">
        <w:rPr>
          <w:i/>
          <w:iCs/>
        </w:rPr>
        <w:t>Journal of Conflict Resolution</w:t>
      </w:r>
      <w:r w:rsidRPr="00604876">
        <w:t xml:space="preserve"> 53, no. 2 (January 27, 2009): 258–77. https://doi.org/10.1177/0022002708330387.</w:t>
      </w:r>
    </w:p>
    <w:p w14:paraId="34085922" w14:textId="77777777" w:rsidR="00604876" w:rsidRPr="00604876" w:rsidRDefault="00604876" w:rsidP="00604876">
      <w:pPr>
        <w:pStyle w:val="Bibliography"/>
      </w:pPr>
      <w:r w:rsidRPr="00604876">
        <w:t xml:space="preserve">Rid, Thomas. “Cyberwar and Peace.” </w:t>
      </w:r>
      <w:r w:rsidRPr="00604876">
        <w:rPr>
          <w:i/>
          <w:iCs/>
        </w:rPr>
        <w:t>Foreign Affairs</w:t>
      </w:r>
      <w:r w:rsidRPr="00604876">
        <w:t>, 2013. https://www.foreignaffairs.com/articles/2013-10-15/cyberwar-and-peace.</w:t>
      </w:r>
    </w:p>
    <w:p w14:paraId="3F504744" w14:textId="77777777" w:rsidR="00604876" w:rsidRPr="00604876" w:rsidRDefault="00604876" w:rsidP="00604876">
      <w:pPr>
        <w:pStyle w:val="Bibliography"/>
      </w:pPr>
      <w:proofErr w:type="spellStart"/>
      <w:r w:rsidRPr="00604876">
        <w:t>Roehrig</w:t>
      </w:r>
      <w:proofErr w:type="spellEnd"/>
      <w:r w:rsidRPr="00604876">
        <w:t xml:space="preserve">, Terence. “North Korea, Nuclear Weapons, and the Stability-Instability Paradox.” </w:t>
      </w:r>
      <w:r w:rsidRPr="00604876">
        <w:rPr>
          <w:i/>
          <w:iCs/>
        </w:rPr>
        <w:t>Korean Journal of Defense Analysis</w:t>
      </w:r>
      <w:r w:rsidRPr="00604876">
        <w:t xml:space="preserve"> 28, no. 2 (June 2016): 181–98.</w:t>
      </w:r>
    </w:p>
    <w:p w14:paraId="05CAD459" w14:textId="77777777" w:rsidR="00604876" w:rsidRPr="00604876" w:rsidRDefault="00604876" w:rsidP="00604876">
      <w:pPr>
        <w:pStyle w:val="Bibliography"/>
      </w:pPr>
      <w:r w:rsidRPr="00604876">
        <w:t xml:space="preserve">Rosen, Stephen. “Vietnam and the American Theory of Limited War.” </w:t>
      </w:r>
      <w:r w:rsidRPr="00604876">
        <w:rPr>
          <w:i/>
          <w:iCs/>
        </w:rPr>
        <w:t>International Security</w:t>
      </w:r>
      <w:r w:rsidRPr="00604876">
        <w:t xml:space="preserve"> 7, no. 2 (1982): 83–113. https://doi.org/10.2307/2538434.</w:t>
      </w:r>
    </w:p>
    <w:p w14:paraId="5141093D" w14:textId="77777777" w:rsidR="00604876" w:rsidRPr="00604876" w:rsidRDefault="00604876" w:rsidP="00604876">
      <w:pPr>
        <w:pStyle w:val="Bibliography"/>
      </w:pPr>
      <w:r w:rsidRPr="00604876">
        <w:t xml:space="preserve">Rovner, Joshua. </w:t>
      </w:r>
      <w:r w:rsidRPr="00604876">
        <w:rPr>
          <w:i/>
          <w:iCs/>
        </w:rPr>
        <w:t>Fixing the Facts: National Security and the Politics of Intelligence</w:t>
      </w:r>
      <w:r w:rsidRPr="00604876">
        <w:t>. Ithaca, NY: Cornell University Press, 2011.</w:t>
      </w:r>
    </w:p>
    <w:p w14:paraId="470C37C3" w14:textId="77777777" w:rsidR="00604876" w:rsidRPr="00604876" w:rsidRDefault="00604876" w:rsidP="00604876">
      <w:pPr>
        <w:pStyle w:val="Bibliography"/>
      </w:pPr>
      <w:r w:rsidRPr="00604876">
        <w:t xml:space="preserve">Russell, Richard. “The Nuclear Peace Fallacy: How Deterrence Can Fail.” </w:t>
      </w:r>
      <w:r w:rsidRPr="00604876">
        <w:rPr>
          <w:i/>
          <w:iCs/>
        </w:rPr>
        <w:t>Journal of Strategic Studies</w:t>
      </w:r>
      <w:r w:rsidRPr="00604876">
        <w:t xml:space="preserve"> 26, no. 1 (March 1, 2003): 136–55. https://doi.org/10.1080/01402390308559311.</w:t>
      </w:r>
    </w:p>
    <w:p w14:paraId="3AC3FC12" w14:textId="77777777" w:rsidR="00604876" w:rsidRPr="00604876" w:rsidRDefault="00604876" w:rsidP="00604876">
      <w:pPr>
        <w:pStyle w:val="Bibliography"/>
      </w:pPr>
      <w:r w:rsidRPr="00604876">
        <w:t xml:space="preserve">Sagan, Scott, and Kenneth Waltz. </w:t>
      </w:r>
      <w:r w:rsidRPr="00604876">
        <w:rPr>
          <w:i/>
          <w:iCs/>
        </w:rPr>
        <w:t>The Spread of Nuclear Weapons: A Debate Renewed</w:t>
      </w:r>
      <w:r w:rsidRPr="00604876">
        <w:t>. Norton, 2003.</w:t>
      </w:r>
    </w:p>
    <w:p w14:paraId="0BAA1C47" w14:textId="77777777" w:rsidR="00604876" w:rsidRPr="00604876" w:rsidRDefault="00604876" w:rsidP="00604876">
      <w:pPr>
        <w:pStyle w:val="Bibliography"/>
      </w:pPr>
      <w:r w:rsidRPr="00604876">
        <w:t xml:space="preserve">Santoro, David, and Brad </w:t>
      </w:r>
      <w:proofErr w:type="spellStart"/>
      <w:r w:rsidRPr="00604876">
        <w:t>Blosserman</w:t>
      </w:r>
      <w:proofErr w:type="spellEnd"/>
      <w:r w:rsidRPr="00604876">
        <w:t>. “Healey’s Wrong: It’s Deterrence, Stupid.” War on the Rocks, October 14, 2016. http://warontherocks.com/2016/10/healeys-wrong-its-deterrence-stupid/.</w:t>
      </w:r>
    </w:p>
    <w:p w14:paraId="180B8C30" w14:textId="77777777" w:rsidR="00604876" w:rsidRPr="00604876" w:rsidRDefault="00604876" w:rsidP="00604876">
      <w:pPr>
        <w:pStyle w:val="Bibliography"/>
      </w:pPr>
      <w:r w:rsidRPr="00604876">
        <w:t xml:space="preserve">Schelling, Thomas. </w:t>
      </w:r>
      <w:r w:rsidRPr="00604876">
        <w:rPr>
          <w:i/>
          <w:iCs/>
        </w:rPr>
        <w:t>Arms and Influence</w:t>
      </w:r>
      <w:r w:rsidRPr="00604876">
        <w:t>. Yale University Press, 1966.</w:t>
      </w:r>
    </w:p>
    <w:p w14:paraId="0E0DD05A" w14:textId="77777777" w:rsidR="00604876" w:rsidRPr="00604876" w:rsidRDefault="00604876" w:rsidP="00604876">
      <w:pPr>
        <w:pStyle w:val="Bibliography"/>
      </w:pPr>
      <w:r w:rsidRPr="00604876">
        <w:t xml:space="preserve">———. “Bargaining, Communication, and Limited War.” </w:t>
      </w:r>
      <w:r w:rsidRPr="00604876">
        <w:rPr>
          <w:i/>
          <w:iCs/>
        </w:rPr>
        <w:t>Conflict Resolution</w:t>
      </w:r>
      <w:r w:rsidRPr="00604876">
        <w:t xml:space="preserve"> 1, no. 1 (1957): 19–36.</w:t>
      </w:r>
    </w:p>
    <w:p w14:paraId="42FEC80A" w14:textId="77777777" w:rsidR="00604876" w:rsidRPr="00604876" w:rsidRDefault="00604876" w:rsidP="00604876">
      <w:pPr>
        <w:pStyle w:val="Bibliography"/>
      </w:pPr>
      <w:r w:rsidRPr="00604876">
        <w:t xml:space="preserve">Schmidt, Andreas. “The Estonian Cyberattacks.” In </w:t>
      </w:r>
      <w:r w:rsidRPr="00604876">
        <w:rPr>
          <w:i/>
          <w:iCs/>
        </w:rPr>
        <w:t>A Fierce Domain: Conflict in Cyberspace, 1986 to 2012</w:t>
      </w:r>
      <w:r w:rsidRPr="00604876">
        <w:t>, edited by Jason Healey, 174–93. Cyber Conflict Studies Association, 2013.</w:t>
      </w:r>
    </w:p>
    <w:p w14:paraId="434CFC14" w14:textId="77777777" w:rsidR="00604876" w:rsidRPr="00604876" w:rsidRDefault="00604876" w:rsidP="00604876">
      <w:pPr>
        <w:pStyle w:val="Bibliography"/>
      </w:pPr>
      <w:r w:rsidRPr="00604876">
        <w:t xml:space="preserve">Schneider, Jacquelyn. “Deterrence in and through Cyberspace.” In </w:t>
      </w:r>
      <w:r w:rsidRPr="00604876">
        <w:rPr>
          <w:i/>
          <w:iCs/>
        </w:rPr>
        <w:t>Cross-Domain Deterrence: Strategy in an Era of Complexity</w:t>
      </w:r>
      <w:r w:rsidRPr="00604876">
        <w:t>, edited by Jon R. Lindsay and Erik Gartzke, 1st edition. New York, NY: Oxford University Press, 2019.</w:t>
      </w:r>
    </w:p>
    <w:p w14:paraId="7B6F59F0" w14:textId="77777777" w:rsidR="00604876" w:rsidRPr="00604876" w:rsidRDefault="00604876" w:rsidP="00604876">
      <w:pPr>
        <w:pStyle w:val="Bibliography"/>
      </w:pPr>
      <w:r w:rsidRPr="00604876">
        <w:lastRenderedPageBreak/>
        <w:t>———. “The Information Revolution and International Stability: A Multi-Article Exploration of Computing, Cyber, and Incentives for Conflict.” Dissertation, George Washington University, 2017.</w:t>
      </w:r>
    </w:p>
    <w:p w14:paraId="79DA41BF" w14:textId="77777777" w:rsidR="00604876" w:rsidRPr="00604876" w:rsidRDefault="00604876" w:rsidP="00604876">
      <w:pPr>
        <w:pStyle w:val="Bibliography"/>
      </w:pPr>
      <w:r w:rsidRPr="00604876">
        <w:t>Schram, Peter. “Better Living Through Hassling: How to Prevent a Preventative War.” Working Paper, 2019.</w:t>
      </w:r>
    </w:p>
    <w:p w14:paraId="45193C70" w14:textId="77777777" w:rsidR="00604876" w:rsidRPr="00604876" w:rsidRDefault="00604876" w:rsidP="00604876">
      <w:pPr>
        <w:pStyle w:val="Bibliography"/>
      </w:pPr>
      <w:r w:rsidRPr="00604876">
        <w:t>Schultz, George. “Low-Intensity Warfare: The Challenge of Ambiguity.” Conference Address presented at the Low-Intensity Warfare Conference, National Defense University, Washington, DC, January 15, 1986. https://www.jstor.org/stable/pdf/20692938.pdf.</w:t>
      </w:r>
    </w:p>
    <w:p w14:paraId="74307EDC" w14:textId="77777777" w:rsidR="00604876" w:rsidRPr="00604876" w:rsidRDefault="00604876" w:rsidP="00604876">
      <w:pPr>
        <w:pStyle w:val="Bibliography"/>
      </w:pPr>
      <w:proofErr w:type="spellStart"/>
      <w:r w:rsidRPr="00604876">
        <w:t>Schweller</w:t>
      </w:r>
      <w:proofErr w:type="spellEnd"/>
      <w:r w:rsidRPr="00604876">
        <w:t xml:space="preserve">, Randall L. “Neorealism’s Status‐quo Bias: What Security Dilemma?” </w:t>
      </w:r>
      <w:r w:rsidRPr="00604876">
        <w:rPr>
          <w:i/>
          <w:iCs/>
        </w:rPr>
        <w:t>Security Studies</w:t>
      </w:r>
      <w:r w:rsidRPr="00604876">
        <w:t xml:space="preserve"> 5, no. 3 (March 1, 1996): 90–121. https://doi.org/10.1080/09636419608429277.</w:t>
      </w:r>
    </w:p>
    <w:p w14:paraId="037FA687" w14:textId="77777777" w:rsidR="00604876" w:rsidRPr="00604876" w:rsidRDefault="00604876" w:rsidP="00604876">
      <w:pPr>
        <w:pStyle w:val="Bibliography"/>
      </w:pPr>
      <w:r w:rsidRPr="00604876">
        <w:t xml:space="preserve">Shy, John, and Thomas Collier. “Revolutionary War.” In </w:t>
      </w:r>
      <w:r w:rsidRPr="00604876">
        <w:rPr>
          <w:i/>
          <w:iCs/>
        </w:rPr>
        <w:t>Makers of Modern Strategy from Machiavelli to the Nuclear Age</w:t>
      </w:r>
      <w:r w:rsidRPr="00604876">
        <w:t xml:space="preserve">, edited by Peter </w:t>
      </w:r>
      <w:proofErr w:type="spellStart"/>
      <w:r w:rsidRPr="00604876">
        <w:t>Paret</w:t>
      </w:r>
      <w:proofErr w:type="spellEnd"/>
      <w:r w:rsidRPr="00604876">
        <w:t>, Gordon Craig, and Felix Gilbert, 815–62. New Jersey: Princeton University Press, 1986.</w:t>
      </w:r>
    </w:p>
    <w:p w14:paraId="53242C09" w14:textId="77777777" w:rsidR="00604876" w:rsidRPr="00604876" w:rsidRDefault="00604876" w:rsidP="00604876">
      <w:pPr>
        <w:pStyle w:val="Bibliography"/>
      </w:pPr>
      <w:r w:rsidRPr="00604876">
        <w:t xml:space="preserve">Singer, David, Stuart Bremer, and John Stuckey. “Capability Distribution, Uncertainty, and Major Power War, 1820-1965.” In </w:t>
      </w:r>
      <w:r w:rsidRPr="00604876">
        <w:rPr>
          <w:i/>
          <w:iCs/>
        </w:rPr>
        <w:t>Peace, War, and Numbers</w:t>
      </w:r>
      <w:r w:rsidRPr="00604876">
        <w:t xml:space="preserve">, by Bruce </w:t>
      </w:r>
      <w:proofErr w:type="spellStart"/>
      <w:r w:rsidRPr="00604876">
        <w:t>Russett</w:t>
      </w:r>
      <w:proofErr w:type="spellEnd"/>
      <w:r w:rsidRPr="00604876">
        <w:t>, 19–48. Sage Publications, 1972.</w:t>
      </w:r>
    </w:p>
    <w:p w14:paraId="2DBA2871" w14:textId="77777777" w:rsidR="00604876" w:rsidRPr="00604876" w:rsidRDefault="00604876" w:rsidP="00604876">
      <w:pPr>
        <w:pStyle w:val="Bibliography"/>
      </w:pPr>
      <w:r w:rsidRPr="00604876">
        <w:t xml:space="preserve">Slayton, Rebecca. “What Is the Cyber Offense-Defense Balance? Conceptions, Causes, and Assessment.” </w:t>
      </w:r>
      <w:r w:rsidRPr="00604876">
        <w:rPr>
          <w:i/>
          <w:iCs/>
        </w:rPr>
        <w:t>International Security</w:t>
      </w:r>
      <w:r w:rsidRPr="00604876">
        <w:t xml:space="preserve"> 41, no. 3 (January 1, 2017): 72–109. https://doi.org/10.1162/ISEC_a_00267.</w:t>
      </w:r>
    </w:p>
    <w:p w14:paraId="59AE425A" w14:textId="77777777" w:rsidR="00604876" w:rsidRPr="00604876" w:rsidRDefault="00604876" w:rsidP="00604876">
      <w:pPr>
        <w:pStyle w:val="Bibliography"/>
      </w:pPr>
      <w:r w:rsidRPr="00604876">
        <w:t xml:space="preserve">Smith-Spark, Laura, and James Masters. “Missile That Downed MH17 from ‘Russian Brigade.’” </w:t>
      </w:r>
      <w:r w:rsidRPr="00604876">
        <w:rPr>
          <w:i/>
          <w:iCs/>
        </w:rPr>
        <w:t>CNN</w:t>
      </w:r>
      <w:r w:rsidRPr="00604876">
        <w:t>, May 24, 2018. https://edition.cnn.com/2018/05/24/europe/mh17-plane-netherlands-russia-intl/index.html.</w:t>
      </w:r>
    </w:p>
    <w:p w14:paraId="0D346598" w14:textId="77777777" w:rsidR="00604876" w:rsidRPr="00604876" w:rsidRDefault="00604876" w:rsidP="00604876">
      <w:pPr>
        <w:pStyle w:val="Bibliography"/>
      </w:pPr>
      <w:r w:rsidRPr="00604876">
        <w:t xml:space="preserve">Snyder, Glenn. “The Balance of Power and the Balance of Terror.” In </w:t>
      </w:r>
      <w:r w:rsidRPr="00604876">
        <w:rPr>
          <w:i/>
          <w:iCs/>
        </w:rPr>
        <w:t>World in Crisis: Readings in International Relations</w:t>
      </w:r>
      <w:r w:rsidRPr="00604876">
        <w:t>, edited by Frederick Hartmann, 180–91. New York: The Macmillan Company, 1965.</w:t>
      </w:r>
    </w:p>
    <w:p w14:paraId="2E2A251A" w14:textId="77777777" w:rsidR="00604876" w:rsidRPr="00604876" w:rsidRDefault="00604876" w:rsidP="00604876">
      <w:pPr>
        <w:pStyle w:val="Bibliography"/>
      </w:pPr>
      <w:r w:rsidRPr="00604876">
        <w:t xml:space="preserve">Sobek, David, and Joe Clare. “Me, Myself, and Allies: Understanding the External Sources of Power.” </w:t>
      </w:r>
      <w:r w:rsidRPr="00604876">
        <w:rPr>
          <w:i/>
          <w:iCs/>
        </w:rPr>
        <w:t>Journal of Peace Research</w:t>
      </w:r>
      <w:r w:rsidRPr="00604876">
        <w:t xml:space="preserve"> 50, no. 4 (July 1, 2013): 469–78. https://doi.org/10.1177/0022343313484047.</w:t>
      </w:r>
    </w:p>
    <w:p w14:paraId="21DE28B8" w14:textId="77777777" w:rsidR="00604876" w:rsidRPr="00604876" w:rsidRDefault="00604876" w:rsidP="00604876">
      <w:pPr>
        <w:pStyle w:val="Bibliography"/>
      </w:pPr>
      <w:r w:rsidRPr="00604876">
        <w:t xml:space="preserve">Staniland, Paul. </w:t>
      </w:r>
      <w:r w:rsidRPr="00604876">
        <w:rPr>
          <w:i/>
          <w:iCs/>
        </w:rPr>
        <w:t>Networks of Rebellion: Explaining Insurgent Cohesion and Collapse</w:t>
      </w:r>
      <w:r w:rsidRPr="00604876">
        <w:t>. Cornell University Press, 2014.</w:t>
      </w:r>
    </w:p>
    <w:p w14:paraId="62CCDF40" w14:textId="77777777" w:rsidR="00604876" w:rsidRPr="00604876" w:rsidRDefault="00604876" w:rsidP="00604876">
      <w:pPr>
        <w:pStyle w:val="Bibliography"/>
      </w:pPr>
      <w:r w:rsidRPr="00604876">
        <w:t xml:space="preserve">———. “States, Insurgents, and Wartime Political Orders.” </w:t>
      </w:r>
      <w:r w:rsidRPr="00604876">
        <w:rPr>
          <w:i/>
          <w:iCs/>
        </w:rPr>
        <w:t>Perspectives on Politics</w:t>
      </w:r>
      <w:r w:rsidRPr="00604876">
        <w:t xml:space="preserve"> 10, no. 2 (2012): 243–64.</w:t>
      </w:r>
    </w:p>
    <w:p w14:paraId="689D943B" w14:textId="77777777" w:rsidR="00604876" w:rsidRPr="00604876" w:rsidRDefault="00604876" w:rsidP="00604876">
      <w:pPr>
        <w:pStyle w:val="Bibliography"/>
      </w:pPr>
      <w:r w:rsidRPr="00604876">
        <w:t xml:space="preserve">Stein, Janice Gross. “Calculation, Miscalculation, and Conventional Deterrence.” In </w:t>
      </w:r>
      <w:r w:rsidRPr="00604876">
        <w:rPr>
          <w:i/>
          <w:iCs/>
        </w:rPr>
        <w:t>Psychology and Deterrence</w:t>
      </w:r>
      <w:r w:rsidRPr="00604876">
        <w:t>, by Richard Ned Lebow and Robert Jervis. JHU Press, 1989.</w:t>
      </w:r>
    </w:p>
    <w:p w14:paraId="004C908D" w14:textId="77777777" w:rsidR="00604876" w:rsidRPr="00604876" w:rsidRDefault="00604876" w:rsidP="00604876">
      <w:pPr>
        <w:pStyle w:val="Bibliography"/>
      </w:pPr>
      <w:r w:rsidRPr="00604876">
        <w:t xml:space="preserve">Sullivan, Patricia. “War Aims and War Outcomes Why Powerful States Lose Limited Wars.” </w:t>
      </w:r>
      <w:r w:rsidRPr="00604876">
        <w:rPr>
          <w:i/>
          <w:iCs/>
        </w:rPr>
        <w:t>Journal of Conflict Resolution</w:t>
      </w:r>
      <w:r w:rsidRPr="00604876">
        <w:t xml:space="preserve"> 51, no. 3 (2007): 496–524. https://doi.org/10.1177/0022002707300187.</w:t>
      </w:r>
    </w:p>
    <w:p w14:paraId="14522108" w14:textId="77777777" w:rsidR="00604876" w:rsidRPr="00604876" w:rsidRDefault="00604876" w:rsidP="00604876">
      <w:pPr>
        <w:pStyle w:val="Bibliography"/>
      </w:pPr>
      <w:r w:rsidRPr="00604876">
        <w:t xml:space="preserve">Taber, Robert. </w:t>
      </w:r>
      <w:r w:rsidRPr="00604876">
        <w:rPr>
          <w:i/>
          <w:iCs/>
        </w:rPr>
        <w:t>War of the Flea: The Classic Study of Guerrilla Warfare</w:t>
      </w:r>
      <w:r w:rsidRPr="00604876">
        <w:t>. L. Stewart, 1965.</w:t>
      </w:r>
    </w:p>
    <w:p w14:paraId="2DC9DF0A" w14:textId="77777777" w:rsidR="00604876" w:rsidRPr="00604876" w:rsidRDefault="00604876" w:rsidP="00604876">
      <w:pPr>
        <w:pStyle w:val="Bibliography"/>
      </w:pPr>
      <w:r w:rsidRPr="00604876">
        <w:t xml:space="preserve">Tang, </w:t>
      </w:r>
      <w:proofErr w:type="spellStart"/>
      <w:r w:rsidRPr="00604876">
        <w:t>Shiping</w:t>
      </w:r>
      <w:proofErr w:type="spellEnd"/>
      <w:r w:rsidRPr="00604876">
        <w:t xml:space="preserve">. “The Security Dilemma: A Conceptual Analysis.” </w:t>
      </w:r>
      <w:r w:rsidRPr="00604876">
        <w:rPr>
          <w:i/>
          <w:iCs/>
        </w:rPr>
        <w:t>Security Studies</w:t>
      </w:r>
      <w:r w:rsidRPr="00604876">
        <w:t xml:space="preserve"> 18, no. 3 (2009): 587–623.</w:t>
      </w:r>
    </w:p>
    <w:p w14:paraId="347E4E25" w14:textId="77777777" w:rsidR="00604876" w:rsidRPr="00604876" w:rsidRDefault="00604876" w:rsidP="00604876">
      <w:pPr>
        <w:pStyle w:val="Bibliography"/>
      </w:pPr>
      <w:r w:rsidRPr="00604876">
        <w:t xml:space="preserve">Thomas, Timothy. “Russia’s Military Strategy and Ukraine: Indirect, Asymmetric—and Putin-Led.” </w:t>
      </w:r>
      <w:r w:rsidRPr="00604876">
        <w:rPr>
          <w:i/>
          <w:iCs/>
        </w:rPr>
        <w:t>The Journal of Slavic Military Studies</w:t>
      </w:r>
      <w:r w:rsidRPr="00604876">
        <w:t xml:space="preserve"> 28, no. 3 (July 3, 2015): 445–61. https://doi.org/10.1080/13518046.2015.1061819.</w:t>
      </w:r>
    </w:p>
    <w:p w14:paraId="6C88A061" w14:textId="77777777" w:rsidR="00604876" w:rsidRPr="00604876" w:rsidRDefault="00604876" w:rsidP="00604876">
      <w:pPr>
        <w:pStyle w:val="Bibliography"/>
      </w:pPr>
      <w:r w:rsidRPr="00604876">
        <w:t xml:space="preserve">Thompson, Sir Robert Grainger Ker. </w:t>
      </w:r>
      <w:r w:rsidRPr="00604876">
        <w:rPr>
          <w:i/>
          <w:iCs/>
        </w:rPr>
        <w:t>Defeating Communist Insurgency: The Lessons of Malaya and Vietnam</w:t>
      </w:r>
      <w:r w:rsidRPr="00604876">
        <w:t>. F. A. Praeger, 1966.</w:t>
      </w:r>
    </w:p>
    <w:p w14:paraId="507D9941" w14:textId="77777777" w:rsidR="00604876" w:rsidRPr="00604876" w:rsidRDefault="00604876" w:rsidP="00604876">
      <w:pPr>
        <w:pStyle w:val="Bibliography"/>
      </w:pPr>
      <w:r w:rsidRPr="00604876">
        <w:lastRenderedPageBreak/>
        <w:t xml:space="preserve">Traynor, Ian. “Russia Accused of Unleashing Cyberwar to Disable Estonia.” </w:t>
      </w:r>
      <w:r w:rsidRPr="00604876">
        <w:rPr>
          <w:i/>
          <w:iCs/>
        </w:rPr>
        <w:t>The Guardian</w:t>
      </w:r>
      <w:r w:rsidRPr="00604876">
        <w:t>, May 17, 2007, sec. World news. https://www.theguardian.com/world/2007/may/17/topstories3.russia.</w:t>
      </w:r>
    </w:p>
    <w:p w14:paraId="7D6D41BA" w14:textId="77777777" w:rsidR="00604876" w:rsidRPr="00604876" w:rsidRDefault="00604876" w:rsidP="00604876">
      <w:pPr>
        <w:pStyle w:val="Bibliography"/>
      </w:pPr>
      <w:proofErr w:type="spellStart"/>
      <w:r w:rsidRPr="00604876">
        <w:t>Turbiville</w:t>
      </w:r>
      <w:proofErr w:type="spellEnd"/>
      <w:r w:rsidRPr="00604876">
        <w:t xml:space="preserve">, Graham. “Preface: Future Trends in Low Intensity Conflict.” </w:t>
      </w:r>
      <w:r w:rsidRPr="00604876">
        <w:rPr>
          <w:i/>
          <w:iCs/>
        </w:rPr>
        <w:t>Low Intensity Conflict &amp; Law Enforcement</w:t>
      </w:r>
      <w:r w:rsidRPr="00604876">
        <w:t xml:space="preserve"> 11, no. 2–3 (June 1, 2002): 155–63. https://doi.org/10.1080/0966284042000279957.</w:t>
      </w:r>
    </w:p>
    <w:p w14:paraId="637F8B15" w14:textId="77777777" w:rsidR="00604876" w:rsidRPr="00604876" w:rsidRDefault="00604876" w:rsidP="00604876">
      <w:pPr>
        <w:pStyle w:val="Bibliography"/>
      </w:pPr>
      <w:proofErr w:type="spellStart"/>
      <w:r w:rsidRPr="00604876">
        <w:t>Ucko</w:t>
      </w:r>
      <w:proofErr w:type="spellEnd"/>
      <w:r w:rsidRPr="00604876">
        <w:t xml:space="preserve">, David. </w:t>
      </w:r>
      <w:r w:rsidRPr="00604876">
        <w:rPr>
          <w:i/>
          <w:iCs/>
        </w:rPr>
        <w:t>The New Counterinsurgency Era: Transforming the U.S. Military for Modern Wars</w:t>
      </w:r>
      <w:r w:rsidRPr="00604876">
        <w:t>. Georgetown University Press, 2009.</w:t>
      </w:r>
    </w:p>
    <w:p w14:paraId="2F07910D" w14:textId="77777777" w:rsidR="00604876" w:rsidRPr="00604876" w:rsidRDefault="00604876" w:rsidP="00604876">
      <w:pPr>
        <w:pStyle w:val="Bibliography"/>
      </w:pPr>
      <w:r w:rsidRPr="00604876">
        <w:t>US Army. “Army Field Manual 3-24: Counterinsurgency,” November 30, 2006.</w:t>
      </w:r>
    </w:p>
    <w:p w14:paraId="50547331" w14:textId="77777777" w:rsidR="00604876" w:rsidRPr="00604876" w:rsidRDefault="00604876" w:rsidP="00604876">
      <w:pPr>
        <w:pStyle w:val="Bibliography"/>
      </w:pPr>
      <w:r w:rsidRPr="00604876">
        <w:t xml:space="preserve">Valeriano, Brandon, and Ryan Maness. “The Dynamics of Cyber Conflict between Rival Antagonists, 2001-2011.” </w:t>
      </w:r>
      <w:r w:rsidRPr="00604876">
        <w:rPr>
          <w:i/>
          <w:iCs/>
        </w:rPr>
        <w:t>Journal of Peace Research</w:t>
      </w:r>
      <w:r w:rsidRPr="00604876">
        <w:t xml:space="preserve"> 51, no. 3 (May 2014): 347–60.</w:t>
      </w:r>
    </w:p>
    <w:p w14:paraId="52D405FA" w14:textId="77777777" w:rsidR="00604876" w:rsidRPr="00604876" w:rsidRDefault="00604876" w:rsidP="00604876">
      <w:pPr>
        <w:pStyle w:val="Bibliography"/>
      </w:pPr>
      <w:r w:rsidRPr="00604876">
        <w:t xml:space="preserve">Votel, Joseph, Charles Cleveland, Charles </w:t>
      </w:r>
      <w:proofErr w:type="spellStart"/>
      <w:r w:rsidRPr="00604876">
        <w:t>Connett</w:t>
      </w:r>
      <w:proofErr w:type="spellEnd"/>
      <w:r w:rsidRPr="00604876">
        <w:t xml:space="preserve">, and Will Irwin. “Unconventional Warfare in the Gray Zone.” </w:t>
      </w:r>
      <w:r w:rsidRPr="00604876">
        <w:rPr>
          <w:i/>
          <w:iCs/>
        </w:rPr>
        <w:t>Joint Force Quarterly</w:t>
      </w:r>
      <w:r w:rsidRPr="00604876">
        <w:t xml:space="preserve"> 80 (January 2016). http://ndupress.ndu.edu/Portals/68/Documents/jfq/jfq-80/jfq-80_101-109_Votel-et-al.pdf.</w:t>
      </w:r>
    </w:p>
    <w:p w14:paraId="2AF6263B" w14:textId="77777777" w:rsidR="00604876" w:rsidRPr="00604876" w:rsidRDefault="00604876" w:rsidP="00604876">
      <w:pPr>
        <w:pStyle w:val="Bibliography"/>
      </w:pPr>
      <w:r w:rsidRPr="00604876">
        <w:t xml:space="preserve">Wagner, R. Harrison. “Bargaining and War.” </w:t>
      </w:r>
      <w:r w:rsidRPr="00604876">
        <w:rPr>
          <w:i/>
          <w:iCs/>
        </w:rPr>
        <w:t>American Journal of Political Science</w:t>
      </w:r>
      <w:r w:rsidRPr="00604876">
        <w:t xml:space="preserve"> 44, no. 3 (2000): 469–84. https://doi.org/10.2307/2669259.</w:t>
      </w:r>
    </w:p>
    <w:p w14:paraId="40257A2E" w14:textId="77777777" w:rsidR="00604876" w:rsidRPr="00604876" w:rsidRDefault="00604876" w:rsidP="00604876">
      <w:pPr>
        <w:pStyle w:val="Bibliography"/>
      </w:pPr>
      <w:r w:rsidRPr="00604876">
        <w:t xml:space="preserve">Wirtz, James J. “Life in the ‘Gray Zone’: Observations for Contemporary Strategists.” </w:t>
      </w:r>
      <w:r w:rsidRPr="00604876">
        <w:rPr>
          <w:i/>
          <w:iCs/>
        </w:rPr>
        <w:t>Defense &amp; Security Analysis</w:t>
      </w:r>
      <w:r w:rsidRPr="00604876">
        <w:t xml:space="preserve"> 33, no. 2 (April 3, 2017): 106–14. https://doi.org/10.1080/14751798.2017.1310702.</w:t>
      </w:r>
    </w:p>
    <w:p w14:paraId="78CCFAE4" w14:textId="77777777" w:rsidR="00604876" w:rsidRPr="00604876" w:rsidRDefault="00604876" w:rsidP="00604876">
      <w:pPr>
        <w:pStyle w:val="Bibliography"/>
      </w:pPr>
      <w:r w:rsidRPr="00604876">
        <w:t xml:space="preserve">Wood, Elisabeth Jean. </w:t>
      </w:r>
      <w:r w:rsidRPr="00604876">
        <w:rPr>
          <w:i/>
          <w:iCs/>
        </w:rPr>
        <w:t>Insurgent Collective Action and Civil War in El Salvador</w:t>
      </w:r>
      <w:r w:rsidRPr="00604876">
        <w:t>. Cambridge University Press, 2003.</w:t>
      </w:r>
    </w:p>
    <w:p w14:paraId="6AC20844" w14:textId="77777777" w:rsidR="00604876" w:rsidRPr="00604876" w:rsidRDefault="00604876" w:rsidP="00604876">
      <w:pPr>
        <w:pStyle w:val="Bibliography"/>
      </w:pPr>
      <w:r w:rsidRPr="00604876">
        <w:t xml:space="preserve">Woodman, Stewart. “Defining Limited Conflict: A Case of Mistaken Identity.” </w:t>
      </w:r>
      <w:r w:rsidRPr="00604876">
        <w:rPr>
          <w:i/>
          <w:iCs/>
        </w:rPr>
        <w:t>Small Wars &amp; Insurgencies</w:t>
      </w:r>
      <w:r w:rsidRPr="00604876">
        <w:t xml:space="preserve"> 2, no. 3 (December 1, 1991): 24–43. https://doi.org/10.1080/09592319108422992.</w:t>
      </w:r>
    </w:p>
    <w:p w14:paraId="30C41A41" w14:textId="77777777" w:rsidR="00604876" w:rsidRPr="00604876" w:rsidRDefault="00604876" w:rsidP="00604876">
      <w:pPr>
        <w:pStyle w:val="Bibliography"/>
      </w:pPr>
      <w:r w:rsidRPr="00604876">
        <w:t xml:space="preserve">Zhang, Ketian. “Cautious Bully: Reputation, Resolve, and Beijing’s Use of Coercion in the South China Sea.” </w:t>
      </w:r>
      <w:r w:rsidRPr="00604876">
        <w:rPr>
          <w:i/>
          <w:iCs/>
        </w:rPr>
        <w:t>International Security</w:t>
      </w:r>
      <w:r w:rsidRPr="00604876">
        <w:t xml:space="preserve"> 44, no. 1 (July 1, 2019): 117–59. https://doi.org/10.1162/isec_a_00354.</w:t>
      </w:r>
    </w:p>
    <w:p w14:paraId="2C276F59" w14:textId="6E300B9F" w:rsidR="00D86172" w:rsidRDefault="00604876" w:rsidP="00604876">
      <w:pPr>
        <w:pStyle w:val="Heading1"/>
      </w:pPr>
      <w:r>
        <w:fldChar w:fldCharType="end"/>
      </w:r>
    </w:p>
    <w:sectPr w:rsidR="00D86172">
      <w:footerReference w:type="default" r:id="rId10"/>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36172" w14:textId="77777777" w:rsidR="00B1722C" w:rsidRDefault="00B1722C">
      <w:pPr>
        <w:spacing w:line="240" w:lineRule="auto"/>
      </w:pPr>
      <w:r>
        <w:separator/>
      </w:r>
    </w:p>
  </w:endnote>
  <w:endnote w:type="continuationSeparator" w:id="0">
    <w:p w14:paraId="60DC7274" w14:textId="77777777" w:rsidR="00B1722C" w:rsidRDefault="00B17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5357" w14:textId="77777777" w:rsidR="00090CF0" w:rsidRDefault="00090CF0">
    <w:pPr>
      <w:spacing w:line="259" w:lineRule="auto"/>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CF6D7" w14:textId="77777777" w:rsidR="00B1722C" w:rsidRDefault="00B1722C">
      <w:r>
        <w:separator/>
      </w:r>
    </w:p>
  </w:footnote>
  <w:footnote w:type="continuationSeparator" w:id="0">
    <w:p w14:paraId="57DDD046" w14:textId="77777777" w:rsidR="00B1722C" w:rsidRDefault="00B1722C">
      <w:r>
        <w:continuationSeparator/>
      </w:r>
    </w:p>
  </w:footnote>
  <w:footnote w:id="1">
    <w:p w14:paraId="42459DA7" w14:textId="77777777" w:rsidR="00090CF0" w:rsidRDefault="00090CF0" w:rsidP="00EA137F">
      <w:pPr>
        <w:pStyle w:val="Footnotes"/>
      </w:pPr>
      <w:r>
        <w:rPr>
          <w:rStyle w:val="FootnoteCharacters"/>
        </w:rPr>
        <w:footnoteRef/>
      </w:r>
      <w:r>
        <w:rPr>
          <w:rStyle w:val="FootnoteCharacters"/>
        </w:rPr>
        <w:tab/>
      </w:r>
      <w:r>
        <w:t xml:space="preserve">NATO is not formally bound to assist Ukraine, but neither are they precluded from doing so.  The issue for the Kremlin was ensuring that Brussels remained passive, and any measure that might help was worth taking.  </w:t>
      </w:r>
    </w:p>
  </w:footnote>
  <w:footnote w:id="2">
    <w:p w14:paraId="03BDE5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{"citationID":"a2q1n5s1kce","properties":{"formattedCitation":"Michael Kofman et al., \\uc0\\u8220{}Lessons from Russia\\uc0\\u8217{}s Operations in Crimea and Eastern Ukraine\\uc0\\u8221{} (Santa Monica, CA: Rand Corporation, 2017), https://www.rand.org/pubs/research_reports/RR1498.html; Aaron Brantly, Nerea Cal, and Devlin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rPr>
          <w:rStyle w:val="FootnoteCharacters"/>
        </w:rPr>
        <w:fldChar w:fldCharType="separate"/>
      </w:r>
      <w:r w:rsidRPr="0089381D">
        <w:t>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w:t>
      </w:r>
      <w:r>
        <w:rPr>
          <w:rStyle w:val="FootnoteCharacters"/>
        </w:rPr>
        <w:fldChar w:fldCharType="end"/>
      </w:r>
      <w:r>
        <w:t xml:space="preserve"> </w:t>
      </w:r>
      <w:r>
        <w:fldChar w:fldCharType="begin"/>
      </w:r>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2019).","dontUpdate":true,"noteIndex":2},"citationItems":[{"id":15614,"uris":["http://zotero.org/users/2506258/items/GKUQJYQS"],"uri":["http://zotero.org/users/2506258/items/GKUQJYQS"],"itemData":{"id":15614,"type":"report","title":"Lessons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fldChar w:fldCharType="end"/>
      </w:r>
      <w:bookmarkStart w:id="0" w:name="__Fieldmark__186_673422073"/>
      <w:bookmarkEnd w:id="0"/>
    </w:p>
  </w:footnote>
  <w:footnote w:id="3">
    <w:p w14:paraId="2727183D" w14:textId="1F6D5251"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{"citationID":"a4ous3mnps","properties":{"formattedCitation":"Christopher Paul and Miriam Matthews, \\uc0\\u8220{}The Russian \\uc0\\u8216{}Firehose of Falsehood\\uc0\\u8217{}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Jones, “Going on the Offensive: A U.S. Strategy to Combat Russian Information Warfare,” Brief (Washington, D.C: Center for Strategic and International Studies, October 2018).","noteIndex":3},"citationItems":[{"id":3627,"uris":["http://zotero.org/users/2506258/items/TVHBFAV5"],"uri":["http://zotero.org/users/2506258/items/TVHBFAV5"],"itemData":{"id":3627,"type":"report","title":"The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D.C","language":"en","author":[{"family":"Jones","given":"Seth"}],"issued":{"date-parts":[["2018",10]]}}}],"schema":"https://github.com/citation-style-language/schema/raw/master/csl-citation.json"} </w:instrText>
      </w:r>
      <w:r>
        <w:rPr>
          <w:rStyle w:val="FootnoteCharacters"/>
        </w:rPr>
        <w:fldChar w:fldCharType="separate"/>
      </w:r>
      <w:r w:rsidR="0000434C" w:rsidRPr="0000434C">
        <w:t xml:space="preserve">Christopher Paul and Miriam Matthews, “The Russian ‘Firehose of Falsehood’ Propaganda Model: Why It Might Work and Options to Counter It” (Santa Monica, CA: Rand Corporation, 2016); Neil MacFarquhar, “A Powerful Russian Weapon: The Spread of False Stories,” </w:t>
      </w:r>
      <w:r w:rsidR="0000434C" w:rsidRPr="0000434C">
        <w:rPr>
          <w:i/>
          <w:iCs/>
        </w:rPr>
        <w:t>The New York Times</w:t>
      </w:r>
      <w:r w:rsidR="0000434C" w:rsidRPr="0000434C">
        <w:t>, October 12, 2016, sec. World, https://www.nytimes.com/2016/08/29/world/europe/russia-sweden-disinformation.html; Seth Jones, “Going on the Offensive: A U.S. Strategy to Combat Russian Information Warfare,” Brief (Washington, D.C: Center for Strategic and International Studies, October 2018).</w:t>
      </w:r>
      <w:r>
        <w:rPr>
          <w:rStyle w:val="FootnoteCharacters"/>
        </w:rPr>
        <w:fldChar w:fldCharType="end"/>
      </w:r>
    </w:p>
  </w:footnote>
  <w:footnote w:id="4">
    <w:p w14:paraId="21D9994E"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{"citationID":"a1shpv8qvvl","properties":{"formattedCitation":"Michael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4},"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rPr>
          <w:rStyle w:val="FootnoteCharacters"/>
        </w:rPr>
        <w:fldChar w:fldCharType="separate"/>
      </w:r>
      <w:r w:rsidRPr="0089381D">
        <w:t>Michael Fallon, “Speech Delivered by Secretary of State for Defence Sir Michael Fallon at the RUSI Landwarfare Conference.,” (Speech, June 28, 2017), https://www.gov.uk/government/speeches/rusi-landwarfare-conference.</w:t>
      </w:r>
      <w:r>
        <w:rPr>
          <w:rStyle w:val="FootnoteCharacters"/>
        </w:rPr>
        <w:fldChar w:fldCharType="end"/>
      </w:r>
    </w:p>
  </w:footnote>
  <w:footnote w:id="5">
    <w:p w14:paraId="33DB013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{"citationID":"atlkcf9mkc","properties":{"formattedCitation":"Andrew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14, no. 3 (2018): 282\\uc0\\u8211{}302, https://doi.org/10.1080/14799855.2017.1414044.","plainCitation":"Andrew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14, no. 3 (2018): 282–302, https://doi.org/10.1080/14799855.2017.1414044.","noteIndex":5},"citationItems":[{"id":15704,"uris":["http://zotero.org/users/2506258/items/KZKV7BC3"],"uri":["http://zotero.org/users/2506258/items/KZKV7BC3"],"itemData":{"id":15704,"type":"webpage","title":"Directing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rPr>
          <w:rStyle w:val="FootnoteCharacters"/>
        </w:rPr>
        <w:fldChar w:fldCharType="separate"/>
      </w:r>
      <w:r w:rsidRPr="0089381D">
        <w:t xml:space="preserve">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89381D">
        <w:rPr>
          <w:i/>
          <w:iCs/>
        </w:rPr>
        <w:t>Countering Coercion in Maritime Asia: The Theory and Practice of Gray Zone Deterrence</w:t>
      </w:r>
      <w:r w:rsidRPr="0089381D">
        <w:t xml:space="preserve"> (Rowman &amp; Littlefield, 2017); Van Jackson, “Tactics of Strategic Competition: Gray Zones, Redlines, and Conflict before War,” </w:t>
      </w:r>
      <w:r w:rsidRPr="0089381D">
        <w:rPr>
          <w:i/>
          <w:iCs/>
        </w:rPr>
        <w:t>Naval War College Review</w:t>
      </w:r>
      <w:r w:rsidRPr="0089381D">
        <w:t xml:space="preserve"> 70, no. 3 (2017): 39–61; Erik Lin-Greenberg, “Non-Traditional Security Dilemmas: Can Military Operations Other than War Intensify Security Competition in Asia?,” </w:t>
      </w:r>
      <w:r w:rsidRPr="0089381D">
        <w:rPr>
          <w:i/>
          <w:iCs/>
        </w:rPr>
        <w:t>Asian Security</w:t>
      </w:r>
      <w:r w:rsidRPr="0089381D">
        <w:t xml:space="preserve"> 14, no. 3 (2018): 282–302, https://doi.org/10.1080/14799855.2017.1414044.</w:t>
      </w:r>
      <w:r>
        <w:rPr>
          <w:rStyle w:val="FootnoteCharacters"/>
        </w:rPr>
        <w:fldChar w:fldCharType="end"/>
      </w:r>
    </w:p>
  </w:footnote>
  <w:footnote w:id="6">
    <w:p w14:paraId="73CA06B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{"citationID":"a69soirn2f","properties":{"formattedCitation":"Joseph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6},"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rPr>
          <w:rStyle w:val="FootnoteCharacters"/>
        </w:rPr>
        <w:fldChar w:fldCharType="separate"/>
      </w:r>
      <w:r w:rsidRPr="0089381D">
        <w:t>Joseph Dunford, “Gen. Dunford’s Remarks and Q&amp;A at the Center for Strategic and International Studies” (Remarks, March 29, 2016), http://www.jcs.mil/Media/Speeches/Article/707418/gen-dunfords-remarks-and-qa-at-the-center-for-strategic-and-international-studi/.</w:t>
      </w:r>
      <w:r>
        <w:rPr>
          <w:rStyle w:val="FootnoteCharacters"/>
        </w:rPr>
        <w:fldChar w:fldCharType="end"/>
      </w:r>
    </w:p>
  </w:footnote>
  <w:footnote w:id="7">
    <w:p w14:paraId="2871CBF1"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{"citationID":"a1vu7ntpgfd","properties":{"formattedCitation":"Kenneth Boulding, {\\i{}Conflict and Defense: A General Theory} (New York: Harper, 1962).","plainCitation":"Kenneth Boulding, Conflict and Defense: A General Theory (New York: Harper, 1962).","noteIndex":7},"citationItems":[{"id":10396,"uris":["http://zotero.org/users/2506258/items/KBT55NX8"],"uri":["http://zotero.org/users/2506258/items/KBT55NX8"],"itemData":{"id":10396,"type":"book","title":"Conflict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Kenneth Boulding, </w:t>
      </w:r>
      <w:r w:rsidRPr="0089381D">
        <w:rPr>
          <w:i/>
          <w:iCs/>
        </w:rPr>
        <w:t>Conflict and Defense: A General Theory</w:t>
      </w:r>
      <w:r w:rsidRPr="0089381D">
        <w:t xml:space="preserve"> (New York: Harper, 1962).</w:t>
      </w:r>
      <w:r>
        <w:rPr>
          <w:rStyle w:val="FootnoteCharacters"/>
        </w:rPr>
        <w:fldChar w:fldCharType="end"/>
      </w:r>
    </w:p>
  </w:footnote>
  <w:footnote w:id="8">
    <w:p w14:paraId="30A9AE73"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{"citationID":"a1c1vp8ea19","properties":{"formattedCitation":"Mark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https://doi.org/10.1080/09592318.2015.1129170.","noteIndex":8},"citationItems":[{"id":5732,"uris":["http://zotero.org/users/2506258/items/JV7U5BDW"],"uri":["http://zotero.org/users/2506258/items/JV7U5BDW"],"itemData":{"id":5732,"type":"article-journal","title":"Hybrid,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r>
        <w:rPr>
          <w:rStyle w:val="FootnoteCharacters"/>
        </w:rPr>
        <w:fldChar w:fldCharType="separate"/>
      </w:r>
      <w:r w:rsidRPr="0089381D">
        <w:t xml:space="preserve">Mark Galeotti, “Hybrid, Ambiguous, and Non-Linear? How New Is Russia’s ‘New Way of War’?,” </w:t>
      </w:r>
      <w:r w:rsidRPr="0089381D">
        <w:rPr>
          <w:i/>
          <w:iCs/>
        </w:rPr>
        <w:t>Small Wars &amp; Insurgencies</w:t>
      </w:r>
      <w:r w:rsidRPr="0089381D">
        <w:t xml:space="preserve"> 27, no. 2 (March 3, 2016): 282–301, https://doi.org/10.1080/09592318.2015.1129170.</w:t>
      </w:r>
      <w:r>
        <w:rPr>
          <w:rStyle w:val="FootnoteCharacters"/>
        </w:rPr>
        <w:fldChar w:fldCharType="end"/>
      </w:r>
    </w:p>
  </w:footnote>
  <w:footnote w:id="9">
    <w:p w14:paraId="789639B5" w14:textId="77777777" w:rsidR="00090CF0" w:rsidRDefault="00090CF0" w:rsidP="00EA137F">
      <w:pPr>
        <w:pStyle w:val="Footnotes"/>
      </w:pPr>
      <w:r>
        <w:rPr>
          <w:rStyle w:val="FootnoteCharacters"/>
        </w:rPr>
        <w:footnoteRef/>
      </w:r>
      <w:r>
        <w:rPr>
          <w:rStyle w:val="FootnoteCharacters"/>
        </w:rPr>
        <w:tab/>
      </w:r>
      <w:r>
        <w:t xml:space="preserve">On limited conflict, see </w:t>
      </w:r>
      <w:r>
        <w:fldChar w:fldCharType="begin"/>
      </w:r>
      <w:r>
        <w:instrText xml:space="preserve"> ADDIN ZOTERO_ITEM CSL_CITATION {"citationID":"a1ufq0lv9mf","properties":{"formattedCitation":"Henry Kissinger, \\uc0\\u8220{}Military Policy and Defense of the \\uc0\\u8216{}Grey Areas,\\uc0\\u8217{}\\uc0\\u8221{} {\\i{}Foreign Affairs} 33, no. 3 (1955): 416\\uc0\\u8211{}28, https://doi.org/10.2307/20031108; Thomas Schelling, \\uc0\\u8220{}Bargaining, Communication, and Limited War,\\uc0\\u8221{} {\\i{}Conflict Resolution} 1, no. 1 (1957): 19\\uc0\\u8211{}36; Robert Osgood, \\uc0\\u8220{}The Reappraisal of Limited War,\\uc0\\u8221{} {\\i{}The Adelphi Papers} 9, no. 54 (February 1969): 41\\uc0\\u8211{}54, https://doi.org/10.1080/05679326908448127; Stephen Rosen, \\uc0\\u8220{}Vietnam and the American Theory of Limited War,\\uc0\\u8221{} {\\i{}International Security} 7, no. 2 (1982): 83\\uc0\\u8211{}113, https://doi.org/10.2307/2538434; Joseph Lepgold and Brent Sterling, \\uc0\\u8220{}When Do States Fight Limited Wars?: Political Risk, Policy Risk, and Policy Choice,\\uc0\\u8221{} {\\i{}Security Studies} 9, no. 4 (June 1, 2000): 127\\uc0\\u8211{}66, https://doi.org/10.1080/09636410008429415; Patricia Sullivan, \\uc0\\u8220{}War Aims and War Outcomes Why Powerful States Lose Limited Wars,\\uc0\\u8221{} {\\i{}Journal of Conflict Resolution} 51, no. 3 (2007): 496\\uc0\\u8211{}524, https://doi.org/10.1177/0022002707300187; Robert Powell, \\uc0\\u8220{}Nuclear Brinkmanship, Limited War, and Military Power,\\uc0\\u8221{} {\\i{}International Organization} 69, no. 3 (June 2015): 589\\uc0\\u8211{}626, https://doi.org/10.1017/S0020818315000028.","plainCitation":"Henry Kissinger, “Military Policy and Defense of the ‘Grey Areas,’” Foreign Affairs 33, no. 3 (1955): 416–28, https://doi.org/10.2307/20031108; Thomas Schelling, “Bargaining, Communication, and Limited War,” Conflict Resolution 1, no. 1 (1957): 19–36; Robert Osgood, “The Reappraisal of Limited War,” The Adelphi Papers 9, no. 54 (February 1969): 41–54, https://doi.org/10.1080/05679326908448127; Stephen Rosen, “Vietnam and the American Theory of Limited War,” International Security 7, no. 2 (1982): 83–113, https://doi.org/10.2307/2538434; Joseph Lepgold and Brent Sterling, “When Do States Fight Limited Wars?: Political Risk, Policy Risk, and Policy Choice,” Security Studies 9, no. 4 (June 1, 2000): 127–66, https://doi.org/10.1080/09636410008429415; Patricia Sullivan, “War Aims and War Outcomes Why Powerful States Lose Limited Wars,” Journal of Conflict Resolution 51, no. 3 (2007): 496–524, https://doi.org/10.1177/0022002707300187; Robert Powell, “Nuclear Brinkmanship, Limited War, and Military Power,” International Organization 69, no. 3 (June 2015): 589–626, https://doi.org/10.1017/S0020818315000028.","noteIndex":9},"citationItems":[{"id":14067,"uris":["http://zotero.org/users/2506258/items/VLFRFPPZ"],"uri":["http://zotero.org/users/2506258/items/VLFRFPPZ"],"itemData":{"id":14067,"type":"article-journal","title":"Military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fldChar w:fldCharType="separate"/>
      </w:r>
      <w:r w:rsidRPr="0089381D">
        <w:t xml:space="preserve">Henry Kissinger, “Military Policy and Defense of the ‘Grey Areas,’” </w:t>
      </w:r>
      <w:r w:rsidRPr="0089381D">
        <w:rPr>
          <w:i/>
          <w:iCs/>
        </w:rPr>
        <w:t>Foreign Affairs</w:t>
      </w:r>
      <w:r w:rsidRPr="0089381D">
        <w:t xml:space="preserve"> 33, no. 3 (1955): 416–28, https://doi.org/10.2307/20031108; Thomas Schelling, “Bargaining, Communication, and Limited War,” </w:t>
      </w:r>
      <w:r w:rsidRPr="0089381D">
        <w:rPr>
          <w:i/>
          <w:iCs/>
        </w:rPr>
        <w:t>Conflict Resolution</w:t>
      </w:r>
      <w:r w:rsidRPr="0089381D">
        <w:t xml:space="preserve"> 1, no. 1 (1957): 19–36; Robert Osgood, “The Reappraisal of Limited War,” </w:t>
      </w:r>
      <w:r w:rsidRPr="0089381D">
        <w:rPr>
          <w:i/>
          <w:iCs/>
        </w:rPr>
        <w:t>The Adelphi Papers</w:t>
      </w:r>
      <w:r w:rsidRPr="0089381D">
        <w:t xml:space="preserve"> 9, no. 54 (February 1969): 41–54, https://doi.org/10.1080/05679326908448127; Stephen Rosen, “Vietnam and the American Theory of Limited War,” </w:t>
      </w:r>
      <w:r w:rsidRPr="0089381D">
        <w:rPr>
          <w:i/>
          <w:iCs/>
        </w:rPr>
        <w:t>International Security</w:t>
      </w:r>
      <w:r w:rsidRPr="0089381D">
        <w:t xml:space="preserve"> 7, no. 2 (1982): 83–113, https://doi.org/10.2307/2538434; Joseph Lepgold and Brent Sterling, “When Do States Fight Limited Wars?: Political Risk, Policy Risk, and Policy Choice,” </w:t>
      </w:r>
      <w:r w:rsidRPr="0089381D">
        <w:rPr>
          <w:i/>
          <w:iCs/>
        </w:rPr>
        <w:t>Security Studies</w:t>
      </w:r>
      <w:r w:rsidRPr="0089381D">
        <w:t xml:space="preserve"> 9, no. 4 (June 1, 2000): 127–66, https://doi.org/10.1080/09636410008429415; Patricia Sullivan, “War Aims and War Outcomes Why Powerful States Lose Limited Wars,” </w:t>
      </w:r>
      <w:r w:rsidRPr="0089381D">
        <w:rPr>
          <w:i/>
          <w:iCs/>
        </w:rPr>
        <w:t>Journal of Conflict Resolution</w:t>
      </w:r>
      <w:r w:rsidRPr="0089381D">
        <w:t xml:space="preserve"> 51, no. 3 (2007): 496–524, https://doi.org/10.1177/0022002707300187; Robert Powell, “Nuclear Brinkmanship, Limited War, and Military Power,” </w:t>
      </w:r>
      <w:r w:rsidRPr="0089381D">
        <w:rPr>
          <w:i/>
          <w:iCs/>
        </w:rPr>
        <w:t>International Organization</w:t>
      </w:r>
      <w:r w:rsidRPr="0089381D">
        <w:t xml:space="preserve"> 69, no. 3 (June 2015): 589–626, https://doi.org/10.1017/S0020818315000028.</w:t>
      </w:r>
      <w:r>
        <w:fldChar w:fldCharType="end"/>
      </w:r>
      <w:r>
        <w:t xml:space="preserve"> </w:t>
      </w:r>
      <w:r>
        <w:fldChar w:fldCharType="begin"/>
      </w:r>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dontUpdate":true,"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end"/>
      </w:r>
      <w:bookmarkStart w:id="2" w:name="__Fieldmark__523_673422073"/>
      <w:bookmarkEnd w:id="2"/>
      <w:r>
        <w:t xml:space="preserve">On salami tactics, see </w:t>
      </w:r>
      <w:r>
        <w:fldChar w:fldCharType="begin"/>
      </w:r>
      <w:r>
        <w:instrText xml:space="preserve"> ADDIN ZOTERO_ITEM CSL_CITATION {"citationID":"a166d14l68d","properties":{"formattedCitation":"Schelling, {\\i{}Arms and Influence}; Fearon, \\uc0\\u8220{}Bargaining Over Objects That Influence Future Bargaining Power\\uc0\\u8221{}; Freedman, \\uc0\\u8220{}Ukraine and the Art of Limited War\\uc0\\u8221{}; Metz, \\uc0\\u8220{}Foundation for a Low Intensity Conflict Strategy.\\uc0\\u8221{}","plainCitation":"Schelling, Arms and Influence; Fearon, “Bargaining Over Objects That Influence Future Bargaining Power”; Freedman, “Ukraine and the Art of Limited War”; Metz, “Foundation for a Low Intensity Conflict Strategy.”","noteIndex":9},"citationItems":[{"id":5900,"uris":["http://zotero.org/users/2506258/items/P7ABFQJU"],"uri":["http://zotero.org/users/2506258/items/P7ABFQJU"],"itemData":{"id":5900,"type":"book","title":"Arms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1521-0448","language":"en","author":[{"family":"Metz","given":"Steven"}],"issued":{"date-parts":[["1989",1]]}}}],"schema":"https://github.com/citation-style-language/schema/raw/master/csl-citation.json"} </w:instrText>
      </w:r>
      <w:r>
        <w:fldChar w:fldCharType="separate"/>
      </w:r>
      <w:r w:rsidRPr="0089381D">
        <w:t xml:space="preserve">Schelling, </w:t>
      </w:r>
      <w:r w:rsidRPr="0089381D">
        <w:rPr>
          <w:i/>
          <w:iCs/>
        </w:rPr>
        <w:t>Arms and Influence</w:t>
      </w:r>
      <w:r w:rsidRPr="0089381D">
        <w:t>; Fearon, “Bargaining Over Objects That Influence Future Bargaining Power”; Freedman, “Ukraine and the Art of Limited War”; Metz, “Foundation for a Low Intensity Conflict Strategy.”</w:t>
      </w:r>
      <w:r>
        <w:fldChar w:fldCharType="end"/>
      </w:r>
      <w:r>
        <w:t xml:space="preserve"> On low intensity conflict, see </w:t>
      </w:r>
      <w:r>
        <w:fldChar w:fldCharType="begin"/>
      </w:r>
      <w:r>
        <w:instrText xml:space="preserve"> ADDIN ZOTERO_ITEM CSL_CITATION {"citationID":"aktd5u0aff","properties":{"formattedCitation":"Freysinger, \\uc0\\u8220{}US Military and Economic Intervention in an International Context of Low-Intensity Conflict\\uc0\\u8221{}; Grant, \\uc0\\u8220{}Strategic Decisions\\uc0\\u8221{}; Turbiville, \\uc0\\u8220{}Preface.\\uc0\\u8221{}","plainCitation":"Freysinger, “US Military and Economic Intervention in an International Context of Low-Intensity Conflict”; Grant, “Strategic Decisions”; Turbiville, “Preface.”","noteIndex":9},"citationItems":[{"id":6631,"uris":["http://zotero.org/users/2506258/items/9EHUDMVM"],"uri":["http://zotero.org/users/2506258/items/9EHUDMVM"],"itemData":{"id":6631,"type":"article-journal","title":"US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r w:rsidRPr="0089381D">
        <w:t>Freysinger, “US Military and Economic Intervention in an International Context of Low-Intensity Conflict”; Grant, “Strategic Decisions”; Turbiville, “Preface.”</w:t>
      </w:r>
      <w:r>
        <w:fldChar w:fldCharType="end"/>
      </w:r>
      <w:r>
        <w:t xml:space="preserve"> On revolutionary war, see </w:t>
      </w:r>
      <w:r>
        <w:fldChar w:fldCharType="begin"/>
      </w:r>
      <w:r>
        <w:instrText xml:space="preserve"> ADDIN ZOTERO_ITEM CSL_CITATION {"citationID":"a1llku69tlq","properties":{"formattedCitation":"Shy and Collier, \\uc0\\u8220{}Revolutionary War.\\uc0\\u8221{}","plainCitation":"Shy and Collier, “Revolutionary War.”","noteIndex":9},"citationItems":[{"id":17471,"uris":["http://zotero.org/users/2506258/items/THP6FPY2"],"uri":["http://zotero.org/users/2506258/items/THP6FPY2"],"itemData":{"id":17471,"type":"chapter","title":"Revolutionary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r w:rsidRPr="0089381D">
        <w:t>Shy and Collier, “Revolutionary War.”</w:t>
      </w:r>
      <w:r>
        <w:fldChar w:fldCharType="end"/>
      </w:r>
      <w:r>
        <w:t xml:space="preserve"> On military operations other than war, see </w:t>
      </w:r>
      <w:r>
        <w:fldChar w:fldCharType="begin"/>
      </w:r>
      <w:r>
        <w:instrText xml:space="preserve"> ADDIN ZOTERO_ITEM CSL_CITATION {"citationID":"ab9qrocumk","properties":{"formattedCitation":"Kinross, \\uc0\\u8220{}Clausewitz and Low-Intensity Conflict\\uc0\\u8221{}; Lin-Greenberg, \\uc0\\u8220{}Non-Traditional Security Dilemmas.\\uc0\\u8221{}","plainCitation":"Kinross, “Clausewitz and Low-Intensity Conflict”; Lin-Greenberg, “Non-Traditional Security Dilemmas.”","noteIndex":9},"citationItems":[{"id":6616,"uris":["http://zotero.org/users/2506258/items/S6XVHKXS"],"uri":["http://zotero.org/users/2506258/items/S6XVHKXS"],"itemData":{"id":6616,"type":"article-journal","title":"Clausewitz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fldChar w:fldCharType="separate"/>
      </w:r>
      <w:r w:rsidRPr="0089381D">
        <w:t>Kinross, “Clausewitz and Low-Intensity Conflict”; Lin-Greenberg, “Non-Traditional Security Dilemmas.”</w:t>
      </w:r>
      <w:r>
        <w:fldChar w:fldCharType="end"/>
      </w:r>
      <w:r>
        <w:t xml:space="preserve"> On covert operations, see </w:t>
      </w:r>
      <w:r>
        <w:fldChar w:fldCharType="begin"/>
      </w:r>
      <w:r>
        <w:instrText xml:space="preserve"> ADDIN ZOTERO_ITEM CSL_CITATION {"citationID":"a6rftv8njm","properties":{"formattedCitation":"Johnson, \\uc0\\u8220{}On Drawing a Bright Line for Covert Operations\\uc0\\u8221{}; Carson, {\\i{}Secret Wars}; O\\uc0\\u8217{}Rourke, {\\i{}Covert Regime Change}.","plainCitation":"Johnson, “On Drawing a Bright Line for Covert Operations”; Carson, Secret Wars; O’Rourke, Covert Regime Change.","noteIndex":9},"citationItems":[{"id":10429,"uris":["http://zotero.org/users/2506258/items/PQJJM5JY"],"uri":["http://zotero.org/users/2506258/items/PQJJM5JY"],"itemData":{"id":10429,"type":"article-journal","title":"On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r w:rsidRPr="0089381D">
        <w:t xml:space="preserve">Johnson, “On Drawing a Bright Line for Covert Operations”; Carson, </w:t>
      </w:r>
      <w:r w:rsidRPr="0089381D">
        <w:rPr>
          <w:i/>
          <w:iCs/>
        </w:rPr>
        <w:t>Secret Wars</w:t>
      </w:r>
      <w:r w:rsidRPr="0089381D">
        <w:t xml:space="preserve">; O’Rourke, </w:t>
      </w:r>
      <w:r w:rsidRPr="0089381D">
        <w:rPr>
          <w:i/>
          <w:iCs/>
        </w:rPr>
        <w:t>Covert Regime Change</w:t>
      </w:r>
      <w:r w:rsidRPr="0089381D">
        <w:t>.</w:t>
      </w:r>
      <w:r>
        <w:fldChar w:fldCharType="end"/>
      </w:r>
      <w:r>
        <w:t xml:space="preserve"> On small wars, see </w:t>
      </w:r>
      <w:r>
        <w:fldChar w:fldCharType="begin"/>
      </w:r>
      <w:r>
        <w:instrText xml:space="preserve"> ADDIN ZOTERO_ITEM CSL_CITATION {"citationID":"aocof3jk7r","properties":{"formattedCitation":"Olson, \\uc0\\u8220{}The Concept of Small Wars.\\uc0\\u8221{}","plainCitation":"Olson, “The Concept of Small Wars.”","noteIndex":9},"citationItems":[{"id":6652,"uris":["http://zotero.org/users/2506258/items/B9UZPK9E"],"uri":["http://zotero.org/users/2506258/items/B9UZPK9E"],"itemData":{"id":6652,"type":"article-journal","title":"The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r w:rsidRPr="0089381D">
        <w:t>Olson, “The Concept of Small Wars.”</w:t>
      </w:r>
      <w:r>
        <w:fldChar w:fldCharType="end"/>
      </w:r>
      <w:r>
        <w:t xml:space="preserve"> On proxy wars, see </w:t>
      </w:r>
      <w:r>
        <w:fldChar w:fldCharType="begin"/>
      </w:r>
      <w:r>
        <w:instrText xml:space="preserve"> ADDIN ZOTERO_ITEM CSL_CITATION {"citationID":"a2fm195et9b","properties":{"formattedCitation":"Bar-Siman-Tov, \\uc0\\u8220{}The Strategy of War by Proxy\\uc0\\u8221{}; Brown, \\uc0\\u8220{}Purposes and Pitfalls of War by Proxy\\uc0\\u8221{}; Driscoll and Maliniak, \\uc0\\u8220{}With Friends Like These.\\uc0\\u8221{}","plainCitation":"Bar-Siman-Tov, “The Strategy of War by Proxy”; Brown, “Purposes and Pitfalls of War by Proxy”; Driscoll and Maliniak, “With Friends Like These.”","noteIndex":9},"citationItems":[{"id":14062,"uris":["http://zotero.org/users/2506258/items/M26S7S3E"],"uri":["http://zotero.org/users/2506258/items/M26S7S3E"],"itemData":{"id":14062,"type":"article-journal","title":"The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r w:rsidRPr="0089381D">
        <w:t>Bar-Siman-Tov, “The Strategy of War by Proxy”; Brown, “Purposes and Pitfalls of War by Proxy”; Driscoll and Maliniak, “With Friends Like These.”</w:t>
      </w:r>
      <w:r>
        <w:fldChar w:fldCharType="end"/>
      </w:r>
    </w:p>
  </w:footnote>
  <w:footnote w:id="10">
    <w:p w14:paraId="3630BCFB"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{"citationID":"a290rdgt6mr","properties":{"formattedCitation":"Loch Johnson, \\uc0\\u8220{}The Myths of America\\uc0\\u8217{}s Shadow War,\\uc0\\u8221{} {\\i{}The Atlantic}, January 31, 2013, https://www.theatlantic.com/international/archive/2013/01/the-myths-of-americas-shadow-war/272712/.","plainCitation":"Loch Johnson, “The Myths of America’s Shadow War,” The Atlantic, January 31, 2013, https://www.theatlantic.com/international/archive/2013/01/the-myths-of-americas-shadow-war/272712/.","noteIndex":10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rPr>
          <w:rStyle w:val="FootnoteCharacters"/>
        </w:rPr>
        <w:fldChar w:fldCharType="separate"/>
      </w:r>
      <w:r w:rsidRPr="0089381D">
        <w:t xml:space="preserve">Loch Johnson, “The Myths of America’s Shadow War,” </w:t>
      </w:r>
      <w:r w:rsidRPr="0089381D">
        <w:rPr>
          <w:i/>
          <w:iCs/>
        </w:rPr>
        <w:t>The Atlantic</w:t>
      </w:r>
      <w:r w:rsidRPr="0089381D">
        <w:t>, January 31, 2013, https://www.theatlantic.com/international/archive/2013/01/the-myths-of-americas-shadow-war/272712/.</w:t>
      </w:r>
      <w:r>
        <w:rPr>
          <w:rStyle w:val="FootnoteCharacters"/>
        </w:rPr>
        <w:fldChar w:fldCharType="end"/>
      </w:r>
    </w:p>
  </w:footnote>
  <w:footnote w:id="11">
    <w:p w14:paraId="06CEB62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{"citationID":"a2guaod3hll","properties":{"formattedCitation":"Joseph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rPr>
          <w:rStyle w:val="FootnoteCharacters"/>
        </w:rPr>
        <w:fldChar w:fldCharType="separate"/>
      </w:r>
      <w:r w:rsidRPr="0089381D">
        <w:t xml:space="preserve">Joseph Votel et al., “Unconventional Warfare in the Gray Zone,” </w:t>
      </w:r>
      <w:r w:rsidRPr="0089381D">
        <w:rPr>
          <w:i/>
          <w:iCs/>
        </w:rPr>
        <w:t>Joint Force Quarterly</w:t>
      </w:r>
      <w:r w:rsidRPr="0089381D">
        <w:t xml:space="preserve"> 80 (January 2016), http://ndupress.ndu.edu/Portals/68/Documents/jfq/jfq-80/jfq-80_101-109_Votel-et-al.pdf.</w:t>
      </w:r>
      <w:r>
        <w:rPr>
          <w:rStyle w:val="FootnoteCharacters"/>
        </w:rPr>
        <w:fldChar w:fldCharType="end"/>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dontUpdate":true,"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end"/>
      </w:r>
      <w:bookmarkStart w:id="3" w:name="__Fieldmark__689_673422073"/>
      <w:bookmarkEnd w:id="3"/>
    </w:p>
  </w:footnote>
  <w:footnote w:id="12">
    <w:p w14:paraId="432E2519"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{"citationID":"a1e11koe73n","properties":{"formattedCitation":"Belinda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12},"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Pr>
          <w:rStyle w:val="FootnoteCharacters"/>
        </w:rPr>
        <w:fldChar w:fldCharType="separate"/>
      </w:r>
      <w:r w:rsidRPr="0089381D">
        <w:t>Belinda Bragg, “Integration Report: Gray Zone Conflicts, Challenges, and Opportunities,” Strategic Multi-Layer Assessment (SMA) (Arlington, VA, July 2017), http://nsiteam.com/social/wp-content/uploads/2017/07/Integration-Report-Final-07-13-2017-R.pdf.</w:t>
      </w:r>
      <w:r>
        <w:rPr>
          <w:rStyle w:val="FootnoteCharacters"/>
        </w:rPr>
        <w:fldChar w:fldCharType="end"/>
      </w:r>
    </w:p>
  </w:footnote>
  <w:footnote w:id="13">
    <w:p w14:paraId="5C51F56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{"citationID":"a2n3tj424i1","properties":{"formattedCitation":"Richard Lebow, \\uc0\\u8220{}The Past and Future of War,\\uc0\\u8221{} {\\i{}International Relations} 24, no. 3 (September 1, 2010): 243\\uc0\\u8211{}70, https://doi.org/10.1177/0047117810377277.","plainCitation":"Richard Lebow, “The Past and Future of War,” International Relations 24, no. 3 (September 1, 2010): 243–70, https://doi.org/10.1177/0047117810377277.","noteIndex":13},"citationItems":[{"id":6933,"uris":["http://zotero.org/users/2506258/items/E2IQU78U"],"uri":["http://zotero.org/users/2506258/items/E2IQU78U"],"itemData":{"id":6933,"type":"article-journal","title":"The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Relations","language":"en","author":[{"family":"Lebow","given":"Richard"}],"issued":{"date-parts":[["2010",9,1]]}}}],"schema":"https://github.com/citation-style-language/schema/raw/master/csl-citation.json"} </w:instrText>
      </w:r>
      <w:r>
        <w:rPr>
          <w:rStyle w:val="FootnoteCharacters"/>
        </w:rPr>
        <w:fldChar w:fldCharType="separate"/>
      </w:r>
      <w:r w:rsidRPr="0089381D">
        <w:t xml:space="preserve">Richard Lebow, “The Past and Future of War,” </w:t>
      </w:r>
      <w:r w:rsidRPr="0089381D">
        <w:rPr>
          <w:i/>
          <w:iCs/>
        </w:rPr>
        <w:t>International Relations</w:t>
      </w:r>
      <w:r w:rsidRPr="0089381D">
        <w:t xml:space="preserve"> 24, no. 3 (September 1, 2010): 243–70, https://doi.org/10.1177/0047117810377277.</w:t>
      </w:r>
      <w:r>
        <w:rPr>
          <w:rStyle w:val="FootnoteCharacters"/>
        </w:rPr>
        <w:fldChar w:fldCharType="end"/>
      </w:r>
    </w:p>
  </w:footnote>
  <w:footnote w:id="14">
    <w:p w14:paraId="4F3FD7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{"citationID":"a2493afn1iu","properties":{"formattedCitation":"George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14},"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Pr>
          <w:rStyle w:val="FootnoteCharacters"/>
        </w:rPr>
        <w:fldChar w:fldCharType="separate"/>
      </w:r>
      <w:r w:rsidRPr="0089381D">
        <w:t>George Kennan, “269. Policy Planning Staff Memorandum,” Records of the National Security Council NSC 10/2 (Washington: National Archives and Records Administration, May 4, 1948), http://academic.brooklyn.cuny.edu/history/johnson/65ciafounding3.htm.</w:t>
      </w:r>
      <w:r>
        <w:rPr>
          <w:rStyle w:val="FootnoteCharacters"/>
        </w:rPr>
        <w:fldChar w:fldCharType="end"/>
      </w:r>
    </w:p>
  </w:footnote>
  <w:footnote w:id="15">
    <w:p w14:paraId="5F483D21"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{"citationID":"a590iab7p0","properties":{"formattedCitation":"Osgood,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https://doi.org/10.2307/2669259.","noteIndex":15},"citationItems":[{"id":14060,"uris":["http://zotero.org/users/2506258/items/ILDNW8W7"],"uri":["http://zotero.org/users/2506258/items/ILDNW8W7"],"itemData":{"id":14060,"type":"article-journal","title":"The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r>
        <w:rPr>
          <w:rStyle w:val="FootnoteCharacters"/>
        </w:rPr>
        <w:fldChar w:fldCharType="separate"/>
      </w:r>
      <w:r w:rsidRPr="0089381D">
        <w:t xml:space="preserve">Osgood, “The Reappraisal of Limited War”; R. Harrison Wagner, “Bargaining and War,” </w:t>
      </w:r>
      <w:r w:rsidRPr="0089381D">
        <w:rPr>
          <w:i/>
          <w:iCs/>
        </w:rPr>
        <w:t>American Journal of Political Science</w:t>
      </w:r>
      <w:r w:rsidRPr="0089381D">
        <w:t xml:space="preserve"> 44, no. 3 (2000): 469–84, https://doi.org/10.2307/2669259.</w:t>
      </w:r>
      <w:r>
        <w:rPr>
          <w:rStyle w:val="FootnoteCharacters"/>
        </w:rPr>
        <w:fldChar w:fldCharType="end"/>
      </w:r>
    </w:p>
  </w:footnote>
  <w:footnote w:id="16">
    <w:p w14:paraId="715DF5A6"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{"citationID":"a8129v8bt5","properties":{"formattedCitation":"Kissinger,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Kissinger, “Strategy and Organization,” Foreign Affairs 35, no. 3 (1957): 379–94, https://doi.org/10.2307/20031235.","noteIndex":16},"citationItems":[{"id":14067,"uris":["http://zotero.org/users/2506258/items/VLFRFPPZ"],"uri":["http://zotero.org/users/2506258/items/VLFRFPPZ"],"itemData":{"id":14067,"type":"article-journal","title":"Military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rPr>
          <w:rStyle w:val="FootnoteCharacters"/>
        </w:rPr>
        <w:fldChar w:fldCharType="separate"/>
      </w:r>
      <w:r w:rsidRPr="0089381D">
        <w:t xml:space="preserve">Kissinger, “Military Policy and Defense of the ‘Grey Areas’”; Bernard Brodie, “More About Limited War,” ed. RN Rear Admiral Sir Anthony W. Buzzard, Robert E. Osgood, and P. M. S. Blackett, </w:t>
      </w:r>
      <w:r w:rsidRPr="0089381D">
        <w:rPr>
          <w:i/>
          <w:iCs/>
        </w:rPr>
        <w:t>World Politics</w:t>
      </w:r>
      <w:r w:rsidRPr="0089381D">
        <w:t xml:space="preserve"> 10, no. 1 (1957): 112–22, https://doi.org/10.2307/2009228; Henry Kissinger, “Strategy and Organization,” </w:t>
      </w:r>
      <w:r w:rsidRPr="0089381D">
        <w:rPr>
          <w:i/>
          <w:iCs/>
        </w:rPr>
        <w:t>Foreign Affairs</w:t>
      </w:r>
      <w:r w:rsidRPr="0089381D">
        <w:t xml:space="preserve"> 35, no. 3 (1957): 379–94, https://doi.org/10.2307/20031235.</w:t>
      </w:r>
      <w:r>
        <w:rPr>
          <w:rStyle w:val="FootnoteCharacters"/>
        </w:rPr>
        <w:fldChar w:fldCharType="end"/>
      </w:r>
    </w:p>
  </w:footnote>
  <w:footnote w:id="17">
    <w:p w14:paraId="3CA5D94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{"citationID":"a2b41r834sr","properties":{"formattedCitation":"Stewart Woodman, \\uc0\\u8220{}Defining Limited Conflict: A Case of Mistaken Identity,\\uc0\\u8221{} {\\i{}Small Wars &amp; Insurgencies} 2, no. 3 (December 1, 1991): 24\\uc0\\u8211{}43, https://doi.org/10.1080/09592319108422992.","plainCitation":"Stewart Woodman, “Defining Limited Conflict: A Case of Mistaken Identity,” Small Wars &amp; Insurgencies 2, no. 3 (December 1, 1991): 24–43, https://doi.org/10.1080/09592319108422992.","noteIndex":17},"citationItems":[{"id":6649,"uris":["http://zotero.org/users/2506258/items/3SRW8KE3"],"uri":["http://zotero.org/users/2506258/items/3SRW8KE3"],"itemData":{"id":6649,"type":"article-journal","title":"Defining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rPr>
          <w:rStyle w:val="FootnoteCharacters"/>
        </w:rPr>
        <w:fldChar w:fldCharType="separate"/>
      </w:r>
      <w:r w:rsidRPr="0089381D">
        <w:t xml:space="preserve">Stewart Woodman, “Defining Limited Conflict: A Case of Mistaken Identity,” </w:t>
      </w:r>
      <w:r w:rsidRPr="0089381D">
        <w:rPr>
          <w:i/>
          <w:iCs/>
        </w:rPr>
        <w:t>Small Wars &amp; Insurgencies</w:t>
      </w:r>
      <w:r w:rsidRPr="0089381D">
        <w:t xml:space="preserve"> 2, no. 3 (December 1, 1991): 24–43, https://doi.org/10.1080/09592319108422992.</w:t>
      </w:r>
      <w:r>
        <w:rPr>
          <w:rStyle w:val="FootnoteCharacters"/>
        </w:rPr>
        <w:fldChar w:fldCharType="end"/>
      </w:r>
    </w:p>
  </w:footnote>
  <w:footnote w:id="18">
    <w:p w14:paraId="418CD833"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{"citationID":"a1sssojspg0","properties":{"formattedCitation":"Schelling, \\uc0\\u8220{}Bargaining, Communication, and Limited War.\\uc0\\u8221{}","plainCitation":"Schelling, “Bargaining, Communication, and Limited War.”","noteIndex":18},"citationItems":[{"id":5757,"uris":["http://zotero.org/users/2506258/items/E5E4AAR5"],"uri":["http://zotero.org/users/2506258/items/E5E4AAR5"],"itemData":{"id":5757,"type":"article-journal","title":"Bargaining,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Resolution","author":[{"family":"Schelling","given":"Thomas"}],"issued":{"date-parts":[["1957"]]}}}],"schema":"https://github.com/citation-style-language/schema/raw/master/csl-citation.json"} </w:instrText>
      </w:r>
      <w:r>
        <w:rPr>
          <w:rStyle w:val="FootnoteCharacters"/>
        </w:rPr>
        <w:fldChar w:fldCharType="separate"/>
      </w:r>
      <w:r w:rsidRPr="0089381D">
        <w:t>Schelling, “Bargaining, Communication, and Limited War.”</w:t>
      </w:r>
      <w:r>
        <w:rPr>
          <w:rStyle w:val="FootnoteCharacters"/>
        </w:rPr>
        <w:fldChar w:fldCharType="end"/>
      </w:r>
    </w:p>
  </w:footnote>
  <w:footnote w:id="19">
    <w:p w14:paraId="534EF5D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{"citationID":"a22s6nb9865","properties":{"formattedCitation":"Michael Carver, \\uc0\\u8220{}Conventional Warfare in the Nuclear Age,\\uc0\\u8221{} in {\\i{}Makers of Modern Strategy from Machiavelli to the Nuclear Age.}, ed. Peter Paret, Gordon Craig, and Felix Gilbert (New Jersey: Princeton University Press, 1986), 779\\uc0\\u8211{}814.","plainCitation":"Michael Carver, “Conventional Warfare in the Nuclear Age,” in Makers of Modern Strategy from Machiavelli to the Nuclear Age., ed. Peter Paret, Gordon Craig, and Felix Gilbert (New Jersey: Princeton University Press, 1986), 779–814.","noteIndex":19},"citationItems":[{"id":14070,"uris":["http://zotero.org/users/2506258/items/D8EGQLBV"],"uri":["http://zotero.org/users/2506258/items/D8EGQLBV"],"itemData":{"id":14070,"type":"chapter","title":"Conventional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rPr>
          <w:rStyle w:val="FootnoteCharacters"/>
        </w:rPr>
        <w:fldChar w:fldCharType="separate"/>
      </w:r>
      <w:r w:rsidRPr="0089381D">
        <w:t xml:space="preserve">Michael Carver, “Conventional Warfare in the Nuclear Age,” in </w:t>
      </w:r>
      <w:r w:rsidRPr="0089381D">
        <w:rPr>
          <w:i/>
          <w:iCs/>
        </w:rPr>
        <w:t>Makers of Modern Strategy from Machiavelli to the Nuclear Age.</w:t>
      </w:r>
      <w:r w:rsidRPr="0089381D">
        <w:t>, ed. Peter Paret, Gordon Craig, and Felix Gilbert (New Jersey: Princeton University Press, 1986), 779–814.</w:t>
      </w:r>
      <w:r>
        <w:rPr>
          <w:rStyle w:val="FootnoteCharacters"/>
        </w:rPr>
        <w:fldChar w:fldCharType="end"/>
      </w:r>
    </w:p>
  </w:footnote>
  <w:footnote w:id="20">
    <w:p w14:paraId="173A26BA"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{"citationID":"a1luomss0a9","properties":{"formattedCitation":"Glenn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rPr>
          <w:rStyle w:val="FootnoteCharacters"/>
        </w:rPr>
        <w:fldChar w:fldCharType="separate"/>
      </w:r>
      <w:r w:rsidRPr="0089381D">
        <w:t xml:space="preserve">Glenn Snyder, “The Balance of Power and the Balance of Terror,” in </w:t>
      </w:r>
      <w:r w:rsidRPr="0089381D">
        <w:rPr>
          <w:i/>
          <w:iCs/>
        </w:rPr>
        <w:t>World in Crisis: Readings in International Relations</w:t>
      </w:r>
      <w:r w:rsidRPr="0089381D">
        <w:t xml:space="preserve">, ed. Frederick Hartmann (New York: The Macmillan Company, 1965), 180–91; Robert Jervis, </w:t>
      </w:r>
      <w:r w:rsidRPr="0089381D">
        <w:rPr>
          <w:i/>
          <w:iCs/>
        </w:rPr>
        <w:t>The Illogic of American Nuclear Strategy</w:t>
      </w:r>
      <w:r w:rsidRPr="0089381D">
        <w:t xml:space="preserve"> (Cornell University Press, 1984).</w:t>
      </w:r>
      <w:r>
        <w:rPr>
          <w:rStyle w:val="FootnoteCharacters"/>
        </w:rPr>
        <w:fldChar w:fldCharType="end"/>
      </w:r>
    </w:p>
  </w:footnote>
  <w:footnote w:id="21">
    <w:p w14:paraId="2CEC7D72"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{"citationID":"al54en82g3","properties":{"formattedCitation":"Snyder, \\uc0\\u8220{}The Balance of Power and the Balance of Terror.\\uc0\\u8221{}","plainCitation":"Snyder, “The Balance of Power and the Balance of Terror.”","noteIndex":21},"citationItems":[{"id":5744,"uris":["http://zotero.org/users/2506258/items/MPUN27KV"],"uri":["http://zotero.org/users/2506258/items/MPUN27KV"],"itemData":{"id":5744,"type":"chapter","title":"The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rPr>
          <w:rStyle w:val="FootnoteCharacters"/>
        </w:rPr>
        <w:fldChar w:fldCharType="separate"/>
      </w:r>
      <w:r w:rsidRPr="0089381D">
        <w:t>Snyder, “The Balance of Power and the Balance of Terror.”</w:t>
      </w:r>
      <w:r>
        <w:rPr>
          <w:rStyle w:val="FootnoteCharacters"/>
        </w:rPr>
        <w:fldChar w:fldCharType="end"/>
      </w:r>
    </w:p>
  </w:footnote>
  <w:footnote w:id="22">
    <w:p w14:paraId="07954A05" w14:textId="376CB9A2"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{"citationID":"a13ika4s60b","properties":{"formattedCitation":"Richard Russell, \\uc0\\u8220{}The Nuclear Peace Fallacy: How Deterrence Can Fail,\\uc0\\u8221{} {\\i{}Journal of Strategic Studies} 26, no. 1 (March 1, 2003): 136\\uc0\\u8211{}55, https://doi.org/10.1080/01402390308559311; Scott Sagan and Kenneth Waltz, {\\i{}The Spread of Nuclear Weapons: A Debate Renewed} (Norton, 2003); S. Paul Kapur, {\\i{}Dangerous Deterrent: Nuclear Weapons Proliferation and Conflict in South Asia} (Stanford University Press, 2007).","plainCitation":"Richard Russell, “The Nuclear Peace Fallacy: How Deterrence Can Fail,” Journal of Strategic Studies 26, no. 1 (March 1, 2003): 136–55, https://doi.org/10.1080/01402390308559311; Scott Sagan and Kenneth Waltz, The Spread of Nuclear Weapons: A Debate Renewed (Norton, 2003); S. Paul Kapur, Dangerous Deterrent: Nuclear Weapons Proliferation and Conflict in South Asia (Stanford University Press, 2007).","noteIndex":22},"citationItems":[{"id":6779,"uris":["http://zotero.org/users/2506258/items/9ZHHS6PX"],"uri":["http://zotero.org/users/2506258/items/9ZHHS6PX"],"itemData":{"id":6779,"type":"article-journal","title":"The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r>
        <w:rPr>
          <w:rStyle w:val="FootnoteCharacters"/>
        </w:rPr>
        <w:fldChar w:fldCharType="separate"/>
      </w:r>
      <w:r w:rsidRPr="0089381D">
        <w:t xml:space="preserve">Richard Russell, “The Nuclear Peace Fallacy: How Deterrence Can Fail,” </w:t>
      </w:r>
      <w:r w:rsidRPr="0089381D">
        <w:rPr>
          <w:i/>
          <w:iCs/>
        </w:rPr>
        <w:t>Journal of Strategic Studies</w:t>
      </w:r>
      <w:r w:rsidRPr="0089381D">
        <w:t xml:space="preserve"> 26, no. 1 (March 1, 2003): 136–55, https://doi.org/10.1080/01402390308559311; Scott Sagan and Kenneth Waltz, </w:t>
      </w:r>
      <w:r w:rsidRPr="0089381D">
        <w:rPr>
          <w:i/>
          <w:iCs/>
        </w:rPr>
        <w:t>The Spread of Nuclear Weapons: A Debate Renewed</w:t>
      </w:r>
      <w:r w:rsidRPr="0089381D">
        <w:t xml:space="preserve"> (Norton, 2003); S. Paul Kapur, </w:t>
      </w:r>
      <w:r w:rsidRPr="0089381D">
        <w:rPr>
          <w:i/>
          <w:iCs/>
        </w:rPr>
        <w:t>Dangerous Deterrent: Nuclear Weapons Proliferation and Conflict in South Asia</w:t>
      </w:r>
      <w:r w:rsidRPr="0089381D">
        <w:t xml:space="preserve"> (Stanford University Press, 2007).</w:t>
      </w:r>
      <w:r>
        <w:rPr>
          <w:rStyle w:val="FootnoteCharacters"/>
        </w:rPr>
        <w:fldChar w:fldCharType="end"/>
      </w:r>
    </w:p>
  </w:footnote>
  <w:footnote w:id="23">
    <w:p w14:paraId="05455FDC"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{"citationID":"a1277nbvjb0","properties":{"formattedCitation":"Sir Basil Henry Liddell Hart, {\\i{}Strategy: The Indirect Approach} (Faber &amp; Faber, 1954).","plainCitation":"Sir Basil Henry Liddell Hart, Strategy: The Indirect Approach (Faber &amp; Faber, 1954).","noteIndex":23},"citationItems":[{"id":14048,"uris":["http://zotero.org/users/2506258/items/KVCWYUFB"],"uri":["http://zotero.org/users/2506258/items/KVCWYUFB"],"itemData":{"id":14048,"type":"book","title":"Strategy: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rPr>
          <w:rStyle w:val="FootnoteCharacters"/>
        </w:rPr>
        <w:fldChar w:fldCharType="separate"/>
      </w:r>
      <w:r w:rsidRPr="0089381D">
        <w:t xml:space="preserve">Sir Basil Henry Liddell Hart, </w:t>
      </w:r>
      <w:r w:rsidRPr="0089381D">
        <w:rPr>
          <w:i/>
          <w:iCs/>
        </w:rPr>
        <w:t>Strategy: The Indirect Approach</w:t>
      </w:r>
      <w:r w:rsidRPr="0089381D">
        <w:t xml:space="preserve"> (Faber &amp; Faber, 1954).</w:t>
      </w:r>
      <w:r>
        <w:rPr>
          <w:rStyle w:val="FootnoteCharacters"/>
        </w:rPr>
        <w:fldChar w:fldCharType="end"/>
      </w:r>
    </w:p>
  </w:footnote>
  <w:footnote w:id="24">
    <w:p w14:paraId="517B3DA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{"citationID":"a1cjrug9hje","properties":{"formattedCitation":"Robert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25, no. 3\\uc0\\u8211{}4 (2018): 223\\uc0\\u8211{}47,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181\\uc0\\u8211{}98.","plainCitation":"Robert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25, no. 3–4 (2018): 223–47,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181–98.","noteIndex":24},"citationItems":[{"id":9252,"uris":["http://zotero.org/users/2506258/items/DH8QBN7T"],"uri":["http://zotero.org/users/2506258/items/DH8QBN7T"],"itemData":{"id":9252,"type":"article-journal","title":"Evaluating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id":16659,"uris":["http://zotero.org/users/2506258/items/C9BLYJ5W"],"uri":["http://zotero.org/users/2506258/items/C9BLYJ5W"],"itemData":{"id":16659,"type":"article-journal","title":"Nuclear weapons, existential threats, and the stability–instability paradox","container-title":"The Nonproliferation Review","page":"223-247","volume":"25","issue":"3-4","source":"Taylor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r>
        <w:rPr>
          <w:rStyle w:val="FootnoteCharacters"/>
        </w:rPr>
        <w:fldChar w:fldCharType="separate"/>
      </w:r>
      <w:r w:rsidRPr="0089381D">
        <w:t xml:space="preserve">Robert Rauchhaus, “Evaluating the Nuclear Peace Hypothesis: A Quantitative Approach,” </w:t>
      </w:r>
      <w:r w:rsidRPr="0089381D">
        <w:rPr>
          <w:i/>
          <w:iCs/>
        </w:rPr>
        <w:t>Journal of Conflict Resolution</w:t>
      </w:r>
      <w:r w:rsidRPr="0089381D">
        <w:t xml:space="preserve"> 53, no. 2 (January 27, 2009): 258–77, https://doi.org/10.1177/0022002708330387; Bryan Early and Victor Asal, “Nuclear Weapons, Existential Threats, and the Stability–Instability Paradox,” </w:t>
      </w:r>
      <w:r w:rsidRPr="0089381D">
        <w:rPr>
          <w:i/>
          <w:iCs/>
        </w:rPr>
        <w:t>The Nonproliferation Review</w:t>
      </w:r>
      <w:r w:rsidRPr="0089381D">
        <w:t xml:space="preserve"> 25, no. 3–4 (2018): 223–47, https://doi.org/10.1080/10736700.2018.1518757; Sumit Ganguly, “Indo‐Pakistani Nuclear Issues and the Stability/Instability Paradox,” </w:t>
      </w:r>
      <w:r w:rsidRPr="0089381D">
        <w:rPr>
          <w:i/>
          <w:iCs/>
        </w:rPr>
        <w:t>Studies in Conflict &amp; Terrorism</w:t>
      </w:r>
      <w:r w:rsidRPr="0089381D">
        <w:t xml:space="preserve"> 18, no. 4 (January 1, 1995): 325–34, https://doi.org/10.1080/10576109508435989; V.R. Raghavan, “Limited War and Nuclear Escalation in South Asia,” </w:t>
      </w:r>
      <w:r w:rsidRPr="0089381D">
        <w:rPr>
          <w:i/>
          <w:iCs/>
        </w:rPr>
        <w:t>The Nonproliferation Review</w:t>
      </w:r>
      <w:r w:rsidRPr="0089381D">
        <w:t xml:space="preserve"> 8, no. 3 (September 2001): 82–98, https://doi.org/10.1080/10736700108436865; Terence Roehrig, “North Korea, Nuclear Weapons, and the Stability-Instability Paradox,” </w:t>
      </w:r>
      <w:r w:rsidRPr="0089381D">
        <w:rPr>
          <w:i/>
          <w:iCs/>
        </w:rPr>
        <w:t>Korean Journal of Defense Analysis</w:t>
      </w:r>
      <w:r w:rsidRPr="0089381D">
        <w:t xml:space="preserve"> 28, no. 2 (June 2016): 181–98.</w:t>
      </w:r>
      <w:r>
        <w:rPr>
          <w:rStyle w:val="FootnoteCharacters"/>
        </w:rPr>
        <w:fldChar w:fldCharType="end"/>
      </w:r>
    </w:p>
  </w:footnote>
  <w:footnote w:id="25">
    <w:p w14:paraId="7FFA365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{"citationID":"a23a32ecghs","properties":{"formattedCitation":"Schelling, {\\i{}Arms and Influence}.","plainCitation":"Schelling, Arms and Influence.","noteIndex":25},"citationItems":[{"id":5900,"uris":["http://zotero.org/users/2506258/items/P7ABFQJU"],"uri":["http://zotero.org/users/2506258/items/P7ABFQJU"],"itemData":{"id":5900,"type":"book","title":"Arms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Pr>
          <w:rStyle w:val="FootnoteCharacters"/>
        </w:rPr>
        <w:fldChar w:fldCharType="separate"/>
      </w:r>
      <w:r w:rsidRPr="0089381D">
        <w:t xml:space="preserve">Schelling, </w:t>
      </w:r>
      <w:r w:rsidRPr="0089381D">
        <w:rPr>
          <w:i/>
          <w:iCs/>
        </w:rPr>
        <w:t>Arms and Influence</w:t>
      </w:r>
      <w:r w:rsidRPr="0089381D">
        <w:t>.</w:t>
      </w:r>
      <w:r>
        <w:rPr>
          <w:rStyle w:val="FootnoteCharacters"/>
        </w:rPr>
        <w:fldChar w:fldCharType="end"/>
      </w:r>
    </w:p>
  </w:footnote>
  <w:footnote w:id="26">
    <w:p w14:paraId="3D03AAA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{"citationID":"a1geflv43s5","properties":{"formattedCitation":"Peter Schram, \\uc0\\u8220{}Better Living Through Hassling: How to Prevent a Preventative War\\uc0\\u8221{} (Working Paper, 2019).","plainCitation":"Peter Schram, “Better Living Through Hassling: How to Prevent a Preventative War” (Working Paper, 2019).","noteIndex":26},"citationItems":[{"id":8315,"uris":["http://zotero.org/users/2506258/items/9DA9NTZD"],"uri":["http://zotero.org/users/2506258/items/9DA9NTZD"],"itemData":{"id":8315,"type":"manuscript","title":"Better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rPr>
          <w:rStyle w:val="FootnoteCharacters"/>
        </w:rPr>
        <w:fldChar w:fldCharType="separate"/>
      </w:r>
      <w:r w:rsidRPr="0089381D">
        <w:t>Peter Schram, “Better Living Through Hassling: How to Prevent a Preventative War” (Working Paper, 2019).</w:t>
      </w:r>
      <w:r>
        <w:rPr>
          <w:rStyle w:val="FootnoteCharacters"/>
        </w:rPr>
        <w:fldChar w:fldCharType="end"/>
      </w:r>
    </w:p>
  </w:footnote>
  <w:footnote w:id="27">
    <w:p w14:paraId="50B6BD0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{"citationID":"a13f16bqnov","properties":{"formattedCitation":"Powell, \\uc0\\u8220{}Nuclear Brinkmanship, Limited War, and Military Power.\\uc0\\u8221{}","plainCitation":"Powell, “Nuclear Brinkmanship, Limited War, and Military Power.”","noteIndex":27},"citationItems":[{"id":1138,"uris":["http://zotero.org/users/2506258/items/V8R47VRD"],"uri":["http://zotero.org/users/2506258/items/V8R47VRD"],"itemData":{"id":1138,"type":"article-journal","title":"Nuclear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rPr>
          <w:rStyle w:val="FootnoteCharacters"/>
        </w:rPr>
        <w:fldChar w:fldCharType="separate"/>
      </w:r>
      <w:r w:rsidRPr="0089381D">
        <w:t>Powell, “Nuclear Brinkmanship, Limited War, and Military Power.”</w:t>
      </w:r>
      <w:r>
        <w:rPr>
          <w:rStyle w:val="FootnoteCharacters"/>
        </w:rPr>
        <w:fldChar w:fldCharType="end"/>
      </w:r>
    </w:p>
  </w:footnote>
  <w:footnote w:id="28">
    <w:p w14:paraId="0D7EB91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{"citationID":"a2dnlcb5773","properties":{"formattedCitation":"Alexander George and Richard Smoke, {\\i{}Deterrence in American Foreign Policy: Theory and Practice} (Columbia University Press, 1974); Alexander George and Richard Smoke, \\uc0\\u8220{}Deterrence and Foreign Policy,\\uc0\\u8221{} {\\i{}World Politics} 41, no. 2 (1989): 170\\uc0\\u8211{}82, https://doi.org/10.2307/2010406.","plainCitation":"Alexander George and Richard Smoke, Deterrence in American Foreign Policy: Theory and Practice (Columbia University Press, 1974); Alexander George and Richard Smoke, “Deterrence and Foreign Policy,” World Politics 41, no. 2 (1989): 170–82, https://doi.org/10.2307/2010406.","noteIndex":28},"citationItems":[{"id":6878,"uris":["http://zotero.org/users/2506258/items/8H8C5K3N"],"uri":["http://zotero.org/users/2506258/items/8H8C5K3N"],"itemData":{"id":6878,"type":"book","title":"Deterrence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 </w:instrText>
      </w:r>
      <w:r>
        <w:rPr>
          <w:rStyle w:val="FootnoteCharacters"/>
        </w:rPr>
        <w:fldChar w:fldCharType="separate"/>
      </w:r>
      <w:r w:rsidRPr="0089381D">
        <w:t xml:space="preserve">Alexander George and Richard Smoke, </w:t>
      </w:r>
      <w:r w:rsidRPr="0089381D">
        <w:rPr>
          <w:i/>
          <w:iCs/>
        </w:rPr>
        <w:t>Deterrence in American Foreign Policy: Theory and Practice</w:t>
      </w:r>
      <w:r w:rsidRPr="0089381D">
        <w:t xml:space="preserve"> (Columbia University Press, 1974); Alexander George and Richard Smoke, “Deterrence and Foreign Policy,” </w:t>
      </w:r>
      <w:r w:rsidRPr="0089381D">
        <w:rPr>
          <w:i/>
          <w:iCs/>
        </w:rPr>
        <w:t>World Politics</w:t>
      </w:r>
      <w:r w:rsidRPr="0089381D">
        <w:t xml:space="preserve"> 41, no. 2 (1989): 170–82, https://doi.org/10.2307/2010406.</w:t>
      </w:r>
      <w:r>
        <w:rPr>
          <w:rStyle w:val="FootnoteCharacters"/>
        </w:rPr>
        <w:fldChar w:fldCharType="end"/>
      </w:r>
    </w:p>
  </w:footnote>
  <w:footnote w:id="29">
    <w:p w14:paraId="51908C3D"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{"citationID":"a1nhaf49ut7","properties":{"formattedCitation":"Janice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1989).","noteIndex":29},"citationItems":[{"id":8372,"uris":["http://zotero.org/users/2506258/items/CIUR75N6"],"uri":["http://zotero.org/users/2506258/items/CIUR75N6"],"itemData":{"id":8372,"type":"chapter","title":"Calculation,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rPr>
          <w:rStyle w:val="FootnoteCharacters"/>
        </w:rPr>
        <w:fldChar w:fldCharType="separate"/>
      </w:r>
      <w:r w:rsidRPr="0089381D">
        <w:t xml:space="preserve">Janice Gross Stein, “Calculation, Miscalculation, and Conventional Deterrence,” in </w:t>
      </w:r>
      <w:r w:rsidRPr="0089381D">
        <w:rPr>
          <w:i/>
          <w:iCs/>
        </w:rPr>
        <w:t>Psychology and Deterrence</w:t>
      </w:r>
      <w:r w:rsidRPr="0089381D">
        <w:t>, by Richard Ned Lebow and Robert Jervis (JHU Press, 1989).</w:t>
      </w:r>
      <w:r>
        <w:rPr>
          <w:rStyle w:val="FootnoteCharacters"/>
        </w:rPr>
        <w:fldChar w:fldCharType="end"/>
      </w:r>
    </w:p>
  </w:footnote>
  <w:footnote w:id="30">
    <w:p w14:paraId="3160DFEB"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{"citationID":"a24u6fvi6he","properties":{"formattedCitation":"Elli Lieberman, {\\i{}Reconceptualizing Deterrence: Nudging Toward Rationality in Middle Eastern Rivalries} (Routledge, 2012).","plainCitation":"Elli Lieberman, Reconceptualizing Deterrence: Nudging Toward Rationality in Middle Eastern Rivalries (Routledge, 2012).","noteIndex":30},"citationItems":[{"id":8368,"uris":["http://zotero.org/users/2506258/items/UN7658ND"],"uri":["http://zotero.org/users/2506258/items/UN7658ND"],"itemData":{"id":8368,"type":"book","title":"Reconceptualizing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rPr>
          <w:rStyle w:val="FootnoteCharacters"/>
        </w:rPr>
        <w:fldChar w:fldCharType="separate"/>
      </w:r>
      <w:r w:rsidRPr="0089381D">
        <w:t xml:space="preserve">Elli Lieberman, </w:t>
      </w:r>
      <w:r w:rsidRPr="0089381D">
        <w:rPr>
          <w:i/>
          <w:iCs/>
        </w:rPr>
        <w:t>Reconceptualizing Deterrence: Nudging Toward Rationality in Middle Eastern Rivalries</w:t>
      </w:r>
      <w:r w:rsidRPr="0089381D">
        <w:t xml:space="preserve"> (Routledge, 2012).</w:t>
      </w:r>
      <w:r>
        <w:rPr>
          <w:rStyle w:val="FootnoteCharacters"/>
        </w:rPr>
        <w:fldChar w:fldCharType="end"/>
      </w:r>
    </w:p>
  </w:footnote>
  <w:footnote w:id="31">
    <w:p w14:paraId="6C7B197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{"citationID":"aj6m994m9g","properties":{"formattedCitation":"George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https://www.jstor.org/stable/pdf/20692938.pdf.","noteIndex":31},"citationItems":[{"id":6658,"uris":["http://zotero.org/users/2506258/items/B67U53DR"],"uri":["http://zotero.org/users/2506258/items/B67U53DR"],"itemData":{"id":6658,"type":"speech","title":"Low-Intensity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George Schultz, “Low-Intensity Warfare: The Challenge of Ambiguity” (Conference Address, January 15, 1986), https://www.jstor.org/stable/pdf/20692938.pdf.</w:t>
      </w:r>
      <w:r>
        <w:rPr>
          <w:rStyle w:val="FootnoteCharacters"/>
        </w:rPr>
        <w:fldChar w:fldCharType="end"/>
      </w:r>
    </w:p>
  </w:footnote>
  <w:footnote w:id="32">
    <w:p w14:paraId="498C643C" w14:textId="77777777" w:rsidR="00090CF0" w:rsidRDefault="00090CF0" w:rsidP="00EA137F">
      <w:pPr>
        <w:pStyle w:val="Footnotes"/>
      </w:pPr>
      <w:r>
        <w:rPr>
          <w:rStyle w:val="FootnoteCharacters"/>
        </w:rPr>
        <w:footnoteRef/>
      </w:r>
      <w:r>
        <w:rPr>
          <w:rStyle w:val="FootnoteCharacters"/>
        </w:rPr>
        <w:tab/>
      </w:r>
      <w:r>
        <w:t xml:space="preserve">Analysis of tactics can be found in </w:t>
      </w:r>
      <w:r>
        <w:fldChar w:fldCharType="begin"/>
      </w:r>
      <w:r>
        <w:instrText xml:space="preserve"> ADDIN ZOTERO_ITEM CSL_CITATION {"citationID":"a1peoc5ktin","properties":{"formattedCitation":"Peter Kornbluh and Joy Hackel, \\uc0\\u8220{}Low-Intensity Conflict Is It Live or Is It Memorex?,\\uc0\\u8221{} {\\i{}NACLA Report on the Americas} 20, no. 3 (June 1986): 8\\uc0\\u8211{}11, https://doi.org/10.1080/10714839.1986.11723411; Thomas Adams, \\uc0\\u8220{}LIC (Low Intensity Clausewitz),\\uc0\\u8221{} {\\i{}Small Wars and Insurgencies} 1, no. 3 (December 1, 1990): 266\\uc0\\u8211{}75, https://doi.org/10.1080/09592319008422959.","plainCitation":"Peter Kornbluh and Joy Hackel, “Low-Intensity Conflict Is It Live or Is It Memorex?,” NACLA Report on the Americas 20, no. 3 (June 1986): 8–11, https://doi.org/10.1080/10714839.1986.11723411; Thomas Adams, “LIC (Low Intensity Clausewitz),” Small Wars and Insurgencies 1, no. 3 (December 1, 1990): 266–75, https://doi.org/10.1080/09592319008422959.","noteIndex":32},"citationItems":[{"id":6646,"uris":["http://zotero.org/users/2506258/items/9EHV7PG6"],"uri":["http://zotero.org/users/2506258/items/9EHV7PG6"],"itemData":{"id":6646,"type":"article-journal","title":"Low-Intensity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Francis+NEJM","DOI":"10.1080/09592319008422959","ISSN":"0959-2318","author":[{"family":"Adams","given":"Thomas"}],"issued":{"date-parts":[["1990",12,1]]}}}],"schema":"https://github.com/citation-style-language/schema/raw/master/csl-citation.json"} </w:instrText>
      </w:r>
      <w:r>
        <w:fldChar w:fldCharType="separate"/>
      </w:r>
      <w:r w:rsidRPr="0089381D">
        <w:t xml:space="preserve">Peter Kornbluh and Joy Hackel, “Low-Intensity Conflict Is It Live or Is It Memorex?,” </w:t>
      </w:r>
      <w:r w:rsidRPr="0089381D">
        <w:rPr>
          <w:i/>
          <w:iCs/>
        </w:rPr>
        <w:t>NACLA Report on the Americas</w:t>
      </w:r>
      <w:r w:rsidRPr="0089381D">
        <w:t xml:space="preserve"> 20, no. 3 (June 1986): 8–11, https://doi.org/10.1080/10714839.1986.11723411; Thomas Adams, “LIC (Low Intensity Clausewitz),” </w:t>
      </w:r>
      <w:r w:rsidRPr="0089381D">
        <w:rPr>
          <w:i/>
          <w:iCs/>
        </w:rPr>
        <w:t>Small Wars and Insurgencies</w:t>
      </w:r>
      <w:r w:rsidRPr="0089381D">
        <w:t xml:space="preserve"> 1, no. 3 (December 1, 1990): 266–75, https://doi.org/10.1080/09592319008422959.</w:t>
      </w:r>
      <w:r>
        <w:fldChar w:fldCharType="end"/>
      </w:r>
      <w:r>
        <w:t xml:space="preserve"> A focus on non-state actors is provided in </w:t>
      </w:r>
      <w:r>
        <w:fldChar w:fldCharType="begin"/>
      </w:r>
      <w:r>
        <w:instrText xml:space="preserve"> ADDIN ZOTERO_ITEM CSL_CITATION {"citationID":"a1sgl8n8shi","properties":{"formattedCitation":"Richard Downie, \\uc0\\u8220{}Low Intensity Conflict Doctrine and Policy: Old Wine in a New Bottle?,\\uc0\\u8221{} {\\i{}Studies in Conflict &amp; Terrorism} 15, no. 1 (January 1, 1992): 53\\uc0\\u8211{}67, https://doi.org/10.1080/10576109208435891; Kinross, \\uc0\\u8220{}Clausewitz and Low-Intensity Conflict.\\uc0\\u8221{}","plainCitation":"Richard Downie, “Low Intensity Conflict Doctrine and Policy: Old Wine in a New Bottle?,” Studies in Conflict &amp; Terrorism 15, no. 1 (January 1, 1992): 53–67, https://doi.org/10.1080/10576109208435891; Kinross, “Clausewitz and Low-Intensity Conflict.”","noteIndex":32},"citationItems":[{"id":6640,"uris":["http://zotero.org/users/2506258/items/ZDNEM544"],"uri":["http://zotero.org/users/2506258/items/ZDNEM544"],"itemData":{"id":6640,"type":"article-journal","title":"Low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r w:rsidRPr="0089381D">
        <w:t xml:space="preserve">Richard Downie, “Low Intensity Conflict Doctrine and Policy: Old Wine in a New Bottle?,” </w:t>
      </w:r>
      <w:r w:rsidRPr="0089381D">
        <w:rPr>
          <w:i/>
          <w:iCs/>
        </w:rPr>
        <w:t>Studies in Conflict &amp; Terrorism</w:t>
      </w:r>
      <w:r w:rsidRPr="0089381D">
        <w:t xml:space="preserve"> 15, no. 1 (January 1, 1992): 53–67, https://doi.org/10.1080/10576109208435891; Kinross, “Clausewitz and Low-Intensity Conflict.”</w:t>
      </w:r>
      <w:r>
        <w:fldChar w:fldCharType="end"/>
      </w:r>
    </w:p>
  </w:footnote>
  <w:footnote w:id="33">
    <w:p w14:paraId="29EE3D9F"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{"citationID":"a2i9e08bg69","properties":{"formattedCitation":"Kornbluh and Hackel, \\uc0\\u8220{}Low-Intensity Conflict Is It Live or Is It Memorex?\\uc0\\u8221{}; Grant T. Hammond, \\uc0\\u8220{}Low Intensity Conflict: War by Another Name,\\uc0\\u8221{} {\\i{}Small Wars &amp; Insurgencies} 1, no. 3 (1990): 226\\uc0\\u8211{}38, https://doi.org/10.1080/09592319008422957; Avi Kober, \\uc0\\u8220{}Low-Intensity Conflicts: Why the Gap Between Theory and Practise?,\\uc0\\u8221{} {\\i{}Defense &amp; Security Analysis} 18, no. 1 (2002): 15\\uc0\\u8211{}38, https://doi.org/10.1080/07430170120113712.","plainCitation":"Kornbluh and Hackel, “Low-Intensity Conflict Is It Live or Is It Memorex?”; Grant T. Hammond, “Low Intensity Conflict: War by Another Name,” Small Wars &amp; Insurgencies 1, no. 3 (1990): 226–38, https://doi.org/10.1080/09592319008422957; Avi Kober, “Low-Intensity Conflicts: Why the Gap Between Theory and Practise?,” Defense &amp; Security Analysis 18, no. 1 (2002): 15–38, https://doi.org/10.1080/07430170120113712.","noteIndex":33},"citationItems":[{"id":6646,"uris":["http://zotero.org/users/2506258/items/9EHV7PG6"],"uri":["http://zotero.org/users/2506258/items/9EHV7PG6"],"itemData":{"id":6646,"type":"article-journal","title":"Low-Intensity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Conflicts","author":[{"family":"Kober","given":"Avi"}],"issued":{"date-parts":[["2002"]]}}}],"schema":"https://github.com/citation-style-language/schema/raw/master/csl-citation.json"} </w:instrText>
      </w:r>
      <w:r>
        <w:rPr>
          <w:rStyle w:val="FootnoteCharacters"/>
        </w:rPr>
        <w:fldChar w:fldCharType="separate"/>
      </w:r>
      <w:r w:rsidRPr="0089381D">
        <w:t xml:space="preserve">Kornbluh and Hackel, “Low-Intensity Conflict Is It Live or Is It Memorex?”; Grant T. Hammond, “Low Intensity Conflict: War by Another Name,” </w:t>
      </w:r>
      <w:r w:rsidRPr="0089381D">
        <w:rPr>
          <w:i/>
          <w:iCs/>
        </w:rPr>
        <w:t>Small Wars &amp; Insurgencies</w:t>
      </w:r>
      <w:r w:rsidRPr="0089381D">
        <w:t xml:space="preserve"> 1, no. 3 (1990): 226–38, https://doi.org/10.1080/09592319008422957; Avi Kober, “Low-Intensity Conflicts: Why the Gap Between Theory and Practise?,” </w:t>
      </w:r>
      <w:r w:rsidRPr="0089381D">
        <w:rPr>
          <w:i/>
          <w:iCs/>
        </w:rPr>
        <w:t>Defense &amp; Security Analysis</w:t>
      </w:r>
      <w:r w:rsidRPr="0089381D">
        <w:t xml:space="preserve"> 18, no. 1 (2002): 15–38, https://doi.org/10.1080/07430170120113712.</w:t>
      </w:r>
      <w:r>
        <w:rPr>
          <w:rStyle w:val="FootnoteCharacters"/>
        </w:rPr>
        <w:fldChar w:fldCharType="end"/>
      </w:r>
    </w:p>
  </w:footnote>
  <w:footnote w:id="34">
    <w:p w14:paraId="33BEBED9" w14:textId="77777777" w:rsidR="00090CF0" w:rsidRDefault="00090CF0" w:rsidP="00EA137F">
      <w:pPr>
        <w:pStyle w:val="Footnotes"/>
      </w:pPr>
      <w:r>
        <w:rPr>
          <w:rStyle w:val="FootnoteCharacters"/>
        </w:rPr>
        <w:footnoteRef/>
      </w:r>
      <w:r>
        <w:rPr>
          <w:rStyle w:val="FootnoteCharacters"/>
        </w:rPr>
        <w:tab/>
      </w:r>
      <w:r>
        <w:t xml:space="preserve">For foundational work, see </w:t>
      </w:r>
      <w:r>
        <w:fldChar w:fldCharType="begin"/>
      </w:r>
      <w:r>
        <w:instrText xml:space="preserve"> ADDIN ZOTERO_ITEM CSL_CITATION {"citationID":"a2lh93jlqvu","properties":{"formattedCitation":"David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Blaufarb, {\\i{}The Counterinsurgency Era: U.S. Doctrine and Performance, 1950 to the Present} (Free Press, 1977).","plainCitation":"David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Blaufarb, The Counterinsurgency Era: U.S. Doctrine and Performance, 1950 to the Present (Free Press, 1977).","noteIndex":34},"citationItems":[{"id":17468,"uris":["http://zotero.org/users/2506258/items/7PRFJYHK"],"uri":["http://zotero.org/users/2506258/items/7PRFJYHK"],"itemData":{"id":17468,"type":"book","title":"Counterinsurgency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era","language":"en","author":[{"family":"Blaufarb","given":"Douglas"}],"issued":{"date-parts":[["1977"]]}}}],"schema":"https://github.com/citation-style-language/schema/raw/master/csl-citation.json"} </w:instrText>
      </w:r>
      <w:r>
        <w:fldChar w:fldCharType="separate"/>
      </w:r>
      <w:r w:rsidRPr="0089381D">
        <w:t xml:space="preserve">David Galula, </w:t>
      </w:r>
      <w:r w:rsidRPr="0089381D">
        <w:rPr>
          <w:i/>
          <w:iCs/>
        </w:rPr>
        <w:t>Counterinsurgency Warfare: Theory and Practice</w:t>
      </w:r>
      <w:r w:rsidRPr="0089381D">
        <w:t xml:space="preserve"> (Hailer Publishing, 1964); Robert Taber, </w:t>
      </w:r>
      <w:r w:rsidRPr="0089381D">
        <w:rPr>
          <w:i/>
          <w:iCs/>
        </w:rPr>
        <w:t>War of the Flea: The Classic Study of Guerrilla Warfare</w:t>
      </w:r>
      <w:r w:rsidRPr="0089381D">
        <w:t xml:space="preserve"> (L. Stewart, 1965); Sir Robert Grainger Ker Thompson, </w:t>
      </w:r>
      <w:r w:rsidRPr="0089381D">
        <w:rPr>
          <w:i/>
          <w:iCs/>
        </w:rPr>
        <w:t>Defeating Communist Insurgency: The Lessons of Malaya and Vietnam</w:t>
      </w:r>
      <w:r w:rsidRPr="0089381D">
        <w:t xml:space="preserve"> (F. A. Praeger, 1966); Frank Kitson, </w:t>
      </w:r>
      <w:r w:rsidRPr="0089381D">
        <w:rPr>
          <w:i/>
          <w:iCs/>
        </w:rPr>
        <w:t>Low Intensity Operations: Subversion, Insurgency, Peace-Keeping</w:t>
      </w:r>
      <w:r w:rsidRPr="0089381D">
        <w:t xml:space="preserve"> (Faber &amp; Faber, 1971); Douglas Blaufarb, </w:t>
      </w:r>
      <w:r w:rsidRPr="0089381D">
        <w:rPr>
          <w:i/>
          <w:iCs/>
        </w:rPr>
        <w:t>The Counterinsurgency Era: U.S. Doctrine and Performance, 1950 to the Present</w:t>
      </w:r>
      <w:r w:rsidRPr="0089381D">
        <w:t xml:space="preserve"> (Free Press, 1977).</w:t>
      </w:r>
      <w:r>
        <w:fldChar w:fldCharType="end"/>
      </w:r>
      <w:r>
        <w:t xml:space="preserve"> Modern iterations include </w:t>
      </w:r>
      <w:r>
        <w:fldChar w:fldCharType="begin"/>
      </w:r>
      <w:r>
        <w:instrText xml:space="preserve"> ADDIN ZOTERO_ITEM CSL_CITATION {"citationID":"a70qj07h6g","properties":{"formattedCitation":"John Nagl, {\\i{}Learning to Eat Soup with a Knife: Counterinsurgency Lessons from Malaya and Vietnam} (University of Chicago Press, 2005); US Army, \\uc0\\u8220{}Army Field Manual 3-24: Counterinsurgency,\\uc0\\u8221{} November 30, 2006; David Kilcullen, {\\i{}Counterinsurgency} (Hurst, 2010).","plainCitation":"John Nagl, Learning to Eat Soup with a Knife: Counterinsurgency Lessons from Malaya and Vietnam (University of Chicago Press, 2005); US Army, “Army Field Manual 3-24: Counterinsurgency,” November 30, 2006; David Kilcullen, Counterinsurgency (Hurst, 2010).","noteIndex":34},"citationItems":[{"id":17463,"uris":["http://zotero.org/users/2506258/items/A69T62ML"],"uri":["http://zotero.org/users/2506258/items/A69T62ML"],"itemData":{"id":17463,"type":"book","title":"Learning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r w:rsidRPr="0089381D">
        <w:t xml:space="preserve">John Nagl, </w:t>
      </w:r>
      <w:r w:rsidRPr="0089381D">
        <w:rPr>
          <w:i/>
          <w:iCs/>
        </w:rPr>
        <w:t>Learning to Eat Soup with a Knife: Counterinsurgency Lessons from Malaya and Vietnam</w:t>
      </w:r>
      <w:r w:rsidRPr="0089381D">
        <w:t xml:space="preserve"> (University of Chicago Press, 2005); US Army, “Army Field Manual 3-24: Counterinsurgency,” November 30, 2006; David Kilcullen, </w:t>
      </w:r>
      <w:r w:rsidRPr="0089381D">
        <w:rPr>
          <w:i/>
          <w:iCs/>
        </w:rPr>
        <w:t>Counterinsurgency</w:t>
      </w:r>
      <w:r w:rsidRPr="0089381D">
        <w:t xml:space="preserve"> (Hurst, 2010).</w:t>
      </w:r>
      <w:r>
        <w:fldChar w:fldCharType="end"/>
      </w:r>
    </w:p>
  </w:footnote>
  <w:footnote w:id="35">
    <w:p w14:paraId="37AC6C9D" w14:textId="77777777" w:rsidR="00090CF0" w:rsidRDefault="00090CF0" w:rsidP="00EA137F">
      <w:pPr>
        <w:pStyle w:val="Footnotes"/>
      </w:pPr>
      <w:r>
        <w:rPr>
          <w:rStyle w:val="FootnoteCharacters"/>
        </w:rPr>
        <w:footnoteRef/>
      </w:r>
      <w:r>
        <w:rPr>
          <w:rStyle w:val="FootnoteCharacters"/>
        </w:rPr>
        <w:tab/>
      </w:r>
      <w:r>
        <w:fldChar w:fldCharType="begin"/>
      </w:r>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https://doi.org/10.1162/ISEC_a_00283.","dontUpdate":true,"noteIndex":35},"citationItems":[{"id":17459,"uris":["http://zotero.org/users/2506258/items/G4X3YEFP"],"uri":["http://zotero.org/users/2506258/items/G4X3YEFP"],"itemData":{"id":17459,"type":"book","title":"Resistance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end"/>
      </w:r>
      <w:bookmarkStart w:id="8" w:name="__Fieldmark__1280_673422073"/>
      <w:bookmarkEnd w:id="8"/>
      <w:r>
        <w:t xml:space="preserve">On organizational structures, see </w:t>
      </w:r>
      <w:r>
        <w:fldChar w:fldCharType="begin"/>
      </w:r>
      <w:r>
        <w:instrText xml:space="preserve"> ADDIN ZOTERO_ITEM CSL_CITATION {"citationID":"a1pr94bb9h9","properties":{"formattedCitation":"Petersen, {\\i{}Resistance and Rebellion}; Wood, {\\i{}Insurgent Collective Action and Civil War in El Salvador}; Kalyvas, \\uc0\\u8220{}Review of The New U.S. Army/Marine Corps Counterinsurgency Field Manual\\uc0\\u8221{}; Staniland, {\\i{}Networks of Rebellion}.","plainCitation":"Petersen, Resistance and Rebellion; Wood, Insurgent Collective Action and Civil War in El Salvador; Kalyvas, “Review of The New U.S. Army/Marine Corps Counterinsurgency Field Manual”; Staniland, Networks of Rebellion.","noteIndex":35},"citationItems":[{"id":17459,"uris":["http://zotero.org/users/2506258/items/G4X3YEFP"],"uri":["http://zotero.org/users/2506258/items/G4X3YEFP"],"itemData":{"id":17459,"type":"book","title":"Resistance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Rebellion","language":"en","author":[{"family":"Staniland","given":"Paul"}],"issued":{"date-parts":[["2014"]]}}}],"schema":"https://github.com/citation-style-language/schema/raw/master/csl-citation.json"} </w:instrText>
      </w:r>
      <w:r>
        <w:fldChar w:fldCharType="separate"/>
      </w:r>
      <w:r w:rsidRPr="0089381D">
        <w:t xml:space="preserve">Petersen, </w:t>
      </w:r>
      <w:r w:rsidRPr="0089381D">
        <w:rPr>
          <w:i/>
          <w:iCs/>
        </w:rPr>
        <w:t>Resistance and Rebellion</w:t>
      </w:r>
      <w:r w:rsidRPr="0089381D">
        <w:t xml:space="preserve">; Wood, </w:t>
      </w:r>
      <w:r w:rsidRPr="0089381D">
        <w:rPr>
          <w:i/>
          <w:iCs/>
        </w:rPr>
        <w:t>Insurgent Collective Action and Civil War in El Salvador</w:t>
      </w:r>
      <w:r w:rsidRPr="0089381D">
        <w:t xml:space="preserve">; Kalyvas, “Review of The New U.S. Army/Marine Corps Counterinsurgency Field Manual”; Staniland, </w:t>
      </w:r>
      <w:r w:rsidRPr="0089381D">
        <w:rPr>
          <w:i/>
          <w:iCs/>
        </w:rPr>
        <w:t>Networks of Rebellion</w:t>
      </w:r>
      <w:r w:rsidRPr="0089381D">
        <w:t>.</w:t>
      </w:r>
      <w:r>
        <w:fldChar w:fldCharType="end"/>
      </w:r>
      <w:r>
        <w:t xml:space="preserve"> On the actors involved, see </w:t>
      </w:r>
      <w:r>
        <w:fldChar w:fldCharType="begin"/>
      </w:r>
      <w:r>
        <w:instrText xml:space="preserve"> ADDIN ZOTERO_ITEM CSL_CITATION {"citationID":"a1dr57ngdpa","properties":{"formattedCitation":"Ucko, {\\i{}The New Counterinsurgency Era}; Long, {\\i{}The Soul of Armies}; Hazelton, \\uc0\\u8220{}The \\uc0\\u8216{}Hearts and Minds\\uc0\\u8217{} Fallacy.\\uc0\\u8221{}","plainCitation":"Ucko, The New Counterinsurgency Era; Long, The Soul of Armies; Hazelton, “The ‘Hearts and Minds’ Fallacy.”","noteIndex":35},"citationItems":[{"id":17462,"uris":["http://zotero.org/users/2506258/items/W3K35JAD"],"uri":["http://zotero.org/users/2506258/items/W3K35JAD"],"itemData":{"id":17462,"type":"book","title":"The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r w:rsidRPr="0089381D">
        <w:t xml:space="preserve">Ucko, </w:t>
      </w:r>
      <w:r w:rsidRPr="0089381D">
        <w:rPr>
          <w:i/>
          <w:iCs/>
        </w:rPr>
        <w:t>The New Counterinsurgency Era</w:t>
      </w:r>
      <w:r w:rsidRPr="0089381D">
        <w:t xml:space="preserve">; Long, </w:t>
      </w:r>
      <w:r w:rsidRPr="0089381D">
        <w:rPr>
          <w:i/>
          <w:iCs/>
        </w:rPr>
        <w:t>The Soul of Armies</w:t>
      </w:r>
      <w:r w:rsidRPr="0089381D">
        <w:t>; Hazelton, “The ‘Hearts and Minds’ Fallacy.”</w:t>
      </w:r>
      <w:r>
        <w:fldChar w:fldCharType="end"/>
      </w:r>
    </w:p>
  </w:footnote>
  <w:footnote w:id="36">
    <w:p w14:paraId="6CCF9E72" w14:textId="7D7C1E03"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{"citationID":"a1hnp07bjak","properties":{"formattedCitation":"Michael Mazarr, \\uc0\\u8220{}Mastering the Gray Zone: Understanding a Changing Era of Conflict,\\uc0\\u8221{} Research Report (Strategic Studies Institute: US Army War College, February 2, 2015).","plainCitation":"Michael Mazarr, “Mastering the Gray Zone: Understanding a Changing Era of Conflict,” Research Report (Strategic Studies Institute: US Army War College, February 2, 2015).","noteIndex":36},"citationItems":[{"id":3537,"uris":["http://zotero.org/users/2506258/items/9ZDIJFAI"],"uri":["http://zotero.org/users/2506258/items/9ZDIJFAI"],"itemData":{"id":3537,"type":"report","title":"Mastering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rPr>
          <w:rStyle w:val="FootnoteCharacters"/>
        </w:rPr>
        <w:fldChar w:fldCharType="separate"/>
      </w:r>
      <w:r w:rsidR="0000434C" w:rsidRPr="0000434C">
        <w:t>Michael Mazarr, “Mastering the Gray Zone: Understanding a Changing Era of Conflict,” Research Report (Strategic Studies Institute: US Army War College, February 2, 2015).</w:t>
      </w:r>
      <w:r>
        <w:rPr>
          <w:rStyle w:val="FootnoteCharacters"/>
        </w:rPr>
        <w:fldChar w:fldCharType="end"/>
      </w:r>
    </w:p>
  </w:footnote>
  <w:footnote w:id="37">
    <w:p w14:paraId="73FE6C54"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{"citationID":"a5uniq23oj","properties":{"formattedCitation":"Joshua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 Green et al., {\\i{}Countering Coercion in Maritime Asia}; Jahara W. Matisek, \\uc0\\u8220{}Shades of Gray Deterrence: Issues of Fighting in the Gray Zone,\\uc0\\u8221{} {\\i{}Journal of Strategic Security} 10, no. 3 (2017): 1\\uc0\\u8211{}26.","plainCitation":"Joshua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 Green et al., Countering Coercion in Maritime Asia; Jahara W. Matisek, “Shades of Gray Deterrence: Issues of Fighting in the Gray Zone,” Journal of Strategic Security 10, no. 3 (2017): 1–26.","noteIndex":37},"citationItems":[{"id":6771,"uris":["http://zotero.org/users/2506258/items/PJ27A6TG"],"uri":["http://zotero.org/users/2506258/items/PJ27A6TG"],"itemData":{"id":6771,"type":"webpage","title":"Can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rPr>
          <w:rStyle w:val="FootnoteCharacters"/>
        </w:rPr>
        <w:fldChar w:fldCharType="separate"/>
      </w:r>
      <w:r w:rsidRPr="00166F19">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Pr="00166F19">
        <w:rPr>
          <w:i/>
          <w:iCs/>
        </w:rPr>
        <w:t>Foreign Affairs</w:t>
      </w:r>
      <w:r w:rsidRPr="00166F19">
        <w:t xml:space="preserve">, September 11, 2016, https://www.foreignaffairs.com/articles/north-korea/2016-09-11/preventing-nuclear-war-north-korea; David Santoro and Brad Blosserman, “Healey’s Wrong: It’s Deterrence, Stupid,” War on the Rocks, October 14, 2016, http://warontherocks.com/2016/10/healeys-wrong-its-deterrence-stupid/; Green et al., </w:t>
      </w:r>
      <w:r w:rsidRPr="00166F19">
        <w:rPr>
          <w:i/>
          <w:iCs/>
        </w:rPr>
        <w:t>Countering Coercion in Maritime Asia</w:t>
      </w:r>
      <w:r w:rsidRPr="00166F19">
        <w:t xml:space="preserve">; Jahara W. Matisek, “Shades of Gray Deterrence: Issues of Fighting in the Gray Zone,” </w:t>
      </w:r>
      <w:r w:rsidRPr="00166F19">
        <w:rPr>
          <w:i/>
          <w:iCs/>
        </w:rPr>
        <w:t>Journal of Strategic Security</w:t>
      </w:r>
      <w:r w:rsidRPr="00166F19">
        <w:t xml:space="preserve"> 10, no. 3 (2017): 1–26.</w:t>
      </w:r>
      <w:r>
        <w:rPr>
          <w:rStyle w:val="FootnoteCharacters"/>
        </w:rPr>
        <w:fldChar w:fldCharType="end"/>
      </w:r>
    </w:p>
  </w:footnote>
  <w:footnote w:id="38">
    <w:p w14:paraId="028EC888"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{"citationID":"aur3oqubuc","properties":{"formattedCitation":"Kimberly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https://doi.org/10.1080/13518046.2015.1061819.","noteIndex":38},"citationItems":[{"id":6702,"uris":["http://zotero.org/users/2506258/items/NTMEZZFH"],"uri":["http://zotero.org/users/2506258/items/NTMEZZFH"],"itemData":{"id":6702,"type":"article-journal","title":"Putin's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r>
        <w:rPr>
          <w:rStyle w:val="FootnoteCharacters"/>
        </w:rPr>
        <w:fldChar w:fldCharType="separate"/>
      </w:r>
      <w:r w:rsidRPr="0089381D">
        <w:t xml:space="preserve">Kimberly Marten, “Putin’s Choices: Explaining Russian Foreign Policy and Intervention in Ukraine,” </w:t>
      </w:r>
      <w:r w:rsidRPr="0089381D">
        <w:rPr>
          <w:i/>
          <w:iCs/>
        </w:rPr>
        <w:t>The Washington Quarterly</w:t>
      </w:r>
      <w:r w:rsidRPr="0089381D">
        <w:t xml:space="preserve"> 38, no. 2 (April 3, 2015): 189–204, https://doi.org/10.1080/0163660X.2015.1064717; Timothy Thomas, “Russia’s Military Strategy and Ukraine: Indirect, Asymmetric—and Putin-Led,” </w:t>
      </w:r>
      <w:r w:rsidRPr="0089381D">
        <w:rPr>
          <w:i/>
          <w:iCs/>
        </w:rPr>
        <w:t>The Journal of Slavic Military Studies</w:t>
      </w:r>
      <w:r w:rsidRPr="0089381D">
        <w:t xml:space="preserve"> 28, no. 3 (July 3, 2015): 445–61, https://doi.org/10.1080/13518046.2015.1061819.</w:t>
      </w:r>
      <w:r>
        <w:rPr>
          <w:rStyle w:val="FootnoteCharacters"/>
        </w:rPr>
        <w:fldChar w:fldCharType="end"/>
      </w:r>
    </w:p>
  </w:footnote>
  <w:footnote w:id="39">
    <w:p w14:paraId="3AAFC02E"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{"citationID":"a27i5do88o0","properties":{"formattedCitation":"Samuel Charap, \\uc0\\u8220{}The Ghost of Hybrid War,\\uc0\\u8221{} {\\i{}Survival} 57, no. 6 (November 2, 2015): 51\\uc0\\u8211{}58, https://doi.org/10.1080/00396338.2015.1116147; Christopher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Chivvis, “Hybrid War: Russian Contemporary Political Warfare,” Bulletin of the Atomic Scientists 73, no. 5 (September 3, 2017): 316–21, https://doi.org/10.1080/00963402.2017.1362903.","noteIndex":39},"citationItems":[{"id":6684,"uris":["http://zotero.org/users/2506258/items/M9PGVIM5"],"uri":["http://zotero.org/users/2506258/items/M9PGVIM5"],"itemData":{"id":6684,"type":"article-journal","title":"The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 xml:space="preserve">Samuel Charap, “The Ghost of Hybrid War,” </w:t>
      </w:r>
      <w:r w:rsidRPr="0089381D">
        <w:rPr>
          <w:i/>
          <w:iCs/>
        </w:rPr>
        <w:t>Survival</w:t>
      </w:r>
      <w:r w:rsidRPr="0089381D">
        <w:t xml:space="preserve"> 57, no. 6 (November 2, 2015): 51–58, https://doi.org/10.1080/00396338.2015.1116147; Christopher Chivvis, “Hybrid War: Russian Contemporary Political Warfare,” </w:t>
      </w:r>
      <w:r w:rsidRPr="0089381D">
        <w:rPr>
          <w:i/>
          <w:iCs/>
        </w:rPr>
        <w:t>Bulletin of the Atomic Scientists</w:t>
      </w:r>
      <w:r w:rsidRPr="0089381D">
        <w:t xml:space="preserve"> 73, no. 5 (September 3, 2017): 316–21, https://doi.org/10.1080/00963402.2017.1362903.</w:t>
      </w:r>
      <w:r>
        <w:rPr>
          <w:rStyle w:val="FootnoteCharacters"/>
        </w:rPr>
        <w:fldChar w:fldCharType="end"/>
      </w:r>
    </w:p>
  </w:footnote>
  <w:footnote w:id="40">
    <w:p w14:paraId="036C7617" w14:textId="77777777" w:rsidR="00090CF0" w:rsidRDefault="00090CF0"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{"citationID":"a1lnivgbubp","properties":{"formattedCitation":"Alexander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r>
        <w:rPr>
          <w:rStyle w:val="FootnoteCharacters"/>
        </w:rPr>
        <w:fldChar w:fldCharType="separate"/>
      </w:r>
      <w:r w:rsidRPr="0089381D">
        <w:t xml:space="preserve">Alexander Lanoszka, “Russian Hybrid Warfare and Extended Deterrence in Eastern Europe,” </w:t>
      </w:r>
      <w:r w:rsidRPr="0089381D">
        <w:rPr>
          <w:i/>
          <w:iCs/>
        </w:rPr>
        <w:t>International Affairs</w:t>
      </w:r>
      <w:r w:rsidRPr="0089381D">
        <w:t xml:space="preserve"> 92, no. 1 (January 2016): 175–95, https://doi.org/10.1111/1468-2346.12509; Dan Altman, “Advancing without Attacking: The Strategic Game around the Use of Force,” </w:t>
      </w:r>
      <w:r w:rsidRPr="0089381D">
        <w:rPr>
          <w:i/>
          <w:iCs/>
        </w:rPr>
        <w:t>Security Studies</w:t>
      </w:r>
      <w:r w:rsidRPr="0089381D">
        <w:t>, August 16, 2017, 1–31, https://doi.org/10.1080/09636412.2017.1360074; Jackson, “Tactics of Strategic Competition: Gray Zones, Redlines, and Conflict before War.”</w:t>
      </w:r>
      <w:r>
        <w:rPr>
          <w:rStyle w:val="FootnoteCharacters"/>
        </w:rPr>
        <w:fldChar w:fldCharType="end"/>
      </w:r>
    </w:p>
  </w:footnote>
  <w:footnote w:id="41">
    <w:p w14:paraId="7C1503E3" w14:textId="63BF6C9D" w:rsidR="00090CF0" w:rsidRPr="00950D40" w:rsidRDefault="00090CF0" w:rsidP="00BD41FA">
      <w:pPr>
        <w:pStyle w:val="Footnotes"/>
        <w:rPr>
          <w:lang w:val="en-US"/>
        </w:rPr>
      </w:pPr>
      <w:r>
        <w:rPr>
          <w:rStyle w:val="FootnoteReference"/>
        </w:rPr>
        <w:footnoteRef/>
      </w:r>
      <w:r>
        <w:t xml:space="preserve"> </w:t>
      </w:r>
      <w:r>
        <w:tab/>
      </w:r>
      <w:r>
        <w:fldChar w:fldCharType="begin"/>
      </w:r>
      <w:r w:rsidR="0000434C">
        <w:instrText xml:space="preserve"> ADDIN ZOTERO_ITEM CSL_CITATION {"citationID":"a7rsbrmfg4","properties":{"formattedCitation":"Mazarr, \\uc0\\u8220{}Mastering the Gray Zone: Understanding a Changing Era of Conflict\\uc0\\u8221{}; James J. Wirtz, \\uc0\\u8220{}Life in the \\uc0\\u8216{}Gray Zone\\uc0\\u8217{}: Observations for Contemporary Strategists,\\uc0\\u8221{} {\\i{}Defense &amp; Security Analysis} 33, no. 2 (April 3, 2017): 106\\uc0\\u8211{}14, https://doi.org/10.1080/14751798.2017.1310702.","plainCitation":"Mazarr, “Mastering the Gray Zone: Understanding a Changing Era of Conflict”; James J. Wirtz, “Life in the ‘Gray Zone’: Observations for Contemporary Strategists,” Defense &amp; Security Analysis 33, no. 2 (April 3, 2017): 106–14, https://doi.org/10.1080/14751798.2017.1310702.","noteIndex":41},"citationItems":[{"id":3537,"uris":["http://zotero.org/users/2506258/items/9ZDIJFAI"],"uri":["http://zotero.org/users/2506258/items/9ZDIJFAI"],"itemData":{"id":3537,"type":"report","title":"Mastering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fldChar w:fldCharType="separate"/>
      </w:r>
      <w:r w:rsidR="0000434C" w:rsidRPr="0000434C">
        <w:t xml:space="preserve">Mazarr, “Mastering the Gray Zone: Understanding a Changing Era of Conflict”; James J. Wirtz, “Life in the ‘Gray Zone’: Observations for Contemporary Strategists,” </w:t>
      </w:r>
      <w:r w:rsidR="0000434C" w:rsidRPr="0000434C">
        <w:rPr>
          <w:i/>
          <w:iCs/>
        </w:rPr>
        <w:t>Defense &amp; Security Analysis</w:t>
      </w:r>
      <w:r w:rsidR="0000434C" w:rsidRPr="0000434C">
        <w:t xml:space="preserve"> 33, no. 2 (April 3, 2017): 106–14, https://doi.org/10.1080/14751798.2017.1310702.</w:t>
      </w:r>
      <w:r>
        <w:fldChar w:fldCharType="end"/>
      </w:r>
    </w:p>
  </w:footnote>
  <w:footnote w:id="42">
    <w:p w14:paraId="72FAFE82" w14:textId="1093C23B"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{"citationID":"a1q0brvec1r","properties":{"formattedCitation":"Jon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rPr>
          <w:rStyle w:val="FootnoteCharacters"/>
        </w:rPr>
        <w:fldChar w:fldCharType="separate"/>
      </w:r>
      <w:r w:rsidRPr="0089381D">
        <w:t xml:space="preserve">Jon R. Lindsay and Erik Gartzke, “Coercion through Cyberspace: The Stability-Instability Paradox Revisited,” in </w:t>
      </w:r>
      <w:r w:rsidRPr="0089381D">
        <w:rPr>
          <w:i/>
          <w:iCs/>
        </w:rPr>
        <w:t>Coercion: The Power to Hurt in International Politics</w:t>
      </w:r>
      <w:r w:rsidRPr="0089381D">
        <w:t>, ed. Kelly M. Greenhill and Peter Krause (New York, NY: Oxford University Press, 2018).</w:t>
      </w:r>
      <w:r>
        <w:rPr>
          <w:rStyle w:val="FootnoteCharacters"/>
        </w:rPr>
        <w:fldChar w:fldCharType="end"/>
      </w:r>
    </w:p>
  </w:footnote>
  <w:footnote w:id="43">
    <w:p w14:paraId="2202BD3C" w14:textId="6F4A4518" w:rsidR="00090CF0" w:rsidRDefault="00090CF0" w:rsidP="00EA137F">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{"citationID":"a10sl4nh504","properties":{"formattedCitation":"Thomas Rid, \\uc0\\u8220{}Cyberwar and Peace,\\uc0\\u8221{} {\\i{}Foreign Affairs}, 2013, https://www.foreignaffairs.com/articles/2013-10-15/cyberwar-and-peace; Benjamin Jensen, Brandon Valeriano, and Ryan Maness, \\uc0\\u8220{}Fancy Bears and Digital Trolls: Cyber Strategy with a Russian Twist,\\uc0\\u8221{} {\\i{}Journal of Strategic Studies} 42, no. 2 (January 10, 2019): 212\\uc0\\u8211{}34, https://doi.org/10.1080/01402390.2018.1559152.","plainCitation":"Thomas Rid, “Cyberwar and Peace,” Foreign Affairs, 2013, https://www.foreignaffairs.com/articles/2013-10-15/cyberwar-and-peace; Benjamin Jensen, Brandon Valeriano, and Ryan Maness, “Fancy Bears and Digital Trolls: Cyber Strategy with a Russian Twist,” Journal of Strategic Studies 42, no. 2 (January 10, 2019): 212–34, https://doi.org/10.1080/01402390.2018.1559152.","noteIndex":43},"citationItems":[{"id":19180,"uris":["http://zotero.org/users/2506258/items/GXTZPUJI"],"uri":["http://zotero.org/users/2506258/items/GXTZPUJI"],"itemData":{"id":19180,"type":"article-magazine","title":"Cyberwar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rPr>
          <w:rStyle w:val="FootnoteCharacters"/>
        </w:rPr>
        <w:fldChar w:fldCharType="separate"/>
      </w:r>
      <w:r w:rsidRPr="0089381D">
        <w:t xml:space="preserve">Thomas Rid, “Cyberwar and Peace,” </w:t>
      </w:r>
      <w:r w:rsidRPr="0089381D">
        <w:rPr>
          <w:i/>
          <w:iCs/>
        </w:rPr>
        <w:t>Foreign Affairs</w:t>
      </w:r>
      <w:r w:rsidRPr="0089381D">
        <w:t xml:space="preserve">, 2013, https://www.foreignaffairs.com/articles/2013-10-15/cyberwar-and-peace; Benjamin Jensen, Brandon Valeriano, and Ryan Maness, “Fancy Bears and Digital Trolls: Cyber Strategy with a Russian Twist,” </w:t>
      </w:r>
      <w:r w:rsidRPr="0089381D">
        <w:rPr>
          <w:i/>
          <w:iCs/>
        </w:rPr>
        <w:t>Journal of Strategic Studies</w:t>
      </w:r>
      <w:r w:rsidRPr="0089381D">
        <w:t xml:space="preserve"> 42, no. 2 (January 10, 2019): 212–34, https://doi.org/10.1080/01402390.2018.1559152.</w:t>
      </w:r>
      <w:r>
        <w:rPr>
          <w:rStyle w:val="FootnoteCharacters"/>
        </w:rPr>
        <w:fldChar w:fldCharType="end"/>
      </w:r>
    </w:p>
  </w:footnote>
  <w:footnote w:id="44">
    <w:p w14:paraId="5E2271F3" w14:textId="267D21E6" w:rsidR="00090CF0" w:rsidRDefault="00090CF0" w:rsidP="00DB66E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{"citationID":"a1iob82d485","properties":{"formattedCitation":"Schultz,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Schultz, “Low-Intensity Warfare: The Challenge of Ambiguity.”</w:t>
      </w:r>
      <w:r>
        <w:rPr>
          <w:rStyle w:val="FootnoteCharacters"/>
        </w:rPr>
        <w:fldChar w:fldCharType="end"/>
      </w:r>
    </w:p>
  </w:footnote>
  <w:footnote w:id="45">
    <w:p w14:paraId="6A7A583B" w14:textId="63534905" w:rsidR="00090CF0" w:rsidRDefault="00090CF0" w:rsidP="00DB66E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{"citationID":"a1u41sag4cb","properties":{"formattedCitation":"Paul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rPr>
          <w:rStyle w:val="FootnoteCharacters"/>
        </w:rPr>
        <w:fldChar w:fldCharType="separate"/>
      </w:r>
      <w:r w:rsidRPr="0089381D">
        <w:t xml:space="preserve">Paul Staniland, “States, Insurgents, and Wartime Political Orders,” </w:t>
      </w:r>
      <w:r w:rsidRPr="0089381D">
        <w:rPr>
          <w:i/>
          <w:iCs/>
        </w:rPr>
        <w:t>Perspectives on Politics</w:t>
      </w:r>
      <w:r w:rsidRPr="0089381D">
        <w:t xml:space="preserve"> 10, no. 2 (2012): 243–64.</w:t>
      </w:r>
      <w:r>
        <w:rPr>
          <w:rStyle w:val="FootnoteCharacters"/>
        </w:rPr>
        <w:fldChar w:fldCharType="end"/>
      </w:r>
    </w:p>
  </w:footnote>
  <w:footnote w:id="46">
    <w:p w14:paraId="7297D148" w14:textId="6D338942" w:rsidR="00090CF0" w:rsidRPr="00B469D1" w:rsidRDefault="00090CF0" w:rsidP="00DB66EA">
      <w:pPr>
        <w:pStyle w:val="Footnotes"/>
      </w:pPr>
      <w:r w:rsidRPr="00B469D1">
        <w:rPr>
          <w:rStyle w:val="FootnoteCharacters"/>
        </w:rPr>
        <w:footnoteRef/>
      </w:r>
      <w:r w:rsidRPr="00B469D1">
        <w:rPr>
          <w:rStyle w:val="FootnoteCharacters"/>
        </w:rPr>
        <w:tab/>
      </w:r>
      <w:r>
        <w:rPr>
          <w:rStyle w:val="FootnoteCharacters"/>
        </w:rPr>
        <w:fldChar w:fldCharType="begin"/>
      </w:r>
      <w:r w:rsidR="0000434C">
        <w:rPr>
          <w:rStyle w:val="FootnoteCharacters"/>
        </w:rPr>
        <w:instrText xml:space="preserve"> ADDIN ZOTERO_ITEM CSL_CITATION {"citationID":"a17pged12cv","properties":{"formattedCitation":"Austin Carson, \\uc0\\u8220{}Facing Off and Saving Face: Covert Intervention and Escalation Management in the Korean War,\\uc0\\u8221{} {\\i{}International Organization} 70, no. 1 (Winter 2016): 103\\uc0\\u8211{}31, https://doi.org/10.1017/S0020818315000284; Carson, {\\i{}Secret Wars}.","plainCitation":"Austin Carson, “Facing Off and Saving Face: Covert Intervention and Escalation Management in the Korean War,” International Organization 70, no. 1 (Winter 2016): 103–31, https://doi.org/10.1017/S0020818315000284; Carson, Secret Wars.","noteIndex":46},"citationItems":[{"id":668,"uris":["http://zotero.org/users/2506258/items/BHW4FEPQ"],"uri":["http://zotero.org/users/2506258/items/BHW4FEPQ"],"itemData":{"id":668,"type":"article-journal","title":"Facing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Austin Carson, “Facing Off and Saving Face: Covert Intervention and Escalation Management in the Korean War,” </w:t>
      </w:r>
      <w:r w:rsidRPr="0089381D">
        <w:rPr>
          <w:i/>
          <w:iCs/>
        </w:rPr>
        <w:t>International Organization</w:t>
      </w:r>
      <w:r w:rsidRPr="0089381D">
        <w:t xml:space="preserve"> 70, no. 1 (Winter 2016): 103–31, https://doi.org/10.1017/S0020818315000284; Carson, </w:t>
      </w:r>
      <w:r w:rsidRPr="0089381D">
        <w:rPr>
          <w:i/>
          <w:iCs/>
        </w:rPr>
        <w:t>Secret Wars</w:t>
      </w:r>
      <w:r w:rsidRPr="0089381D">
        <w:t>.</w:t>
      </w:r>
      <w:r>
        <w:rPr>
          <w:rStyle w:val="FootnoteCharacters"/>
        </w:rPr>
        <w:fldChar w:fldCharType="end"/>
      </w:r>
    </w:p>
  </w:footnote>
  <w:footnote w:id="47">
    <w:p w14:paraId="4544AF0B" w14:textId="022314BF" w:rsidR="00090CF0" w:rsidRDefault="00090CF0" w:rsidP="003D6482">
      <w:pPr>
        <w:pStyle w:val="Footnotes"/>
      </w:pPr>
      <w:r>
        <w:rPr>
          <w:rStyle w:val="FootnoteCharacters"/>
        </w:rPr>
        <w:footnoteRef/>
      </w:r>
      <w:r>
        <w:rPr>
          <w:rStyle w:val="FootnoteCharacters"/>
        </w:rPr>
        <w:tab/>
      </w:r>
      <w:r>
        <w:t>Intelligence assessment and rational decision making are each important for assessing the parameters of deterrence, and both proved defective in this case.</w:t>
      </w:r>
      <w:r>
        <w:rPr>
          <w:lang w:val="en-CA"/>
        </w:rPr>
        <w:t xml:space="preserve">See </w:t>
      </w:r>
      <w:r>
        <w:rPr>
          <w:lang w:val="en-CA"/>
        </w:rPr>
        <w:fldChar w:fldCharType="begin"/>
      </w:r>
      <w:r w:rsidR="00604876">
        <w:rPr>
          <w:lang w:val="en-CA"/>
        </w:rPr>
        <w:instrText xml:space="preserve"> ADDIN ZOTERO_ITEM CSL_CITATION {"citationID":"a2gm6ghvnsu","properties":{"formattedCitation":"Risa Brooks, {\\i{}Shaping Strategy: The Civil-Military Politics of Strategic Assessment} (Princeton, NJ: Princeton University Press, 2008); Joshua Rovner, {\\i{}Fixing the Facts: National Security and the Politics of Intelligence} (Ithaca, NY: Cornell University Press, 2011).","plainCitation":"Risa Brooks, Shaping Strategy: The Civil-Military Politics of Strategic Assessment (Princeton, NJ: Princeton University Press, 2008); Joshua Rovner, Fixing the Facts: National Security and the Politics of Intelligence (Ithaca, NY: Cornell University Press, 2011).","noteIndex":47},"citationItems":[{"id":"rdP23v6k/cj66OkEs","uris":["http://zotero.org/users/471208/items/43AD9G32"],"uri":["http://zotero.org/users/471208/items/43AD9G32"],"itemData":{"id":"XB4YeRPs/RU511JdE","type":"book","title":"Shaping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rdP23v6k/zd6QB1k1","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rPr>
          <w:lang w:val="en-CA"/>
        </w:rPr>
        <w:fldChar w:fldCharType="separate"/>
      </w:r>
      <w:r w:rsidRPr="0089381D">
        <w:t xml:space="preserve">Risa Brooks, </w:t>
      </w:r>
      <w:r w:rsidRPr="0089381D">
        <w:rPr>
          <w:i/>
          <w:iCs/>
        </w:rPr>
        <w:t>Shaping Strategy: The Civil-Military Politics of Strategic Assessment</w:t>
      </w:r>
      <w:r w:rsidRPr="0089381D">
        <w:t xml:space="preserve"> (Princeton, NJ: Princeton University Press, 2008); Joshua Rovner, </w:t>
      </w:r>
      <w:r w:rsidRPr="0089381D">
        <w:rPr>
          <w:i/>
          <w:iCs/>
        </w:rPr>
        <w:t>Fixing the Facts: National Security and the Politics of Intelligence</w:t>
      </w:r>
      <w:r w:rsidRPr="0089381D">
        <w:t xml:space="preserve"> (Ithaca, NY: Cornell University Press, 2011).</w:t>
      </w:r>
      <w:r>
        <w:rPr>
          <w:lang w:val="en-CA"/>
        </w:rPr>
        <w:fldChar w:fldCharType="end"/>
      </w:r>
    </w:p>
  </w:footnote>
  <w:footnote w:id="48">
    <w:p w14:paraId="76FC0472" w14:textId="70096EC0"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{"citationID":"a35u2nbclu","properties":{"formattedCitation":"Michael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2015).","noteIndex":48},"citationItems":[{"id":"rdP23v6k/9IfrQZhD","uris":["http://zotero.org/users/471208/items/W2MZNEX8"],"uri":["http://zotero.org/users/471208/items/W2MZNEX8"],"itemData":{"id":"XB4YeRPs/ID8jyS7T","type":"book","title":"Cobra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E."}],"issued":{"date-parts":[["2007"]]}}},{"id":"rdP23v6k/LRk4O0Yv","uris":["http://zotero.org/users/471208/items/XK8FBW7C"],"uri":["http://zotero.org/users/471208/items/XK8FBW7C"],"itemData":{"id":"XB4YeRPs/eK2o6pea","type":"book","title":"The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E."}],"issued":{"date-parts":[["2012"]]}}},{"id":"rdP23v6k/ZBzT6q2L","uris":["http://zotero.org/users/471208/items/6AA6WTW8"],"uri":["http://zotero.org/users/471208/items/6AA6WTW8"],"itemData":{"id":"XB4YeRPs/QauMaqz2","type":"report","title":"Varieties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rdP23v6k/vOQj0Hyr","uris":["http://zotero.org/users/471208/items/Q732M7WE"],"uri":["http://zotero.org/users/471208/items/Q732M7WE"],"itemData":{"id":"XB4YeRPs/NGTk7P0d","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Pr>
          <w:rStyle w:val="FootnoteCharacters"/>
        </w:rPr>
        <w:fldChar w:fldCharType="separate"/>
      </w:r>
      <w:r w:rsidRPr="0089381D">
        <w:t xml:space="preserve">Michael R. Gordon and Bernard E. Trainor, </w:t>
      </w:r>
      <w:r w:rsidRPr="0089381D">
        <w:rPr>
          <w:i/>
          <w:iCs/>
        </w:rPr>
        <w:t>Cobra II: The Inside Story of the Invasion And Occupation of Iraq</w:t>
      </w:r>
      <w:r w:rsidRPr="0089381D">
        <w:t xml:space="preserve"> (New York: Vintage Books, 2007); Michael R. Gordon and Bernard E. Trainor, </w:t>
      </w:r>
      <w:r w:rsidRPr="0089381D">
        <w:rPr>
          <w:i/>
          <w:iCs/>
        </w:rPr>
        <w:t>The Endgame: The Inside Story of the Struggle for Iraq, from George W. Bush to Barack Obama</w:t>
      </w:r>
      <w:r w:rsidRPr="0089381D">
        <w:t xml:space="preserve"> (Pantheon Books, 2012); Jon R. Lindsay and Roger Petersen, “Varieties of Insurgency and Counterinsurgency in Iraq, 2003-2009,” Center for Irregular Warfare and Armed Groups Case Study Series (Newport, RI: Naval War College, 2012); Sean Naylor, </w:t>
      </w:r>
      <w:r w:rsidRPr="0089381D">
        <w:rPr>
          <w:i/>
          <w:iCs/>
        </w:rPr>
        <w:t>Relentless Strike: The Secret History of Joint Special Operations Command</w:t>
      </w:r>
      <w:r w:rsidRPr="0089381D">
        <w:t xml:space="preserve"> (St. Martin’s Press, 2015).</w:t>
      </w:r>
      <w:r>
        <w:rPr>
          <w:rStyle w:val="FootnoteCharacters"/>
        </w:rPr>
        <w:fldChar w:fldCharType="end"/>
      </w:r>
    </w:p>
  </w:footnote>
  <w:footnote w:id="49">
    <w:p w14:paraId="6281EA0A" w14:textId="2663CA81" w:rsidR="00090CF0" w:rsidRDefault="00090CF0" w:rsidP="00D12BCB">
      <w:pPr>
        <w:pStyle w:val="Footnotes"/>
      </w:pPr>
      <w:r>
        <w:rPr>
          <w:rStyle w:val="FootnoteCharacters"/>
        </w:rPr>
        <w:footnoteRef/>
      </w:r>
      <w:r>
        <w:rPr>
          <w:rStyle w:val="FootnoteCharacters"/>
        </w:rPr>
        <w:tab/>
      </w:r>
      <w:r>
        <w:rPr>
          <w:lang w:val="en-CA"/>
        </w:rPr>
        <w:t xml:space="preserve">Conversely, as costliness of the Iraq war suggests, “gray zone” may be a poor description of cases where actors fail to exercise restraint because they do not understand their own deterrence sensitivities. </w:t>
      </w:r>
    </w:p>
  </w:footnote>
  <w:footnote w:id="50">
    <w:p w14:paraId="2CFC6297" w14:textId="7C460D51"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{"citationID":"aguavsi9v7","properties":{"formattedCitation":"Altman, \\uc0\\u8220{}Advancing without Attacking\\uc0\\u8221{}; Benjamin Jensen and David Banks, \\uc0\\u8220{}Cyber Operations in Conflict: Lessons from Analytic Wargames,\\uc0\\u8221{} CLTC Occasional White Paper Series (Berkeley, CA: Center for Long-term Cybersecurity, April 16, 2018), https://cltc.berkeley.edu/wp-content/uploads/2018/04/Cyber_Operations_In_Conflict.pdf.","plainCitation":"Altman, “Advancing without Attacking”; Benjamin Jensen and David Banks, “Cyber Operations in Conflict: Lessons from Analytic Wargames,” CLTC Occasional White Paper Series (Berkeley, CA: Center for Long-term Cybersecurity, April 16, 2018), https://cltc.berkeley.edu/wp-content/uploads/2018/04/Cyber_Operations_In_Conflict.pdf.","noteIndex":50},"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28095,"uris":["http://zotero.org/users/2506258/items/PYJPPC59"],"uri":["http://zotero.org/users/2506258/items/PYJPPC59"],"itemData":{"id":28095,"type":"report","title":"Cyber Operations in Conflict: Lessons from Analytic Wargames","collection-title":"CLTC Occasional White Paper Series","publisher":"Center for Long-term Cybersecurity","publisher-place":"Berkeley, CA","event-place":"Berkeley, CA","URL":"https://cltc.berkeley.edu/wp-content/uploads/2018/04/Cyber_Operations_In_Conflict.pdf","author":[{"family":"Jensen","given":"Benjamin"},{"family":"Banks","given":"David"}],"issued":{"date-parts":[["2018",4,16]]},"accessed":{"date-parts":[["2019",8,29]]}}}],"schema":"https://github.com/citation-style-language/schema/raw/master/csl-citation.json"} </w:instrText>
      </w:r>
      <w:r>
        <w:rPr>
          <w:rStyle w:val="FootnoteCharacters"/>
        </w:rPr>
        <w:fldChar w:fldCharType="separate"/>
      </w:r>
      <w:r w:rsidR="00604876" w:rsidRPr="00604876">
        <w:t>Altman, “Advancing without Attacking”; Benjamin Jensen and David Banks, “Cyber Operations in Conflict: Lessons from Analytic Wargames,” CLTC Occasional White Paper Series (Berkeley, CA: Center for Long-term Cybersecurity, April 16, 2018), https://cltc.berkeley.edu/wp-content/uploads/2018/04/Cyber_Operations_In_Conflict.pdf.</w:t>
      </w:r>
      <w:r>
        <w:rPr>
          <w:rStyle w:val="FootnoteCharacters"/>
        </w:rPr>
        <w:fldChar w:fldCharType="end"/>
      </w:r>
    </w:p>
  </w:footnote>
  <w:footnote w:id="51">
    <w:p w14:paraId="695F1657" w14:textId="35E50378"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{"citationID":"agfdh1q2ai","properties":{"formattedCitation":"Robert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587–623.","noteIndex":51},"citationItems":[{"id":"rdP23v6k/GFLbTZO2","uris":["http://zotero.org/users/471208/items/RVGPZ94F"],"uri":["http://zotero.org/users/471208/items/RVGPZ94F"],"itemData":{"id":"XB4YeRPs/ucBa81sn","type":"article-journal","title":"Cooperation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rdP23v6k/0nbzigyq","uris":["http://zotero.org/users/471208/items/DDUGDE63"],"uri":["http://zotero.org/users/471208/items/DDUGDE63"],"itemData":{"id":"XB4YeRPs/vfKyGhQ3","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Pr>
          <w:rStyle w:val="FootnoteCharacters"/>
        </w:rPr>
        <w:fldChar w:fldCharType="separate"/>
      </w:r>
      <w:r w:rsidRPr="0089381D">
        <w:t xml:space="preserve">Robert Jervis, “Cooperation Under the Security Dilemma,” </w:t>
      </w:r>
      <w:r w:rsidRPr="0089381D">
        <w:rPr>
          <w:i/>
          <w:iCs/>
        </w:rPr>
        <w:t>World Politics</w:t>
      </w:r>
      <w:r w:rsidRPr="0089381D">
        <w:t xml:space="preserve"> 30, no. 2 (1978): 167–214; Shiping Tang, “The Security Dilemma: A Conceptual Analysis,” </w:t>
      </w:r>
      <w:r w:rsidRPr="0089381D">
        <w:rPr>
          <w:i/>
          <w:iCs/>
        </w:rPr>
        <w:t>Security Studies</w:t>
      </w:r>
      <w:r w:rsidRPr="0089381D">
        <w:t xml:space="preserve"> 18, no. 3 (2009): 587–623.</w:t>
      </w:r>
      <w:r>
        <w:rPr>
          <w:rStyle w:val="FootnoteCharacters"/>
        </w:rPr>
        <w:fldChar w:fldCharType="end"/>
      </w:r>
    </w:p>
  </w:footnote>
  <w:footnote w:id="52">
    <w:p w14:paraId="7FE8FF7D" w14:textId="7EAE9F9A"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{"citationID":"a11orl2loot","properties":{"formattedCitation":"Randall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52},"citationItems":[{"id":"rdP23v6k/cM7dgkfy","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Pr>
          <w:rStyle w:val="FootnoteCharacters"/>
        </w:rPr>
        <w:fldChar w:fldCharType="separate"/>
      </w:r>
      <w:r w:rsidRPr="0089381D">
        <w:t xml:space="preserve">Randall L. Schweller, “Neorealism’s Status‐quo Bias: What Security </w:t>
      </w:r>
      <w:proofErr w:type="gramStart"/>
      <w:r w:rsidRPr="0089381D">
        <w:t>Dilemma?,</w:t>
      </w:r>
      <w:proofErr w:type="gramEnd"/>
      <w:r w:rsidRPr="0089381D">
        <w:t xml:space="preserve">” </w:t>
      </w:r>
      <w:r w:rsidRPr="0089381D">
        <w:rPr>
          <w:i/>
          <w:iCs/>
        </w:rPr>
        <w:t>Security Studies</w:t>
      </w:r>
      <w:r w:rsidRPr="0089381D">
        <w:t xml:space="preserve"> 5, no. 3 (March 1, 1996): 90–121, https://doi.org/10.1080/09636419608429277.</w:t>
      </w:r>
      <w:r>
        <w:rPr>
          <w:rStyle w:val="FootnoteCharacters"/>
        </w:rPr>
        <w:fldChar w:fldCharType="end"/>
      </w:r>
    </w:p>
  </w:footnote>
  <w:footnote w:id="53">
    <w:p w14:paraId="289E503A"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{"citationID":"a69dm43k3f","properties":{"formattedCitation":"Boulding, {\\i{}Conflict and Defense}.","plainCitation":"Boulding, Conflict and Defense.","noteIndex":53},"citationItems":[{"id":10396,"uris":["http://zotero.org/users/2506258/items/KBT55NX8"],"uri":["http://zotero.org/users/2506258/items/KBT55NX8"],"itemData":{"id":10396,"type":"book","title":"Conflict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Boulding, </w:t>
      </w:r>
      <w:r w:rsidRPr="0089381D">
        <w:rPr>
          <w:i/>
          <w:iCs/>
        </w:rPr>
        <w:t>Conflict and Defense</w:t>
      </w:r>
      <w:r w:rsidRPr="0089381D">
        <w:t>.</w:t>
      </w:r>
      <w:r>
        <w:rPr>
          <w:rStyle w:val="FootnoteCharacters"/>
        </w:rPr>
        <w:fldChar w:fldCharType="end"/>
      </w:r>
    </w:p>
  </w:footnote>
  <w:footnote w:id="54">
    <w:p w14:paraId="5C78979C" w14:textId="77777777" w:rsidR="00090CF0" w:rsidRPr="00B469D1" w:rsidRDefault="00090CF0" w:rsidP="00D12BCB">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{"citationID":"a2huf01is3h","properties":{"formattedCitation":"Barry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 </w:instrText>
      </w:r>
      <w:r>
        <w:rPr>
          <w:rStyle w:val="FootnoteCharacters"/>
        </w:rPr>
        <w:fldChar w:fldCharType="separate"/>
      </w:r>
      <w:r w:rsidRPr="0089381D">
        <w:t xml:space="preserve">Barry Posen, “Command of the Commons: The Military Foundation of U.S. Hegemony,” </w:t>
      </w:r>
      <w:r w:rsidRPr="0089381D">
        <w:rPr>
          <w:i/>
          <w:iCs/>
        </w:rPr>
        <w:t>International Security</w:t>
      </w:r>
      <w:r w:rsidRPr="0089381D">
        <w:t xml:space="preserve"> 28, no. 1 (July 1, 2003): 5–46, https://doi.org/10.1162/016228803322427965; Erik Gartzke and Patrick Hulme, “The Tyranny of Distance: Assessing and Explaining the Apparent Decline in U.S. Military Performance” (Manuscript, June 2019).</w:t>
      </w:r>
      <w:r>
        <w:rPr>
          <w:rStyle w:val="FootnoteCharacters"/>
        </w:rPr>
        <w:fldChar w:fldCharType="end"/>
      </w:r>
    </w:p>
  </w:footnote>
  <w:footnote w:id="55">
    <w:p w14:paraId="195D3402"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{"citationID":"a1oqtlsql9q","properties":{"formattedCitation":"Julian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2001).","noteIndex":55},"citationItems":[{"id":16092,"uris":["http://zotero.org/users/2506258/items/PBRBCXCX"],"uri":["http://zotero.org/users/2506258/items/PBRBCXCX"],"itemData":{"id":16092,"type":"book","title":"Some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r>
        <w:rPr>
          <w:rStyle w:val="FootnoteCharacters"/>
        </w:rPr>
        <w:fldChar w:fldCharType="separate"/>
      </w:r>
      <w:r w:rsidRPr="0089381D">
        <w:t xml:space="preserve">Julian Corbett, </w:t>
      </w:r>
      <w:r w:rsidRPr="0089381D">
        <w:rPr>
          <w:i/>
          <w:iCs/>
        </w:rPr>
        <w:t>Some Principles of Maritime Strategy</w:t>
      </w:r>
      <w:r w:rsidRPr="0089381D">
        <w:t xml:space="preserve"> (Longmans, Green and Co., 1911); Norman Friedman, </w:t>
      </w:r>
      <w:r w:rsidRPr="0089381D">
        <w:rPr>
          <w:i/>
          <w:iCs/>
        </w:rPr>
        <w:t>Seapower as Strategy: Navies and National Interests</w:t>
      </w:r>
      <w:r w:rsidRPr="0089381D">
        <w:t xml:space="preserve"> (Naval Institute Press, 2001).</w:t>
      </w:r>
      <w:r>
        <w:rPr>
          <w:rStyle w:val="FootnoteCharacters"/>
        </w:rPr>
        <w:fldChar w:fldCharType="end"/>
      </w:r>
    </w:p>
  </w:footnote>
  <w:footnote w:id="56">
    <w:p w14:paraId="27A0FFA1"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{"citationID":"a2p93eolt1q","properties":{"formattedCitation":"Daehee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https://doi.org/10.1080/03050629.2017.1320995.","noteIndex":56},"citationItems":[{"id":14410,"uris":["http://zotero.org/users/2506258/items/XG4BQTL6"],"uri":["http://zotero.org/users/2506258/items/XG4BQTL6"],"itemData":{"id":14410,"type":"article-journal","title":"Alliance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rPr>
          <w:rStyle w:val="FootnoteCharacters"/>
        </w:rPr>
        <w:fldChar w:fldCharType="separate"/>
      </w:r>
      <w:r w:rsidRPr="0089381D">
        <w:t xml:space="preserve">Daehee Bak, “Alliance Proximity and Effectiveness of Extended Deterrence,” </w:t>
      </w:r>
      <w:r w:rsidRPr="0089381D">
        <w:rPr>
          <w:i/>
          <w:iCs/>
        </w:rPr>
        <w:t>International Interactions</w:t>
      </w:r>
      <w:r w:rsidRPr="0089381D">
        <w:t xml:space="preserve"> 44, no. 1 (January 2, 2018): 107–31, https://doi.org/10.1080/03050629.2017.1320995.</w:t>
      </w:r>
      <w:r>
        <w:rPr>
          <w:rStyle w:val="FootnoteCharacters"/>
        </w:rPr>
        <w:fldChar w:fldCharType="end"/>
      </w:r>
    </w:p>
  </w:footnote>
  <w:footnote w:id="57">
    <w:p w14:paraId="667B813A" w14:textId="1268D104"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{"citationID":"a1f3rrpqcir","properties":{"formattedCitation":"Thomas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57},"citationItems":[{"id":"rdP23v6k/3MUuswj8","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Pr>
          <w:rStyle w:val="FootnoteCharacters"/>
        </w:rPr>
        <w:fldChar w:fldCharType="separate"/>
      </w:r>
      <w:r w:rsidRPr="0089381D">
        <w:t xml:space="preserve">Thomas J. Christensen and Jack Snyder, “Chain Gangs and Passed Bucks: Predicting Alliance Patterns in Multipolarity,” </w:t>
      </w:r>
      <w:r w:rsidRPr="0089381D">
        <w:rPr>
          <w:i/>
          <w:iCs/>
        </w:rPr>
        <w:t>International Organization</w:t>
      </w:r>
      <w:r w:rsidRPr="0089381D">
        <w:t xml:space="preserve"> 44, no. 02 (March 1990): 137–168, https://doi.org/10.1017/S0020818300035232.</w:t>
      </w:r>
      <w:r>
        <w:rPr>
          <w:rStyle w:val="FootnoteCharacters"/>
        </w:rPr>
        <w:fldChar w:fldCharType="end"/>
      </w:r>
    </w:p>
  </w:footnote>
  <w:footnote w:id="58">
    <w:p w14:paraId="2B1981B0"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{"citationID":"a2ka94ahgt7","properties":{"formattedCitation":"Justin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https://doi.org/10.1016/j.ejpoleco.2017.09.002.","noteIndex":58},"citationItems":[{"id":16295,"uris":["http://zotero.org/users/2506258/items/SMK2FVYZ"],"uri":["http://zotero.org/users/2506258/items/SMK2FVYZ"],"itemData":{"id":16295,"type":"article-journal","title":"Demand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rPr>
          <w:rStyle w:val="FootnoteCharacters"/>
        </w:rPr>
        <w:fldChar w:fldCharType="separate"/>
      </w:r>
      <w:r w:rsidRPr="0089381D">
        <w:t xml:space="preserve">Justin George and Todd Sandler, “Demand for Military Spending in NATO, 1968–2015: A Spatial Panel Approach,” </w:t>
      </w:r>
      <w:r w:rsidRPr="0089381D">
        <w:rPr>
          <w:i/>
          <w:iCs/>
        </w:rPr>
        <w:t>European Journal of Political Economy</w:t>
      </w:r>
      <w:r w:rsidRPr="0089381D">
        <w:t xml:space="preserve"> 53 (July 1, 2018): 222–36, https://doi.org/10.1016/j.ejpoleco.2017.09.002.</w:t>
      </w:r>
      <w:r>
        <w:rPr>
          <w:rStyle w:val="FootnoteCharacters"/>
        </w:rPr>
        <w:fldChar w:fldCharType="end"/>
      </w:r>
    </w:p>
  </w:footnote>
  <w:footnote w:id="59">
    <w:p w14:paraId="0C90FAD5"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{"citationID":"a1pgvoi7cu0","properties":{"formattedCitation":"Timo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https://doi.org/10.1057/9781137330307_14.","noteIndex":59},"citationItems":[{"id":15176,"uris":["http://zotero.org/users/2506258/items/FD7JMWZE"],"uri":["http://zotero.org/users/2506258/items/FD7JMWZE"],"itemData":{"id":15176,"type":"article-journal","title":"NATO's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rPr>
          <w:rStyle w:val="FootnoteCharacters"/>
        </w:rPr>
        <w:fldChar w:fldCharType="separate"/>
      </w:r>
      <w:r w:rsidRPr="0089381D">
        <w:t xml:space="preserve">Timo Noetzel and Benjamin Schreer, “NATO’s Vietnam? Afghanistan and the Future of the Atlantic Alliance,” </w:t>
      </w:r>
      <w:r w:rsidRPr="0089381D">
        <w:rPr>
          <w:i/>
          <w:iCs/>
        </w:rPr>
        <w:t>Contemporary Security Policy</w:t>
      </w:r>
      <w:r w:rsidRPr="0089381D">
        <w:t xml:space="preserve"> 30, no. 3 (December 1, 2009): 529–47, https://doi.org/10.1080/13523260903327618; Janne Haaland Matláry, “Partners versus Members? NATO as an Arena for Coalitions,” in </w:t>
      </w:r>
      <w:r w:rsidRPr="0089381D">
        <w:rPr>
          <w:i/>
          <w:iCs/>
        </w:rPr>
        <w:t>NATO’s Post-Cold War Politics: The Changing Provision of Security</w:t>
      </w:r>
      <w:r w:rsidRPr="0089381D">
        <w:t>, ed. Sebastian Mayer, New Security Challenges Series (London: Palgrave Macmillan UK, 2014), 251–66, https://doi.org/10.1057/9781137330307_14.</w:t>
      </w:r>
      <w:r>
        <w:rPr>
          <w:rStyle w:val="FootnoteCharacters"/>
        </w:rPr>
        <w:fldChar w:fldCharType="end"/>
      </w:r>
    </w:p>
  </w:footnote>
  <w:footnote w:id="60">
    <w:p w14:paraId="30F37234"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{"citationID":"a289bn2gf36","properties":{"formattedCitation":"Daniel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Drezner, “The Global Governance of the Internet: Bringing the State Back In,” Political Science Quarterly 119, no. 3 (2004): 477–98, https://doi.org/10.2307/20202392; Jack Goldsmith and Tim Wu, Who Controls the Internet?: Illusions of a Borderless World (Oxford University Press, 2006).","noteIndex":60},"citationItems":[{"id":17781,"uris":["http://zotero.org/users/2506258/items/IRQ4SVU4"],"uri":["http://zotero.org/users/2506258/items/IRQ4SVU4"],"itemData":{"id":17781,"type":"article-journal","title":"The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rPr>
          <w:rStyle w:val="FootnoteCharacters"/>
        </w:rPr>
        <w:fldChar w:fldCharType="separate"/>
      </w:r>
      <w:r w:rsidRPr="0089381D">
        <w:t xml:space="preserve">Daniel Drezner, “The Global Governance of the Internet: Bringing the State Back In,” </w:t>
      </w:r>
      <w:r w:rsidRPr="0089381D">
        <w:rPr>
          <w:i/>
          <w:iCs/>
        </w:rPr>
        <w:t>Political Science Quarterly</w:t>
      </w:r>
      <w:r w:rsidRPr="0089381D">
        <w:t xml:space="preserve"> 119, no. 3 (2004): 477–98, https://doi.org/10.2307/20202392; Jack Goldsmith and Tim Wu, </w:t>
      </w:r>
      <w:r w:rsidRPr="0089381D">
        <w:rPr>
          <w:i/>
          <w:iCs/>
        </w:rPr>
        <w:t>Who Controls the Internet?: Illusions of a Borderless World</w:t>
      </w:r>
      <w:r w:rsidRPr="0089381D">
        <w:t xml:space="preserve"> (Oxford University Press, 2006).</w:t>
      </w:r>
      <w:r>
        <w:rPr>
          <w:rStyle w:val="FootnoteCharacters"/>
        </w:rPr>
        <w:fldChar w:fldCharType="end"/>
      </w:r>
    </w:p>
  </w:footnote>
  <w:footnote w:id="61">
    <w:p w14:paraId="067110E8" w14:textId="2B61A724" w:rsidR="00090CF0" w:rsidRDefault="00090CF0" w:rsidP="00A508AF">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{"citationID":"af9ia6s0ol","properties":{"formattedCitation":"Brandon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347–60.","noteIndex":61},"citationItems":[{"id":"rdP23v6k/HH13kmzf","uris":["http://zotero.org/users/471208/items/WSVEGB3T"],"uri":["http://zotero.org/users/471208/items/WSVEGB3T"],"itemData":{"id":"XB4YeRPs/nux20O1E","type":"article-journal","title":"The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 xml:space="preserve">Brandon Valeriano and Ryan Maness, “The Dynamics of Cyber Conflict between Rival Antagonists, 2001-2011,” </w:t>
      </w:r>
      <w:r w:rsidRPr="0089381D">
        <w:rPr>
          <w:i/>
          <w:iCs/>
        </w:rPr>
        <w:t>Journal of Peace Research</w:t>
      </w:r>
      <w:r w:rsidRPr="0089381D">
        <w:t xml:space="preserve"> 51, no. 3 (May 2014): 347–60.</w:t>
      </w:r>
      <w:r>
        <w:rPr>
          <w:rStyle w:val="FootnoteCharacters"/>
        </w:rPr>
        <w:fldChar w:fldCharType="end"/>
      </w:r>
      <w:r>
        <w:t xml:space="preserve"> </w:t>
      </w:r>
      <w:r>
        <w:fldChar w:fldCharType="begin"/>
      </w:r>
      <w:r w:rsidR="00604876">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347–60.","dontUpdate":true,"noteIndex":61},"citationItems":[{"id":"rdP23v6k/HH13kmzf","uris":["http://zotero.org/users/471208/items/WSVEGB3T"],"uri":["http://zotero.org/users/471208/items/WSVEGB3T"],"itemData":{"id":1299,"type":"article-journal","title":"The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end"/>
      </w:r>
      <w:bookmarkStart w:id="13" w:name="__Fieldmark__2403_673422073"/>
      <w:bookmarkEnd w:id="13"/>
    </w:p>
  </w:footnote>
  <w:footnote w:id="62">
    <w:p w14:paraId="3AA249DB"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{"citationID":"a208rrv0713","properties":{"formattedCitation":"Jacquelyn Schneider, \\uc0\\u8220{}The Information Revolution and International Stability: A Multi-Article Exploration of Computing, Cyber, and Incentives for Conflict\\uc0\\u8221{} (Dissertation, George Washington University, 2017).","plainCitation":"Jacquelyn Schneider, “The Information Revolution and International Stability: A Multi-Article Exploration of Computing, Cyber, and Incentives for Conflict” (Dissertation, George Washington University, 2017).","noteIndex":62},"citationItems":[{"id":17812,"uris":["http://zotero.org/users/2506258/items/M2ZQ8MUD"],"uri":["http://zotero.org/users/2506258/items/M2ZQ8MUD"],"itemData":{"id":17812,"type":"thesis","title":"The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 </w:instrText>
      </w:r>
      <w:r>
        <w:rPr>
          <w:rStyle w:val="FootnoteCharacters"/>
        </w:rPr>
        <w:fldChar w:fldCharType="separate"/>
      </w:r>
      <w:r w:rsidRPr="0089381D">
        <w:t>Jacquelyn Schneider, “The Information Revolution and International Stability: A Multi-Article Exploration of Computing, Cyber, and Incentives for Conflict” (Dissertation, George Washington University, 2017).</w:t>
      </w:r>
      <w:r>
        <w:rPr>
          <w:rStyle w:val="FootnoteCharacters"/>
        </w:rPr>
        <w:fldChar w:fldCharType="end"/>
      </w:r>
    </w:p>
  </w:footnote>
  <w:footnote w:id="63">
    <w:p w14:paraId="7EF82B86" w14:textId="586D354D" w:rsidR="00090CF0" w:rsidRDefault="00090CF0" w:rsidP="00A508AF">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{"citationID":"a5e5enk5gg","properties":{"formattedCitation":"Valeriano and Maness, \\uc0\\u8220{}The Dynamics of Cyber Conflict between Rival Antagonists, 2001-2011.\\uc0\\u8221{}","plainCitation":"Valeriano and Maness, “The Dynamics of Cyber Conflict between Rival Antagonists, 2001-2011.”","noteIndex":63},"citationItems":[{"id":"rdP23v6k/HH13kmzf","uris":["http://zotero.org/users/471208/items/WSVEGB3T"],"uri":["http://zotero.org/users/471208/items/WSVEGB3T"],"itemData":{"id":"XB4YeRPs/nux20O1E","type":"article-journal","title":"The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Valeriano and Maness, “The Dynamics of Cyber Conflict between Rival Antagonists, 2001-2011.”</w:t>
      </w:r>
      <w:r>
        <w:rPr>
          <w:rStyle w:val="FootnoteCharacters"/>
        </w:rPr>
        <w:fldChar w:fldCharType="end"/>
      </w:r>
    </w:p>
  </w:footnote>
  <w:footnote w:id="64">
    <w:p w14:paraId="11AAB323" w14:textId="25C2F9F1"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{"citationID":"amm5357d79","properties":{"formattedCitation":"Jon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https://doi.org/10.1162/ISEC_a_00267.","noteIndex":64},"citationItems":[{"id":791,"uris":["http://zotero.org/users/2506258/items/G75B9TFI"],"uri":["http://zotero.org/users/2506258/items/G75B9TFI"],"itemData":{"id":791,"type":"article-journal","title":"Reinventing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rPr>
          <w:rStyle w:val="FootnoteCharacters"/>
        </w:rPr>
        <w:fldChar w:fldCharType="separate"/>
      </w:r>
      <w:r w:rsidRPr="0089381D">
        <w:t xml:space="preserve">Jon R. Lindsay, “Reinventing the Revolution: Technological Visions, Counterinsurgent Criticism, and the Rise of Special Operations,” </w:t>
      </w:r>
      <w:r w:rsidRPr="0089381D">
        <w:rPr>
          <w:i/>
          <w:iCs/>
        </w:rPr>
        <w:t>Journal of Strategic Studies</w:t>
      </w:r>
      <w:r w:rsidRPr="0089381D">
        <w:t xml:space="preserve"> 36, no. 3 (June 1, 2013): 422–53, https://doi.org/10.1080/01402390.2012.734252; Erik Gartzke and Jon R. Lindsay, “Weaving Tangled Webs: Offense, Defense, and Deception in Cyberspace,” </w:t>
      </w:r>
      <w:r w:rsidRPr="0089381D">
        <w:rPr>
          <w:i/>
          <w:iCs/>
        </w:rPr>
        <w:t>Security Studies</w:t>
      </w:r>
      <w:r w:rsidRPr="0089381D">
        <w:t xml:space="preserve"> 24, no. 2 (April 3, 2015): 316–48, https://doi.org/10.1080/09636412.2015.1038188; Ben Buchanan, </w:t>
      </w:r>
      <w:r w:rsidRPr="0089381D">
        <w:rPr>
          <w:i/>
          <w:iCs/>
        </w:rPr>
        <w:t>The Cybersecurity Dilemma: Hacking, Trust, and Fear Between Nations</w:t>
      </w:r>
      <w:r w:rsidRPr="0089381D">
        <w:t xml:space="preserve"> (Oxford University Press, 2016); Rebecca Slayton, “What Is the Cyber Offense-Defense Balance? Conceptions, Causes, and Assessment,” </w:t>
      </w:r>
      <w:r w:rsidRPr="0089381D">
        <w:rPr>
          <w:i/>
          <w:iCs/>
        </w:rPr>
        <w:t>International Security</w:t>
      </w:r>
      <w:r w:rsidRPr="0089381D">
        <w:t xml:space="preserve"> 41, no. 3 (January 1, 2017): 72–109, https://doi.org/10.1162/ISEC_a_00267.</w:t>
      </w:r>
      <w:r>
        <w:rPr>
          <w:rStyle w:val="FootnoteCharacters"/>
        </w:rPr>
        <w:fldChar w:fldCharType="end"/>
      </w:r>
      <w:r>
        <w:rPr>
          <w:rStyle w:val="FootnoteCharacters"/>
        </w:rPr>
        <w:t xml:space="preserve"> </w:t>
      </w:r>
      <w:r>
        <w:t>It is noteworthy that the United States relied on a regional partner (Israel) for the Stuxnet operation.</w:t>
      </w:r>
    </w:p>
  </w:footnote>
  <w:footnote w:id="65">
    <w:p w14:paraId="5CA6F824" w14:textId="77777777" w:rsidR="00090CF0" w:rsidRDefault="00090CF0"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{"citationID":"a1kml7sbt4f","properties":{"formattedCitation":"Erik Gartzke, \\uc0\\u8220{}The Myth of Cyberwar: Bringing War in Cyberspace Back Down to Earth,\\uc0\\u8221{} {\\i{}International Security} 38, no. 2 (October 1, 2013): 41\\uc0\\u8211{}73, https://doi.org/10.1162/ISEC_a_00136; Gartzke and Lindsay, \\uc0\\u8220{}Weaving Tangled Webs\\uc0\\u8221{}; Erica Borghard and Shawn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Borghard and Shawn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2019).","noteIndex":65},"citationItems":[{"id":17741,"uris":["http://zotero.org/users/2506258/items/I4F2QI9R"],"uri":["http://zotero.org/users/2506258/items/I4F2QI9R"],"itemData":{"id":17741,"type":"article-journal","title":"The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rPr>
          <w:rStyle w:val="FootnoteCharacters"/>
        </w:rPr>
        <w:fldChar w:fldCharType="separate"/>
      </w:r>
      <w:r w:rsidRPr="0089381D">
        <w:t xml:space="preserve">Erik Gartzke, “The Myth of Cyberwar: Bringing War in Cyberspace Back Down to Earth,” </w:t>
      </w:r>
      <w:r w:rsidRPr="0089381D">
        <w:rPr>
          <w:i/>
          <w:iCs/>
        </w:rPr>
        <w:t>International Security</w:t>
      </w:r>
      <w:r w:rsidRPr="0089381D">
        <w:t xml:space="preserve"> 38, no. 2 (October 1, 2013): 41–73, https://doi.org/10.1162/ISEC_a_00136; Gartzke and Lindsay, “Weaving Tangled Webs”; Erica Borghard and Shawn Lonergan, “The Logic of Coercion in Cyberspace,” </w:t>
      </w:r>
      <w:r w:rsidRPr="0089381D">
        <w:rPr>
          <w:i/>
          <w:iCs/>
        </w:rPr>
        <w:t>Security Studies</w:t>
      </w:r>
      <w:r w:rsidRPr="0089381D">
        <w:t xml:space="preserve"> 26, no. 3 (July 3, 2017): 452–81, https://doi.org/10.1080/09636412.2017.1306396; Jacquelyn Schneider, “Deterrence in and through Cyberspace,” in </w:t>
      </w:r>
      <w:r w:rsidRPr="0089381D">
        <w:rPr>
          <w:i/>
          <w:iCs/>
        </w:rPr>
        <w:t>Cross-Domain Deterrence: Strategy in an Era of Complexity</w:t>
      </w:r>
      <w:r w:rsidRPr="0089381D">
        <w:t>, ed. Jon R. Lindsay and Erik Gartzke, 1st edition (New York, NY: Oxford University Press, 2019).</w:t>
      </w:r>
      <w:r>
        <w:rPr>
          <w:rStyle w:val="FootnoteCharacters"/>
        </w:rPr>
        <w:fldChar w:fldCharType="end"/>
      </w:r>
    </w:p>
  </w:footnote>
  <w:footnote w:id="66">
    <w:p w14:paraId="0C8A6049" w14:textId="786EFC9B" w:rsidR="00090CF0" w:rsidRDefault="00090CF0" w:rsidP="00D12BCB">
      <w:pPr>
        <w:pStyle w:val="Footnotes"/>
      </w:pPr>
      <w:r>
        <w:rPr>
          <w:rStyle w:val="FootnoteCharacters"/>
        </w:rPr>
        <w:footnoteRef/>
      </w:r>
      <w:r>
        <w:rPr>
          <w:rStyle w:val="FootnoteCharacters"/>
        </w:rPr>
        <w:tab/>
      </w:r>
      <w:r>
        <w:t xml:space="preserve"> At least initially. For complications, see </w:t>
      </w:r>
      <w:r>
        <w:fldChar w:fldCharType="begin"/>
      </w:r>
      <w:r w:rsidR="00604876">
        <w:instrText xml:space="preserve"> ADDIN ZOTERO_ITEM CSL_CITATION {"citationID":"aad35jakis","properties":{"formattedCitation":"Timothy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2018).","noteIndex":66},"citationItems":[{"id":"rdP23v6k/0CkVejXt","uris":["http://zotero.org/users/471208/items/CAFINTFU"],"uri":["http://zotero.org/users/471208/items/CAFINTFU"],"itemData":{"id":"XB4YeRPs/3tcPBW7K","type":"book","title":"Pivotal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W."}],"issued":{"date-parts":[["2003"]]}}},{"id":"rdP23v6k/3nI2nHiX","uris":["http://zotero.org/users/471208/items/I6TP73ZX"],"uri":["http://zotero.org/users/471208/items/I6TP73ZX"],"itemData":{"id":"XB4YeRPs/wWbbENjq","type":"book","title":"Triadic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Pr="0089381D">
        <w:t xml:space="preserve">Timothy W. Crawford, </w:t>
      </w:r>
      <w:r w:rsidRPr="0089381D">
        <w:rPr>
          <w:i/>
          <w:iCs/>
        </w:rPr>
        <w:t>Pivotal Deterrence: Third-Party Statecraft and the Pursuit of Peace</w:t>
      </w:r>
      <w:r w:rsidRPr="0089381D">
        <w:t xml:space="preserve"> (Cornell University Press, 2003); Wendy Pearlman and Boaz Atzili, </w:t>
      </w:r>
      <w:r w:rsidRPr="0089381D">
        <w:rPr>
          <w:i/>
          <w:iCs/>
        </w:rPr>
        <w:t>Triadic Coercion: Israel’s Targeting of States That Host Nonstate Actors</w:t>
      </w:r>
      <w:r w:rsidRPr="0089381D">
        <w:t xml:space="preserve"> (New York: Columbia University Press, 2018).</w:t>
      </w:r>
      <w:r>
        <w:fldChar w:fldCharType="end"/>
      </w:r>
    </w:p>
  </w:footnote>
  <w:footnote w:id="67">
    <w:p w14:paraId="339C96E1"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{"citationID":"a24dvm6c6h4","properties":{"formattedCitation":"Lanoszka, \\uc0\\u8220{}Russian Hybrid Warfare and Extended Deterrence in Eastern Europe.\\uc0\\u8221{}","plainCitation":"Lanoszka, “Russian Hybrid Warfare and Extended Deterrence in Eastern Europe.”","noteIndex":67},"citationItems":[{"id":6874,"uris":["http://zotero.org/users/2506258/items/AAWAWVXN"],"uri":["http://zotero.org/users/2506258/items/AAWAWVXN"],"itemData":{"id":6874,"type":"article-journal","title":"Russian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Pr>
          <w:rStyle w:val="FootnoteCharacters"/>
        </w:rPr>
        <w:fldChar w:fldCharType="separate"/>
      </w:r>
      <w:r w:rsidRPr="0089381D">
        <w:t>Lanoszka, “Russian Hybrid Warfare and Extended Deterrence in Eastern Europe.”</w:t>
      </w:r>
      <w:r>
        <w:rPr>
          <w:rStyle w:val="FootnoteCharacters"/>
        </w:rPr>
        <w:fldChar w:fldCharType="end"/>
      </w:r>
    </w:p>
  </w:footnote>
  <w:footnote w:id="68">
    <w:p w14:paraId="1954FEB9"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{"citationID":"a24hmj54nhk","properties":{"formattedCitation":"David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https://doi.org/10.1177/0022343313484047.","noteIndex":68},"citationItems":[{"id":15432,"uris":["http://zotero.org/users/2506258/items/LPRH47IP"],"uri":["http://zotero.org/users/2506258/items/LPRH47IP"],"itemData":{"id":15432,"type":"article-journal","title":"Me,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rPr>
          <w:rStyle w:val="FootnoteCharacters"/>
        </w:rPr>
        <w:fldChar w:fldCharType="separate"/>
      </w:r>
      <w:r w:rsidRPr="0089381D">
        <w:t xml:space="preserve">David Sobek and Joe Clare, “Me, Myself, and Allies: Understanding the External Sources of Power,” </w:t>
      </w:r>
      <w:r w:rsidRPr="0089381D">
        <w:rPr>
          <w:i/>
          <w:iCs/>
        </w:rPr>
        <w:t>Journal of Peace Research</w:t>
      </w:r>
      <w:r w:rsidRPr="0089381D">
        <w:t xml:space="preserve"> 50, no. 4 (July 1, 2013): 469–78, https://doi.org/10.1177/0022343313484047.</w:t>
      </w:r>
      <w:r>
        <w:rPr>
          <w:rStyle w:val="FootnoteCharacters"/>
        </w:rPr>
        <w:fldChar w:fldCharType="end"/>
      </w:r>
    </w:p>
  </w:footnote>
  <w:footnote w:id="69">
    <w:p w14:paraId="6CBCAF89"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{"citationID":"a1mbq2vp6co","properties":{"formattedCitation":"Vesna Danilovic, \\uc0\\u8220{}The Sources of Threat Credibility in Extended Deterrence,\\uc0\\u8221{} {\\i{}Journal of Conflict Resolution} 45, no. 3 (2001): 341\\uc0\\u8211{}69, https://doi.org/10.1177/0022002701045003005; James R. Holmes and Toshi Yoshihara, \\uc0\\u8220{}Deterring China in the \\uc0\\u8216{}Gray Zone\\uc0\\u8217{}: Lessons of the South China Sea for U.S. Alliances,\\uc0\\u8221{} {\\i{}Orbis}, May 11, 2017, https://doi.org/10.1016/j.orbis.2017.05.002.","plainCitation":"Vesna Danilovic, “The Sources of Threat Credibility in Extended Deterrence,” Journal of Conflict Resolution 45, no. 3 (2001): 341–69, https://doi.org/10.1177/0022002701045003005; James R. Holmes and Toshi Yoshihara, “Deterring China in the ‘Gray Zone’: Lessons of the South China Sea for U.S. Alliances,” Orbis, May 11, 2017, https://doi.org/10.1016/j.orbis.2017.05.002.","noteIndex":69},"citationItems":[{"id":7910,"uris":["http://zotero.org/users/2506258/items/UDXA3PUX"],"uri":["http://zotero.org/users/2506258/items/UDXA3PUX"],"itemData":{"id":7910,"type":"article-journal","title":"The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id":9391,"uris":["http://zotero.org/users/2506258/items/RUBRGTQM"],"uri":["http://zotero.org/users/2506258/items/RUBRGTQM"],"itemData":{"id":9391,"type":"article-journal","title":"Deterring China in the \"Gray Zone\": Lessons of the South China Sea for U.S. Alliances","container-title":"Orbis","source":"ScienceDirect","abstract":"If facing down a hostile actor in the “gray zone” is hard for a single actor, such as the United States, it is doubly hard for an alliance composed of actors with disparate capabilities, interests, and political fortitude. This article investigates how China has prosecuted gray-zone strategy in the South China Sea. We discern patterns in Chinese policy and strategy with the aim of helping U.S. led alliances face down aggression in maritime Asia.","URL":"http://www.sciencedirect.com/science/article/pii/S003043871730042X","DOI":"10.1016/j.orbis.2017.05.002","ISSN":"0030-4387","title-short":"Deterring China in the “Gray Zone”","journalAbbreviation":"Orbis","author":[{"family":"Holmes","given":"James R."},{"family":"Yoshihara","given":"Toshi"}],"issued":{"date-parts":[["2017",5,11]]},"accessed":{"date-parts":[["2017",5,26]]}}}],"schema":"https://github.com/citation-style-language/schema/raw/master/csl-citation.json"} </w:instrText>
      </w:r>
      <w:r>
        <w:rPr>
          <w:rStyle w:val="FootnoteCharacters"/>
        </w:rPr>
        <w:fldChar w:fldCharType="separate"/>
      </w:r>
      <w:r w:rsidRPr="00950D40">
        <w:t xml:space="preserve">Vesna Danilovic, “The Sources of Threat Credibility in Extended Deterrence,” </w:t>
      </w:r>
      <w:r w:rsidRPr="00950D40">
        <w:rPr>
          <w:i/>
          <w:iCs/>
        </w:rPr>
        <w:t>Journal of Conflict Resolution</w:t>
      </w:r>
      <w:r w:rsidRPr="00950D40">
        <w:t xml:space="preserve"> 45, no. 3 (2001): 341–69, https://doi.org/10.1177/0022002701045003005; James R. Holmes and Toshi Yoshihara, “Deterring China in the ‘Gray Zone’: Lessons of the South China Sea for U.S. Alliances,” </w:t>
      </w:r>
      <w:r w:rsidRPr="00950D40">
        <w:rPr>
          <w:i/>
          <w:iCs/>
        </w:rPr>
        <w:t>Orbis</w:t>
      </w:r>
      <w:r w:rsidRPr="00950D40">
        <w:t>, May 11, 2017, https://doi.org/10.1016/j.orbis.2017.05.002.</w:t>
      </w:r>
      <w:r>
        <w:rPr>
          <w:rStyle w:val="FootnoteCharacters"/>
        </w:rPr>
        <w:fldChar w:fldCharType="end"/>
      </w:r>
    </w:p>
  </w:footnote>
  <w:footnote w:id="70">
    <w:p w14:paraId="1DA6FAAE"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{"citationID":"arm41ds8ct","properties":{"formattedCitation":"Borghard and Lonergan, \\uc0\\u8220{}The Logic of Coercion in Cyberspace.\\uc0\\u8221{}","plainCitation":"Borghard and Lonergan, “The Logic of Coercion in Cyberspace.”","noteIndex":70},"citationItems":[{"id":8902,"uris":["http://zotero.org/users/2506258/items/EUQEZZ39"],"uri":["http://zotero.org/users/2506258/items/EUQEZZ39"],"itemData":{"id":8902,"type":"article-journal","title":"The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rPr>
          <w:rStyle w:val="FootnoteCharacters"/>
        </w:rPr>
        <w:fldChar w:fldCharType="separate"/>
      </w:r>
      <w:r w:rsidRPr="0089381D">
        <w:t>Borghard and Lonergan, “The Logic of Coercion in Cyberspace.”</w:t>
      </w:r>
      <w:r>
        <w:rPr>
          <w:rStyle w:val="FootnoteCharacters"/>
        </w:rPr>
        <w:fldChar w:fldCharType="end"/>
      </w:r>
    </w:p>
  </w:footnote>
  <w:footnote w:id="71">
    <w:p w14:paraId="29EBABDF" w14:textId="77777777" w:rsidR="00090CF0" w:rsidRPr="00950D40" w:rsidRDefault="00090CF0" w:rsidP="00950D40">
      <w:pPr>
        <w:pStyle w:val="Footnotes"/>
        <w:rPr>
          <w:lang w:val="en-US"/>
        </w:rPr>
      </w:pPr>
      <w:r>
        <w:rPr>
          <w:rStyle w:val="FootnoteReference"/>
        </w:rPr>
        <w:footnoteRef/>
      </w:r>
      <w:r>
        <w:t xml:space="preserve"> </w:t>
      </w:r>
      <w:r>
        <w:tab/>
      </w:r>
      <w:r>
        <w:fldChar w:fldCharType="begin"/>
      </w:r>
      <w:r>
        <w:instrText xml:space="preserve"> ADDIN ZOTERO_ITEM CSL_CITATION {"citationID":"a1buhjoc59l","properties":{"formattedCitation":"Lyle J. Morris et al., \\uc0\\u8220{}Gaining Competitive Advantage in the Gray Zone\\uc0\\u8221{} (Santa Monica, CA: RAND Corporation, 2019), https://www.rand.org/pubs/research_reports/RR2942.html.","plainCitation":"Lyle J. Morris et al., “Gaining Competitive Advantage in the Gray Zone” (Santa Monica, CA: RAND Corporation, 2019), https://www.rand.org/pubs/research_reports/RR2942.html.","noteIndex":71},"citationItems":[{"id":21408,"uris":["http://zotero.org/users/2506258/items/ILDZJ7R2"],"uri":["http://zotero.org/users/2506258/items/ILDZJ7R2"],"itemData":{"id":21408,"type":"report","title":"Gaining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950D40">
        <w:t>Lyle J. Morris et al., “Gaining Competitive Advantage in the Gray Zone” (Santa Monica, CA: RAND Corporation, 2019), https://www.rand.org/pubs/research_reports/RR2942.html.</w:t>
      </w:r>
      <w:r>
        <w:fldChar w:fldCharType="end"/>
      </w:r>
    </w:p>
  </w:footnote>
  <w:footnote w:id="72">
    <w:p w14:paraId="512D4880"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{"citationID":"a4negqtc1o","properties":{"formattedCitation":"Freedman,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War.”","noteIndex":72},"citationItems":[{"id":6699,"uris":["http://zotero.org/users/2506258/items/J357WK72"],"uri":["http://zotero.org/users/2506258/items/J357WK72"],"itemData":{"id":6699,"type":"article-journal","title":"Ukraine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Freedman, “Ukraine and the Art of Limited War”; Marten, “Putin’s Choices”; Driscoll and Maliniak, “With Friends Like These”; Lanoszka, “Russian Hybrid Warfare and Extended Deterrence in Eastern Europe”; Chivvis, “Hybrid War.”</w:t>
      </w:r>
      <w:r>
        <w:rPr>
          <w:rStyle w:val="FootnoteCharacters"/>
        </w:rPr>
        <w:fldChar w:fldCharType="end"/>
      </w:r>
    </w:p>
  </w:footnote>
  <w:footnote w:id="73">
    <w:p w14:paraId="51434312" w14:textId="32691F7D"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{"citationID":"aq8tel9l7c","properties":{"formattedCitation":"Valeriano and Maness, \\uc0\\u8220{}The Dynamics of Cyber Conflict between Rival Antagonists, 2001-2011\\uc0\\u8221{}; Adam Casey and Lucan Ahmad Way, \\uc0\\u8220{}Russian Electoral Interventions, 1991-2017\\uc0\\u8221{} (Scholars Portal Dataverse, 2017), https://doi.org/10.5683/SP/BYRQQS.","plainCitation":"Valeriano and Maness, “The Dynamics of Cyber Conflict between Rival Antagonists, 2001-2011”; Adam Casey and Lucan Ahmad Way, “Russian Electoral Interventions, 1991-2017” (Scholars Portal Dataverse, 2017), https://doi.org/10.5683/SP/BYRQQS.","noteIndex":73},"citationItems":[{"id":"rdP23v6k/HH13kmzf","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rPr>
          <w:rStyle w:val="FootnoteCharacters"/>
        </w:rPr>
        <w:fldChar w:fldCharType="separate"/>
      </w:r>
      <w:r w:rsidRPr="0089381D">
        <w:t>Valeriano and Maness, “The Dynamics of Cyber Conflict between Rival Antagonists, 2001-2011”; Adam Casey and Lucan Ahmad Way, “Russian Electoral Interventions, 1991-2017” (Scholars Portal Dataverse, 2017), https://doi.org/10.5683/SP/BYRQQS.</w:t>
      </w:r>
      <w:r>
        <w:rPr>
          <w:rStyle w:val="FootnoteCharacters"/>
        </w:rPr>
        <w:fldChar w:fldCharType="end"/>
      </w:r>
      <w:r>
        <w:t xml:space="preserve"> Data from </w:t>
      </w:r>
      <w:r>
        <w:fldChar w:fldCharType="begin"/>
      </w:r>
      <w:r>
        <w:instrText xml:space="preserve"> ADDIN ZOTERO_ITEM CSL_CITATION {"citationID":"a1h70h7srjd","properties":{"formattedCitation":"Nadiya Kostyuk and Yuri Zhukov, \\uc0\\u8220{}Invisible Digital Front: Can Cyber Attacks Shape Battlefield Events?,\\uc0\\u8221{} {\\i{}Journal of Conflict Resolution} 63, no. 2 (2019): 317\\uc0\\u8211{}47, https://doi.org/10.1177/0022002717737138.","plainCitation":"Nadiya Kostyuk and Yuri Zhukov, “Invisible Digital Front: Can Cyber Attacks Shape Battlefield Events?,” Journal of Conflict Resolution 63, no. 2 (2019): 317–47, https://doi.org/10.1177/0022002717737138.","noteIndex":73},"citationItems":[{"id":17701,"uris":["http://zotero.org/users/2506258/items/GUGFUQ8X"],"uri":["http://zotero.org/users/2506258/items/GUGFUQ8X"],"itemData":{"id":17701,"type":"article-journal","title":"Invisible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r w:rsidRPr="0089381D">
        <w:t xml:space="preserve">Nadiya Kostyuk and Yuri Zhukov, “Invisible Digital Front: Can Cyber Attacks Shape Battlefield Events?,” </w:t>
      </w:r>
      <w:r w:rsidRPr="0089381D">
        <w:rPr>
          <w:i/>
          <w:iCs/>
        </w:rPr>
        <w:t>Journal of Conflict Resolution</w:t>
      </w:r>
      <w:r w:rsidRPr="0089381D">
        <w:t xml:space="preserve"> 63, no. 2 (2019): 317–47, https://doi.org/10.1177/0022002717737138.</w:t>
      </w:r>
      <w:r>
        <w:fldChar w:fldCharType="end"/>
      </w:r>
      <w:r>
        <w:t xml:space="preserve"> is too narrowly focused on cyber-attacks in Ukraine.</w:t>
      </w:r>
    </w:p>
  </w:footnote>
  <w:footnote w:id="74">
    <w:p w14:paraId="1C70EAF3" w14:textId="77777777" w:rsidR="00090CF0" w:rsidRDefault="00090CF0" w:rsidP="00D12BCB">
      <w:pPr>
        <w:pStyle w:val="Footnotes"/>
      </w:pPr>
      <w:r>
        <w:rPr>
          <w:rStyle w:val="FootnoteCharacters"/>
        </w:rPr>
        <w:footnoteRef/>
      </w:r>
      <w:r>
        <w:rPr>
          <w:rStyle w:val="FootnoteCharacters"/>
        </w:rPr>
        <w:tab/>
      </w:r>
      <w:r>
        <w:t xml:space="preserve">Our unit of analysis is country-year. </w:t>
      </w:r>
      <w:r>
        <w:rPr>
          <w:lang w:val="en-CA"/>
        </w:rPr>
        <w:t>See the data appendix to this article for further discussion.</w:t>
      </w:r>
    </w:p>
  </w:footnote>
  <w:footnote w:id="75">
    <w:p w14:paraId="32F224D9" w14:textId="77777777" w:rsidR="00090CF0" w:rsidRPr="00965EF9" w:rsidRDefault="00090CF0" w:rsidP="00965EF9">
      <w:pPr>
        <w:pStyle w:val="Footnotes"/>
        <w:rPr>
          <w:lang w:val="en-US"/>
        </w:rPr>
      </w:pPr>
      <w:r>
        <w:rPr>
          <w:rStyle w:val="FootnoteReference"/>
        </w:rPr>
        <w:footnoteRef/>
      </w:r>
      <w:r>
        <w:t xml:space="preserve"> </w:t>
      </w:r>
      <w:r>
        <w:tab/>
        <w:t>A comparison of dataset coverage is provided in the appendix.</w:t>
      </w:r>
    </w:p>
  </w:footnote>
  <w:footnote w:id="76">
    <w:p w14:paraId="0E7C77FF"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{"citationID":"a17823qtgmm","properties":{"formattedCitation":"David Singer, Stuart Bremer, and John Stuckey, \\uc0\\u8220{}Capability Distribution, Uncertainty, and Major Power War, 1820-1965,\\uc0\\u8221{} in {\\i{}Peace, War, and Numbers}, by Bruce Russett (Sage Publications, 1972), 19\\uc0\\u8211{}48.","plainCitation":"David Singer, Stuart Bremer, and John Stuckey, “Capability Distribution, Uncertainty, and Major Power War, 1820-1965,” in Peace, War, and Numbers, by Bruce Russett (Sage Publications, 1972), 19–48.","noteIndex":76},"citationItems":[{"id":5992,"uris":["http://zotero.org/users/2506258/items/I24EIK6Z"],"uri":["http://zotero.org/users/2506258/items/I24EIK6Z"],"itemData":{"id":5992,"type":"chapter","title":"Capability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rPr>
          <w:rStyle w:val="FootnoteCharacters"/>
        </w:rPr>
        <w:fldChar w:fldCharType="separate"/>
      </w:r>
      <w:r w:rsidRPr="0089381D">
        <w:t xml:space="preserve">David Singer, Stuart Bremer, and John Stuckey, “Capability Distribution, Uncertainty, and Major Power War, 1820-1965,” in </w:t>
      </w:r>
      <w:r w:rsidRPr="0089381D">
        <w:rPr>
          <w:i/>
          <w:iCs/>
        </w:rPr>
        <w:t>Peace, War, and Numbers</w:t>
      </w:r>
      <w:r w:rsidRPr="0089381D">
        <w:t>, by Bruce Russett (Sage Publications, 1972), 19–48.</w:t>
      </w:r>
      <w:r>
        <w:rPr>
          <w:rStyle w:val="FootnoteCharacters"/>
        </w:rPr>
        <w:fldChar w:fldCharType="end"/>
      </w:r>
    </w:p>
  </w:footnote>
  <w:footnote w:id="77">
    <w:p w14:paraId="581418F9" w14:textId="77777777" w:rsidR="00090CF0" w:rsidRPr="00965EF9" w:rsidRDefault="00090CF0" w:rsidP="00965EF9">
      <w:pPr>
        <w:pStyle w:val="Footnotes"/>
        <w:rPr>
          <w:lang w:val="en-US"/>
        </w:rPr>
      </w:pPr>
      <w:r>
        <w:rPr>
          <w:rStyle w:val="FootnoteReference"/>
        </w:rPr>
        <w:footnoteRef/>
      </w:r>
      <w:r>
        <w:t xml:space="preserve"> </w:t>
      </w:r>
      <w:r>
        <w:tab/>
      </w:r>
      <w:r>
        <w:rPr>
          <w:lang w:val="en-US"/>
        </w:rPr>
        <w:t>A description of coding procedures and definitions is provided in the appendix. The newly compiled dataset includes documentation of primary sources that were consulted.</w:t>
      </w:r>
    </w:p>
  </w:footnote>
  <w:footnote w:id="78">
    <w:p w14:paraId="160EF029" w14:textId="77777777" w:rsidR="00090CF0" w:rsidRPr="00C71EB5" w:rsidRDefault="00090CF0" w:rsidP="00C71EB5">
      <w:pPr>
        <w:pStyle w:val="Footnotes"/>
        <w:rPr>
          <w:lang w:val="en-US"/>
        </w:rPr>
      </w:pPr>
      <w:r>
        <w:rPr>
          <w:rStyle w:val="FootnoteReference"/>
        </w:rPr>
        <w:footnoteRef/>
      </w:r>
      <w:r>
        <w:t xml:space="preserve"> </w:t>
      </w:r>
      <w:r>
        <w:tab/>
        <w:t>We code intensity as the highest level of intervention rather than the average level of intervention since the five types of interventions identified represent categorical, not ordinal variables.</w:t>
      </w:r>
    </w:p>
  </w:footnote>
  <w:footnote w:id="79">
    <w:p w14:paraId="5620175B"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{"citationID":"a25bu31crfj","properties":{"formattedCitation":"Andrew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https://doi.org/10.1177/0010414006296346.","noteIndex":79},"citationItems":[{"id":10336,"uris":["http://zotero.org/users/2506258/items/6IWR35D4"],"uri":["http://zotero.org/users/2506258/items/6IWR35D4"],"itemData":{"id":10336,"type":"article-journal","title":"Case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rPr>
          <w:rStyle w:val="FootnoteCharacters"/>
        </w:rPr>
        <w:fldChar w:fldCharType="separate"/>
      </w:r>
      <w:r w:rsidRPr="0089381D">
        <w:t xml:space="preserve">Andrew Bennett and Colin Elman, “Case Study Methods in the International Relations Subfield,” </w:t>
      </w:r>
      <w:r w:rsidRPr="0089381D">
        <w:rPr>
          <w:i/>
          <w:iCs/>
        </w:rPr>
        <w:t>Comparative Political Studies</w:t>
      </w:r>
      <w:r w:rsidRPr="0089381D">
        <w:t xml:space="preserve"> 40, no. 2 (February 2007): 170–95, https://doi.org/10.1177/0010414006296346.</w:t>
      </w:r>
      <w:r>
        <w:rPr>
          <w:rStyle w:val="FootnoteCharacters"/>
        </w:rPr>
        <w:fldChar w:fldCharType="end"/>
      </w:r>
    </w:p>
  </w:footnote>
  <w:footnote w:id="80">
    <w:p w14:paraId="282CDC52" w14:textId="77777777" w:rsidR="00090CF0" w:rsidRDefault="00090CF0"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{"citationID":"ahd3trrqb","properties":{"formattedCitation":"Driscoll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rPr>
          <w:rStyle w:val="FootnoteCharacters"/>
        </w:rPr>
        <w:fldChar w:fldCharType="separate"/>
      </w:r>
      <w:r w:rsidRPr="0089381D">
        <w:t xml:space="preserve">Driscoll and Maliniak, “With Friends Like These”; Elias Götz, “Putin, the State, and War: The Causes of Russia’s Near Abroad Assertion Revisited,” </w:t>
      </w:r>
      <w:r w:rsidRPr="0089381D">
        <w:rPr>
          <w:i/>
          <w:iCs/>
        </w:rPr>
        <w:t>International Studies Review</w:t>
      </w:r>
      <w:r w:rsidRPr="0089381D">
        <w:t xml:space="preserve"> 19, no. 2 (June 1, 2017): 228–53, https://doi.org/10.1093/isr/viw009.</w:t>
      </w:r>
      <w:r>
        <w:rPr>
          <w:rStyle w:val="FootnoteCharacters"/>
        </w:rPr>
        <w:fldChar w:fldCharType="end"/>
      </w:r>
    </w:p>
  </w:footnote>
  <w:footnote w:id="81">
    <w:p w14:paraId="5C0CFC98" w14:textId="77777777" w:rsidR="00090CF0" w:rsidRDefault="00090CF0" w:rsidP="00D12BCB">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82">
    <w:p w14:paraId="79434601" w14:textId="00ABE3E8" w:rsidR="00090CF0" w:rsidRDefault="00090CF0" w:rsidP="00D12BCB">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83">
    <w:p w14:paraId="57C5E237" w14:textId="6E3C2976" w:rsidR="00090CF0" w:rsidRDefault="00090CF0" w:rsidP="00891C50">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{"citationID":"a2pd1qeoldl","properties":{"formattedCitation":"Andreas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174–93.","noteIndex":83},"citationItems":[{"id":17775,"uris":["http://zotero.org/users/2506258/items/Z9PWAFVG"],"uri":["http://zotero.org/users/2506258/items/Z9PWAFVG"],"itemData":{"id":17775,"type":"chapter","title":"The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rPr>
          <w:rStyle w:val="FootnoteCharacters"/>
        </w:rPr>
        <w:fldChar w:fldCharType="separate"/>
      </w:r>
      <w:r w:rsidR="0000434C" w:rsidRPr="0000434C">
        <w:t xml:space="preserve">Andreas Schmidt, “The Estonian Cyberattacks,” in </w:t>
      </w:r>
      <w:r w:rsidR="0000434C" w:rsidRPr="0000434C">
        <w:rPr>
          <w:i/>
          <w:iCs/>
        </w:rPr>
        <w:t>A Fierce Domain: Conflict in Cyberspace, 1986 to 2012</w:t>
      </w:r>
      <w:r w:rsidR="0000434C" w:rsidRPr="0000434C">
        <w:t>, ed. Jason Healey (Cyber Conflict Studies Association, 2013), 174–93.</w:t>
      </w:r>
      <w:r>
        <w:rPr>
          <w:rStyle w:val="FootnoteCharacters"/>
        </w:rPr>
        <w:fldChar w:fldCharType="end"/>
      </w:r>
    </w:p>
  </w:footnote>
  <w:footnote w:id="84">
    <w:p w14:paraId="462BB0DC" w14:textId="3DA4D18B"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{"citationID":"a26ovu4udke","properties":{"formattedCitation":"Vincent Joubert, \\uc0\\u8220{}Five Years after Estonia\\uc0\\u8217{}s Cyber Attacks: Lessons Learned for NATO?\\uc0\\u8221{} (Rome, Italy: NATO Defense College, 2012).","plainCitation":"Vincent Joubert, “Five Years after Estonia’s Cyber Attacks: Lessons Learned for NATO?” (Rome, Italy: NATO Defense College, 2012).","noteIndex":84},"citationItems":[{"id":17774,"uris":["http://zotero.org/users/2506258/items/RFJXZ8TU"],"uri":["http://zotero.org/users/2506258/items/RFJXZ8TU"],"itemData":{"id":17774,"type":"report","title":"Five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rPr>
          <w:rStyle w:val="FootnoteCharacters"/>
        </w:rPr>
        <w:fldChar w:fldCharType="separate"/>
      </w:r>
      <w:r w:rsidRPr="0089381D">
        <w:t>Vincent Joubert, “Five Years after Estonia’s Cyber Attacks: Lessons Learned for NATO?” (Rome, Italy: NATO Defense College, 2012).</w:t>
      </w:r>
      <w:r>
        <w:rPr>
          <w:rStyle w:val="FootnoteCharacters"/>
        </w:rPr>
        <w:fldChar w:fldCharType="end"/>
      </w:r>
    </w:p>
  </w:footnote>
  <w:footnote w:id="85">
    <w:p w14:paraId="6CDE034B" w14:textId="271C880A" w:rsidR="00090CF0" w:rsidRDefault="00090CF0" w:rsidP="00ED647A">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{"citationID":"a1v1sdom8gk","properties":{"formattedCitation":"Ian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rPr>
          <w:rStyle w:val="FootnoteCharacters"/>
        </w:rPr>
        <w:fldChar w:fldCharType="separate"/>
      </w:r>
      <w:r w:rsidRPr="0089381D">
        <w:t xml:space="preserve">Ian Traynor, “Russia Accused of Unleashing Cyberwar to Disable Estonia,” </w:t>
      </w:r>
      <w:r w:rsidRPr="0089381D">
        <w:rPr>
          <w:i/>
          <w:iCs/>
        </w:rPr>
        <w:t>The Guardian</w:t>
      </w:r>
      <w:r w:rsidRPr="0089381D">
        <w:t>, May 17, 2007, sec. World news, https://www.theguardian.com/world/2007/may/17/topstories3.russia.</w:t>
      </w:r>
      <w:r>
        <w:rPr>
          <w:rStyle w:val="FootnoteCharacters"/>
        </w:rPr>
        <w:fldChar w:fldCharType="end"/>
      </w:r>
    </w:p>
  </w:footnote>
  <w:footnote w:id="86">
    <w:p w14:paraId="71F53D4B" w14:textId="6D043480"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{"citationID":"a1tgipt8ccm","properties":{"formattedCitation":"Ronald Deibert, Rafal Rohozinski, and Masashi Crete-Nishihata, \\uc0\\u8220{}Cyclones in Cyberspace: Information Shaping and Denial in the 2008 Russia\\uc0\\u8211{}Georgia War,\\uc0\\u8221{} {\\i{}Security Dialogue} 43, no. 1 (February 1, 2012): 3\\uc0\\u8211{}24, https://doi.org/10.1177/0967010611431079.","plainCitation":"Ronald Deibert, Rafal Rohozinski, and Masashi Crete-Nishihata, “Cyclones in Cyberspace: Information Shaping and Denial in the 2008 Russia–Georgia War,” Security Dialogue 43, no. 1 (February 1, 2012): 3–24, https://doi.org/10.1177/0967010611431079.","noteIndex":86},"citationItems":[{"id":17771,"uris":["http://zotero.org/users/2506258/items/DZVTTWZ5"],"uri":["http://zotero.org/users/2506258/items/DZVTTWZ5"],"itemData":{"id":17771,"type":"article-journal","title":"Cyclones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rPr>
          <w:rStyle w:val="FootnoteCharacters"/>
        </w:rPr>
        <w:fldChar w:fldCharType="separate"/>
      </w:r>
      <w:r w:rsidRPr="0089381D">
        <w:t xml:space="preserve">Ronald Deibert, Rafal Rohozinski, and Masashi Crete-Nishihata, “Cyclones in Cyberspace: Information Shaping and Denial in the 2008 Russia–Georgia War,” </w:t>
      </w:r>
      <w:r w:rsidRPr="0089381D">
        <w:rPr>
          <w:i/>
          <w:iCs/>
        </w:rPr>
        <w:t>Security Dialogue</w:t>
      </w:r>
      <w:r w:rsidRPr="0089381D">
        <w:t xml:space="preserve"> 43, no. 1 (February 1, 2012): 3–24, https://doi.org/10.1177/0967010611431079.</w:t>
      </w:r>
      <w:r>
        <w:rPr>
          <w:rStyle w:val="FootnoteCharacters"/>
        </w:rPr>
        <w:fldChar w:fldCharType="end"/>
      </w:r>
    </w:p>
  </w:footnote>
  <w:footnote w:id="87">
    <w:p w14:paraId="59566A0C" w14:textId="241381DB" w:rsidR="00090CF0" w:rsidRDefault="00090CF0" w:rsidP="00D12BCB">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{"citationID":"a2pbqu1iept","properties":{"formattedCitation":"Driscoll and Maliniak, \\uc0\\u8220{}With Friends Like These.\\uc0\\u8221{}","plainCitation":"Driscoll and Maliniak, “With Friends Like These.”","noteIndex":87},"citationItems":[{"id":6245,"uris":["http://zotero.org/users/2506258/items/U4EBNS54"],"uri":["http://zotero.org/users/2506258/items/U4EBNS54"],"itemData":{"id":6245,"type":"article-journal","title":"With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Driscoll and Maliniak, “With Friends Like These.”</w:t>
      </w:r>
      <w:r>
        <w:rPr>
          <w:rStyle w:val="FootnoteCharacters"/>
        </w:rPr>
        <w:fldChar w:fldCharType="end"/>
      </w:r>
    </w:p>
  </w:footnote>
  <w:footnote w:id="88">
    <w:p w14:paraId="0EFBDA88" w14:textId="556EF57E" w:rsidR="00090CF0" w:rsidRDefault="00090CF0" w:rsidP="005C0397">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{"citationID":"a2j2gikhe10","properties":{"formattedCitation":"Driscoll and Maliniak.","plainCitation":"Driscoll and Maliniak.","noteIndex":88},"citationItems":[{"id":6245,"uris":["http://zotero.org/users/2506258/items/U4EBNS54"],"uri":["http://zotero.org/users/2506258/items/U4EBNS54"],"itemData":{"id":6245,"type":"article-journal","title":"With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Driscoll and Maliniak.</w:t>
      </w:r>
      <w:r>
        <w:rPr>
          <w:rStyle w:val="FootnoteCharacters"/>
        </w:rPr>
        <w:fldChar w:fldCharType="end"/>
      </w:r>
    </w:p>
  </w:footnote>
  <w:footnote w:id="89">
    <w:p w14:paraId="7DDD7B02" w14:textId="36D2662A"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{"citationID":"apdgqcnrn7","properties":{"formattedCitation":"Jesse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2019).","noteIndex":89},"citationItems":[{"id":17842,"uris":["http://zotero.org/users/2506258/items/YJ4KI4RY"],"uri":["http://zotero.org/users/2506258/items/YJ4KI4RY"],"itemData":{"id":17842,"type":"manuscript","title":"Social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Jesse Driscoll and Zachary Steinert-Threlkeld, “Social Media and Russian Territorial Irredentism: Some Facts and a Conjecture” (Working Paper, 2019).</w:t>
      </w:r>
      <w:r>
        <w:rPr>
          <w:rStyle w:val="FootnoteCharacters"/>
        </w:rPr>
        <w:fldChar w:fldCharType="end"/>
      </w:r>
    </w:p>
  </w:footnote>
  <w:footnote w:id="90">
    <w:p w14:paraId="0BC98C27" w14:textId="67908DBC" w:rsidR="00090CF0" w:rsidRPr="00CB1896" w:rsidRDefault="00090CF0" w:rsidP="0000434C">
      <w:pPr>
        <w:pStyle w:val="Footnotes"/>
        <w:rPr>
          <w:i/>
          <w:lang w:val="en-CA"/>
        </w:rPr>
      </w:pPr>
      <w:r>
        <w:rPr>
          <w:rStyle w:val="FootnoteReference"/>
        </w:rPr>
        <w:footnoteRef/>
      </w:r>
      <w:r>
        <w:t xml:space="preserve"> </w:t>
      </w:r>
      <w:r>
        <w:rPr>
          <w:lang w:val="en-CA"/>
        </w:rPr>
        <w:t xml:space="preserve"> </w:t>
      </w:r>
      <w:r w:rsidR="0000434C">
        <w:rPr>
          <w:lang w:val="en-CA"/>
        </w:rPr>
        <w:tab/>
      </w:r>
      <w:r>
        <w:rPr>
          <w:lang w:val="en-CA"/>
        </w:rPr>
        <w:t xml:space="preserve">Mixed messages of resolve and restraint are common in covert action, as discussed by </w:t>
      </w:r>
      <w:r w:rsidR="0000434C">
        <w:rPr>
          <w:lang w:val="en-CA"/>
        </w:rPr>
        <w:fldChar w:fldCharType="begin"/>
      </w:r>
      <w:r w:rsidR="0000434C">
        <w:rPr>
          <w:lang w:val="en-CA"/>
        </w:rPr>
        <w:instrText xml:space="preserve"> ADDIN ZOTERO_ITEM CSL_CITATION {"citationID":"a13srnluncb","properties":{"formattedCitation":"Carson, {\\i{}Secret Wars}.","plainCitation":"Carson, Secret Wars.","noteIndex":90},"citationItems":[{"id":17470,"uris":["http://zotero.org/users/2506258/items/PEFPVY5I"],"uri":["http://zotero.org/users/2506258/items/PEFPVY5I"],"itemData":{"id":17470,"type":"book","title":"Secret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sidR="0000434C">
        <w:rPr>
          <w:lang w:val="en-CA"/>
        </w:rPr>
        <w:fldChar w:fldCharType="separate"/>
      </w:r>
      <w:r w:rsidR="0000434C" w:rsidRPr="0000434C">
        <w:t xml:space="preserve">Carson, </w:t>
      </w:r>
      <w:r w:rsidR="0000434C" w:rsidRPr="0000434C">
        <w:rPr>
          <w:i/>
          <w:iCs/>
        </w:rPr>
        <w:t>Secret Wars</w:t>
      </w:r>
      <w:r w:rsidR="0000434C" w:rsidRPr="0000434C">
        <w:t>.</w:t>
      </w:r>
      <w:r w:rsidR="0000434C">
        <w:rPr>
          <w:lang w:val="en-CA"/>
        </w:rPr>
        <w:fldChar w:fldCharType="end"/>
      </w:r>
    </w:p>
  </w:footnote>
  <w:footnote w:id="91">
    <w:p w14:paraId="2ED41B65" w14:textId="48B00B49" w:rsidR="00090CF0" w:rsidRDefault="00090CF0" w:rsidP="002B0BF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{"citationID":"a2jb2un2dlv","properties":{"formattedCitation":"Laura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91},"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rPr>
          <w:rStyle w:val="FootnoteCharacters"/>
        </w:rPr>
        <w:fldChar w:fldCharType="separate"/>
      </w:r>
      <w:r w:rsidRPr="0089381D">
        <w:t xml:space="preserve">Laura Smith-Spark and James Masters, “Missile That Downed MH17 from ‘Russian Brigade,’” </w:t>
      </w:r>
      <w:r w:rsidRPr="0089381D">
        <w:rPr>
          <w:i/>
          <w:iCs/>
        </w:rPr>
        <w:t>CNN</w:t>
      </w:r>
      <w:r w:rsidRPr="0089381D">
        <w:t>, May 24, 2018, https://edition.cnn.com/2018/05/24/europe/mh17-plane-netherlands-russia-intl/index.html.</w:t>
      </w:r>
      <w:r>
        <w:rPr>
          <w:rStyle w:val="FootnoteCharacters"/>
        </w:rPr>
        <w:fldChar w:fldCharType="end"/>
      </w:r>
    </w:p>
  </w:footnote>
  <w:footnote w:id="92">
    <w:p w14:paraId="6305CA9B" w14:textId="77188732"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{"citationID":"acpo6c26i4","properties":{"formattedCitation":"Kenneth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https://www.wired.com/story/russian-hackers-attack-ukraine/.","noteIndex":92},"citationItems":[{"id":17848,"uris":["http://zotero.org/users/2506258/items/HSQ6VDVQ"],"uri":["http://zotero.org/users/2506258/items/HSQ6VDVQ"],"itemData":{"id":17848,"type":"book","title":"Cyber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rPr>
          <w:rStyle w:val="FootnoteCharacters"/>
        </w:rPr>
        <w:fldChar w:fldCharType="separate"/>
      </w:r>
      <w:r w:rsidRPr="0089381D">
        <w:t xml:space="preserve">Kenneth Geers, </w:t>
      </w:r>
      <w:r w:rsidRPr="0089381D">
        <w:rPr>
          <w:i/>
          <w:iCs/>
        </w:rPr>
        <w:t>Cyber War in Perspective: Russian Aggression against Ukraine</w:t>
      </w:r>
      <w:r w:rsidRPr="0089381D">
        <w:t xml:space="preserv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t>
      </w:r>
      <w:r w:rsidRPr="0089381D">
        <w:rPr>
          <w:i/>
          <w:iCs/>
        </w:rPr>
        <w:t>Wired</w:t>
      </w:r>
      <w:r w:rsidRPr="0089381D">
        <w:t>, June 20, 2017, https://www.wired.com/story/russian-hackers-attack-ukraine/.</w:t>
      </w:r>
      <w:r>
        <w:rPr>
          <w:rStyle w:val="FootnoteCharacters"/>
        </w:rPr>
        <w:fldChar w:fldCharType="end"/>
      </w:r>
    </w:p>
  </w:footnote>
  <w:footnote w:id="93">
    <w:p w14:paraId="11BA20C2" w14:textId="7CB3BC9A"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{"citationID":"a1na8v95m37","properties":{"formattedCitation":"Kostyuk and Zhukov, \\uc0\\u8220{}Invisible Digital Front.\\uc0\\u8221{}","plainCitation":"Kostyuk and Zhukov, “Invisible Digital Front.”","noteIndex":93},"citationItems":[{"id":17701,"uris":["http://zotero.org/users/2506258/items/GUGFUQ8X"],"uri":["http://zotero.org/users/2506258/items/GUGFUQ8X"],"itemData":{"id":17701,"type":"article-journal","title":"Invisible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rPr>
          <w:rStyle w:val="FootnoteCharacters"/>
        </w:rPr>
        <w:fldChar w:fldCharType="separate"/>
      </w:r>
      <w:r w:rsidRPr="0089381D">
        <w:t>Kostyuk and Zhukov, “Invisible Digital Front.”</w:t>
      </w:r>
      <w:r>
        <w:rPr>
          <w:rStyle w:val="FootnoteCharacters"/>
        </w:rPr>
        <w:fldChar w:fldCharType="end"/>
      </w:r>
    </w:p>
  </w:footnote>
  <w:footnote w:id="94">
    <w:p w14:paraId="2C876A73" w14:textId="7499E095" w:rsidR="00090CF0" w:rsidRDefault="00090CF0" w:rsidP="003F32D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{"citationID":"a2ope2d4aog","properties":{"formattedCitation":"Driscoll and Steinert-Threlkeld, \\uc0\\u8220{}Social Media and Russian Territorial Irredentism: Some Facts and a Conjecture.\\uc0\\u8221{}","plainCitation":"Driscoll and Steinert-Threlkeld, “Social Media and Russian Territorial Irredentism: Some Facts and a Conjecture.”","noteIndex":94},"citationItems":[{"id":17842,"uris":["http://zotero.org/users/2506258/items/YJ4KI4RY"],"uri":["http://zotero.org/users/2506258/items/YJ4KI4RY"],"itemData":{"id":17842,"type":"manuscript","title":"Social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Driscoll and Steinert-Threlkeld, “Social Media and Russian Territorial Irredentism: Some Facts and a Conjecture.”</w:t>
      </w:r>
      <w:r>
        <w:rPr>
          <w:rStyle w:val="FootnoteCharacters"/>
        </w:rPr>
        <w:fldChar w:fldCharType="end"/>
      </w:r>
    </w:p>
  </w:footnote>
  <w:footnote w:id="95">
    <w:p w14:paraId="2A70AC53" w14:textId="3001E051" w:rsidR="00090CF0" w:rsidRDefault="00090CF0" w:rsidP="009A1F08">
      <w:pPr>
        <w:pStyle w:val="Footnotes"/>
      </w:pPr>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{"citationID":"a14s0u1os2v","properties":{"formattedCitation":"Brantly, Cal, and Winkelstein, \\uc0\\u8220{}Defending the Borderland: Ukrainian Military Experiences with IO, Cyber, and EW.\\uc0\\u8221{}","plainCitation":"Brantly, Cal, and Winkelstein, “Defending the Borderland: Ukrainian Military Experiences with IO, Cyber, and EW.”","noteIndex":95},"citationItems":[{"id":16656,"uris":["http://zotero.org/users/2506258/items/BSYDS7NY"],"uri":["http://zotero.org/users/2506258/items/BSYDS7NY"],"itemData":{"id":16656,"type":"report","title":"Defending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rPr>
          <w:rStyle w:val="FootnoteCharacters"/>
        </w:rPr>
        <w:fldChar w:fldCharType="separate"/>
      </w:r>
      <w:r w:rsidRPr="0089381D">
        <w:t>Brantly, Cal, and Winkelstein, “Defending the Borderland: Ukrainian Military Experiences with IO, Cyber, and EW.”</w:t>
      </w:r>
      <w:r>
        <w:rPr>
          <w:rStyle w:val="FootnoteCharacters"/>
        </w:rPr>
        <w:fldChar w:fldCharType="end"/>
      </w:r>
    </w:p>
  </w:footnote>
  <w:footnote w:id="96">
    <w:p w14:paraId="691B901A" w14:textId="6B2BEF86" w:rsidR="00090CF0" w:rsidRDefault="00090CF0" w:rsidP="00D12BCB">
      <w:pPr>
        <w:pStyle w:val="Footnotes"/>
      </w:pPr>
      <w:bookmarkStart w:id="22" w:name="__Fieldmark__3529_673422073"/>
      <w:bookmarkEnd w:id="22"/>
      <w:r>
        <w:rPr>
          <w:rStyle w:val="FootnoteCharacters"/>
        </w:rPr>
        <w:footnoteRef/>
      </w:r>
      <w:r>
        <w:rPr>
          <w:rStyle w:val="FootnoteCharacters"/>
        </w:rPr>
        <w:tab/>
      </w:r>
      <w:r>
        <w:rPr>
          <w:rStyle w:val="FootnoteCharacters"/>
        </w:rPr>
        <w:fldChar w:fldCharType="begin"/>
      </w:r>
      <w:r w:rsidR="0000434C">
        <w:rPr>
          <w:rStyle w:val="FootnoteCharacters"/>
        </w:rPr>
        <w:instrText xml:space="preserve"> ADDIN ZOTERO_ITEM CSL_CITATION {"citationID":"a16gi528tkj","properties":{"formattedCitation":"Office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https://www.dni.gov/files/documents/ICA_2017_01.pdf.","noteIndex":96},"citationItems":[{"id":17806,"uris":["http://zotero.org/users/2506258/items/VGTRCG7G"],"uri":["http://zotero.org/users/2506258/items/VGTRCG7G"],"itemData":{"id":17806,"type":"report","title":"Assessing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rPr>
          <w:rStyle w:val="FootnoteCharacters"/>
        </w:rPr>
        <w:fldChar w:fldCharType="separate"/>
      </w:r>
      <w:r w:rsidRPr="0089381D">
        <w:t>Office of the Director of National Intelligence, “Assessing Russian Activities and Intentions in Recent US Elections,” Intelligence Community Assessment (Washington, DC: National Intelligence Council, January 6, 2017), https://www.dni.gov/files/documents/ICA_2017_01.pdf.</w:t>
      </w:r>
      <w:r>
        <w:rPr>
          <w:rStyle w:val="FootnoteCharacters"/>
        </w:rPr>
        <w:fldChar w:fldCharType="end"/>
      </w:r>
    </w:p>
  </w:footnote>
  <w:footnote w:id="97">
    <w:p w14:paraId="006A847A" w14:textId="103AE785"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{"citationID":"a86idd1lq4","properties":{"formattedCitation":"Andrew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97},"citationItems":[{"id":"rdP23v6k/I2AZVRX4","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rPr>
          <w:rStyle w:val="FootnoteCharacters"/>
        </w:rPr>
        <w:fldChar w:fldCharType="separate"/>
      </w:r>
      <w:r w:rsidR="0000434C" w:rsidRPr="0000434C">
        <w:t xml:space="preserve">Andrew Gelman and Julia Azari, “19 Things We Learned from the 2016 Election,” </w:t>
      </w:r>
      <w:r w:rsidR="0000434C" w:rsidRPr="0000434C">
        <w:rPr>
          <w:i/>
          <w:iCs/>
        </w:rPr>
        <w:t>Statistics and Public Policy</w:t>
      </w:r>
      <w:r w:rsidR="0000434C" w:rsidRPr="0000434C">
        <w:t xml:space="preserve"> 4, no. 1 (January 1, 2017): 1–10, https://doi.org/10.1080/2330443X.2017.1356775.</w:t>
      </w:r>
      <w:r>
        <w:rPr>
          <w:rStyle w:val="FootnoteCharacters"/>
        </w:rPr>
        <w:fldChar w:fldCharType="end"/>
      </w:r>
    </w:p>
  </w:footnote>
  <w:footnote w:id="98">
    <w:p w14:paraId="74E43F2B" w14:textId="3E904179" w:rsidR="00090CF0" w:rsidRPr="0000434C" w:rsidRDefault="00090CF0" w:rsidP="0000434C">
      <w:pPr>
        <w:pStyle w:val="Footnotes"/>
        <w:rPr>
          <w:lang w:val="en-CA"/>
        </w:rPr>
      </w:pPr>
      <w:r>
        <w:rPr>
          <w:rStyle w:val="FootnoteReference"/>
        </w:rPr>
        <w:footnoteRef/>
      </w:r>
      <w:r>
        <w:t xml:space="preserve"> </w:t>
      </w:r>
      <w:r w:rsidR="00CD1C66">
        <w:tab/>
      </w:r>
      <w:r>
        <w:t xml:space="preserve">On the origins of this debate see </w:t>
      </w:r>
      <w:r w:rsidRPr="00D86172">
        <w:rPr>
          <w:lang w:val="en-CA"/>
        </w:rPr>
        <w:t xml:space="preserve">Shifrinson, Joshua R. Itzkowitz. “Deal or No Deal? The End of the Cold War and the U.S. Offer to Limit NATO Expansion.” </w:t>
      </w:r>
      <w:r w:rsidRPr="00D86172">
        <w:rPr>
          <w:i/>
          <w:iCs/>
          <w:lang w:val="en-CA"/>
        </w:rPr>
        <w:t>International Security</w:t>
      </w:r>
      <w:r w:rsidRPr="00D86172">
        <w:rPr>
          <w:lang w:val="en-CA"/>
        </w:rPr>
        <w:t xml:space="preserve"> 40, no. 4 (April 1, 2016): 7–44. </w:t>
      </w:r>
      <w:hyperlink r:id="rId1" w:history="1">
        <w:r w:rsidRPr="00D86172">
          <w:rPr>
            <w:rStyle w:val="Hyperlink"/>
            <w:lang w:val="en-CA"/>
          </w:rPr>
          <w:t>https://doi.org/10.1162/ISEC_a_00236</w:t>
        </w:r>
      </w:hyperlink>
      <w:r>
        <w:rPr>
          <w:lang w:val="en-CA"/>
        </w:rPr>
        <w:t xml:space="preserve">; </w:t>
      </w:r>
      <w:r w:rsidRPr="00D86172">
        <w:rPr>
          <w:lang w:val="en-CA"/>
        </w:rPr>
        <w:t xml:space="preserve">Sarotte, M.E. “How to Enlarge NATO: The Debate inside the Clinton Administration, 1993–95.” </w:t>
      </w:r>
      <w:r w:rsidRPr="00D86172">
        <w:rPr>
          <w:i/>
          <w:iCs/>
          <w:lang w:val="en-CA"/>
        </w:rPr>
        <w:t>International Security</w:t>
      </w:r>
      <w:r w:rsidRPr="00D86172">
        <w:rPr>
          <w:lang w:val="en-CA"/>
        </w:rPr>
        <w:t xml:space="preserve"> 44, no. 1 (July 1, 2019): 7–41. </w:t>
      </w:r>
      <w:hyperlink r:id="rId2" w:history="1">
        <w:r w:rsidRPr="00D86172">
          <w:rPr>
            <w:rStyle w:val="Hyperlink"/>
            <w:lang w:val="en-CA"/>
          </w:rPr>
          <w:t>https://doi.org/10.1162/isec_a_00353</w:t>
        </w:r>
      </w:hyperlink>
      <w:r w:rsidRPr="00D86172">
        <w:rPr>
          <w:lang w:val="en-CA"/>
        </w:rPr>
        <w:t>.</w:t>
      </w:r>
    </w:p>
  </w:footnote>
  <w:footnote w:id="99">
    <w:p w14:paraId="31C84D25" w14:textId="35D2D9BD" w:rsidR="00090CF0" w:rsidRDefault="00090CF0" w:rsidP="0000434C">
      <w:pPr>
        <w:pStyle w:val="Footnotes"/>
      </w:pPr>
      <w:r>
        <w:rPr>
          <w:rStyle w:val="FootnoteCharacters"/>
        </w:rPr>
        <w:footnoteRef/>
      </w:r>
      <w:r>
        <w:rPr>
          <w:rStyle w:val="FootnoteCharacters"/>
        </w:rPr>
        <w:tab/>
      </w:r>
      <w:r>
        <w:rPr>
          <w:rStyle w:val="FootnoteCharacters"/>
        </w:rPr>
        <w:fldChar w:fldCharType="begin"/>
      </w:r>
      <w:r w:rsidR="00604876">
        <w:rPr>
          <w:rStyle w:val="FootnoteCharacters"/>
        </w:rPr>
        <w:instrText xml:space="preserve"> ADDIN ZOTERO_ITEM CSL_CITATION {"citationID":"a15lci2vnr1","properties":{"formattedCitation":"Michael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99},"citationItems":[{"id":"rdP23v6k/0UaSNh8W","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rdP23v6k/xDvaCmcu","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rPr>
          <w:rStyle w:val="FootnoteCharacters"/>
        </w:rPr>
        <w:fldChar w:fldCharType="separate"/>
      </w:r>
      <w:r w:rsidRPr="0089381D">
        <w:t xml:space="preserve">Michael McFaul, Stephen Sestanovich, and John J. Mearsheimer, “Faulty Powers: Who Started the Ukraine Crisis?,” </w:t>
      </w:r>
      <w:r w:rsidRPr="0089381D">
        <w:rPr>
          <w:i/>
          <w:iCs/>
        </w:rPr>
        <w:t>Foreign Affairs</w:t>
      </w:r>
      <w:r w:rsidRPr="0089381D">
        <w:t xml:space="preserve">, December 2014, http://www.foreignaffairs.com/articles/142260/michael-mcfaul-stephen-sestanovich-john-j-mearsheimer/faulty-powers; John J. Mearsheimer, “Why the Ukraine Crisis Is the West’s Fault: The Liberal Delusions That Provoked Putin,” </w:t>
      </w:r>
      <w:r w:rsidRPr="0089381D">
        <w:rPr>
          <w:i/>
          <w:iCs/>
        </w:rPr>
        <w:t>Foreign Affairs</w:t>
      </w:r>
      <w:r w:rsidRPr="0089381D">
        <w:t>, October 2014, http://www.foreignaffairs.com/articles/141769/john-j-mearsheimer/why-the-ukraine-crisis-is-the-wests-fault.</w:t>
      </w:r>
      <w:r>
        <w:rPr>
          <w:rStyle w:val="FootnoteCharacters"/>
        </w:rPr>
        <w:fldChar w:fldCharType="end"/>
      </w:r>
    </w:p>
  </w:footnote>
  <w:footnote w:id="100">
    <w:p w14:paraId="53B70A02" w14:textId="3F2C88C3" w:rsidR="00090CF0" w:rsidRPr="00CB1896" w:rsidRDefault="00090CF0" w:rsidP="00CD1C66">
      <w:pPr>
        <w:pStyle w:val="Footnotes"/>
        <w:rPr>
          <w:lang w:val="en-CA"/>
        </w:rPr>
      </w:pPr>
      <w:r>
        <w:rPr>
          <w:rStyle w:val="FootnoteReference"/>
        </w:rPr>
        <w:footnoteRef/>
      </w:r>
      <w:r>
        <w:t xml:space="preserve"> </w:t>
      </w:r>
      <w:r w:rsidR="00CD1C66">
        <w:tab/>
      </w:r>
      <w:r w:rsidR="0000434C">
        <w:fldChar w:fldCharType="begin"/>
      </w:r>
      <w:r w:rsidR="0000434C">
        <w:instrText xml:space="preserve"> ADDIN ZOTERO_ITEM CSL_CITATION {"citationID":"a28p5lovodh","properties":{"formattedCitation":"Ketian Zhang, \\uc0\\u8220{}Cautious Bully: Reputation, Resolve, and Beijing\\uc0\\u8217{}s Use of Coercion in the South China Sea,\\uc0\\u8221{} {\\i{}International Security} 44, no. 1 (July 1, 2019): 117\\uc0\\u8211{}59, https://doi.org/10.1162/isec_a_00354.","plainCitation":"Ketian Zhang, “Cautious Bully: Reputation, Resolve, and Beijing’s Use of Coercion in the South China Sea,” International Security 44, no. 1 (July 1, 2019): 117–59, https://doi.org/10.1162/isec_a_00354.","noteIndex":100},"citationItems":[{"id":28092,"uris":["http://zotero.org/users/2506258/items/W3I74MS6"],"uri":["http://zotero.org/users/2506258/items/W3I74MS6"],"itemData":{"id":28092,"type":"article-journal","title":"Cautious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rsidR="0000434C">
        <w:fldChar w:fldCharType="separate"/>
      </w:r>
      <w:r w:rsidR="0000434C" w:rsidRPr="0000434C">
        <w:t xml:space="preserve">Ketian Zhang, “Cautious Bully: Reputation, Resolve, and Beijing’s Use of Coercion in the South China Sea,” </w:t>
      </w:r>
      <w:r w:rsidR="0000434C" w:rsidRPr="0000434C">
        <w:rPr>
          <w:i/>
          <w:iCs/>
        </w:rPr>
        <w:t>International Security</w:t>
      </w:r>
      <w:r w:rsidR="0000434C" w:rsidRPr="0000434C">
        <w:t xml:space="preserve"> 44, no. 1 (July 1, 2019): 117–59, https://doi.org/10.1162/isec_a_00354.</w:t>
      </w:r>
      <w:r w:rsidR="0000434C">
        <w:fldChar w:fldCharType="end"/>
      </w:r>
    </w:p>
  </w:footnote>
  <w:footnote w:id="101">
    <w:p w14:paraId="2C256E61" w14:textId="2A877775" w:rsidR="00090CF0" w:rsidRDefault="00090CF0" w:rsidP="0000434C">
      <w:pPr>
        <w:pStyle w:val="Footnotes"/>
      </w:pPr>
      <w:r>
        <w:rPr>
          <w:rStyle w:val="FootnoteReference"/>
        </w:rPr>
        <w:footnoteRef/>
      </w:r>
      <w:r>
        <w:t xml:space="preserve"> </w:t>
      </w:r>
      <w:r w:rsidR="00CD1C66">
        <w:tab/>
      </w:r>
      <w:r>
        <w:fldChar w:fldCharType="begin"/>
      </w:r>
      <w:r w:rsidR="0000434C">
        <w:instrText xml:space="preserve"> ADDIN ZOTERO_ITEM CSL_CITATION {"citationID":"a1svbj2lr3i","properties":{"formattedCitation":"Green et al., {\\i{}Countering Coercion in Maritime Asia}; Matisek, \\uc0\\u8220{}Shades of Gray Deterrence\\uc0\\u8221{}; Morris et al., \\uc0\\u8220{}Gaining Competitive Advantage in the Gray Zone.\\uc0\\u8221{}","plainCitation":"Green et al., Countering Coercion in Maritime Asia; Matisek, “Shades of Gray Deterrence”; Morris et al., “Gaining Competitive Advantage in the Gray Zone.”","noteIndex":101},"citationItems":[{"id":14068,"uris":["http://zotero.org/users/2506258/items/TTCU7MWP"],"uri":["http://zotero.org/users/2506258/items/TTCU7MWP"],"itemData":{"id":14068,"type":"book","title":"Countering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1A3B2B">
        <w:t xml:space="preserve">Green et al., </w:t>
      </w:r>
      <w:r w:rsidRPr="001A3B2B">
        <w:rPr>
          <w:i/>
          <w:iCs/>
        </w:rPr>
        <w:t>Countering Coercion in Maritime Asia</w:t>
      </w:r>
      <w:r w:rsidRPr="001A3B2B">
        <w:t>; Matisek, “Shades of Gray Deterrence”; Morris et al., “Gaining Competitive Advantage in the Gray Zone.”</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0434C"/>
    <w:rsid w:val="00013BB9"/>
    <w:rsid w:val="000215AC"/>
    <w:rsid w:val="00056E96"/>
    <w:rsid w:val="00063D2C"/>
    <w:rsid w:val="00090CF0"/>
    <w:rsid w:val="000A77B7"/>
    <w:rsid w:val="000E78EA"/>
    <w:rsid w:val="00110DA0"/>
    <w:rsid w:val="00122003"/>
    <w:rsid w:val="00140F9F"/>
    <w:rsid w:val="00166F19"/>
    <w:rsid w:val="001A3B2B"/>
    <w:rsid w:val="001D5C1D"/>
    <w:rsid w:val="00225811"/>
    <w:rsid w:val="00231536"/>
    <w:rsid w:val="002B0BF8"/>
    <w:rsid w:val="002B0E4A"/>
    <w:rsid w:val="002B507E"/>
    <w:rsid w:val="002D44B0"/>
    <w:rsid w:val="00300C75"/>
    <w:rsid w:val="00312317"/>
    <w:rsid w:val="00393955"/>
    <w:rsid w:val="003A30D5"/>
    <w:rsid w:val="003D09F8"/>
    <w:rsid w:val="003D6482"/>
    <w:rsid w:val="003F19F5"/>
    <w:rsid w:val="003F32D8"/>
    <w:rsid w:val="00432052"/>
    <w:rsid w:val="004468A9"/>
    <w:rsid w:val="004619EE"/>
    <w:rsid w:val="00470E9F"/>
    <w:rsid w:val="004813D0"/>
    <w:rsid w:val="004819AE"/>
    <w:rsid w:val="004C76DC"/>
    <w:rsid w:val="004F4F4E"/>
    <w:rsid w:val="00535723"/>
    <w:rsid w:val="00593E48"/>
    <w:rsid w:val="005C0397"/>
    <w:rsid w:val="005E6059"/>
    <w:rsid w:val="00601434"/>
    <w:rsid w:val="00604876"/>
    <w:rsid w:val="006252A6"/>
    <w:rsid w:val="006345CB"/>
    <w:rsid w:val="00636586"/>
    <w:rsid w:val="00643125"/>
    <w:rsid w:val="0065502D"/>
    <w:rsid w:val="0066208B"/>
    <w:rsid w:val="00682743"/>
    <w:rsid w:val="006C1A3E"/>
    <w:rsid w:val="006C45C4"/>
    <w:rsid w:val="006C5890"/>
    <w:rsid w:val="006D670C"/>
    <w:rsid w:val="006F7160"/>
    <w:rsid w:val="00743A62"/>
    <w:rsid w:val="00775507"/>
    <w:rsid w:val="007A138B"/>
    <w:rsid w:val="007A65BC"/>
    <w:rsid w:val="007C2821"/>
    <w:rsid w:val="007D1574"/>
    <w:rsid w:val="007E703E"/>
    <w:rsid w:val="008517B5"/>
    <w:rsid w:val="00852B2D"/>
    <w:rsid w:val="008557B0"/>
    <w:rsid w:val="00891C50"/>
    <w:rsid w:val="0089381D"/>
    <w:rsid w:val="008B030E"/>
    <w:rsid w:val="008C1D75"/>
    <w:rsid w:val="008D027F"/>
    <w:rsid w:val="00922648"/>
    <w:rsid w:val="009421A1"/>
    <w:rsid w:val="00944269"/>
    <w:rsid w:val="00950D40"/>
    <w:rsid w:val="00965EF9"/>
    <w:rsid w:val="009A1F08"/>
    <w:rsid w:val="009B5AD6"/>
    <w:rsid w:val="00A173B6"/>
    <w:rsid w:val="00A305B0"/>
    <w:rsid w:val="00A4129D"/>
    <w:rsid w:val="00A42917"/>
    <w:rsid w:val="00A508AF"/>
    <w:rsid w:val="00AE7F9A"/>
    <w:rsid w:val="00AF45ED"/>
    <w:rsid w:val="00B01971"/>
    <w:rsid w:val="00B1289A"/>
    <w:rsid w:val="00B1722C"/>
    <w:rsid w:val="00B253E5"/>
    <w:rsid w:val="00B27E0C"/>
    <w:rsid w:val="00B469D1"/>
    <w:rsid w:val="00B52FEE"/>
    <w:rsid w:val="00B622F4"/>
    <w:rsid w:val="00BD41FA"/>
    <w:rsid w:val="00BE03C9"/>
    <w:rsid w:val="00BE3839"/>
    <w:rsid w:val="00BF0FE6"/>
    <w:rsid w:val="00BF7D95"/>
    <w:rsid w:val="00C07623"/>
    <w:rsid w:val="00C16207"/>
    <w:rsid w:val="00C2331F"/>
    <w:rsid w:val="00C318DE"/>
    <w:rsid w:val="00C34384"/>
    <w:rsid w:val="00C71EB5"/>
    <w:rsid w:val="00CC308C"/>
    <w:rsid w:val="00CD1C66"/>
    <w:rsid w:val="00D12BCB"/>
    <w:rsid w:val="00D155A0"/>
    <w:rsid w:val="00D276EA"/>
    <w:rsid w:val="00D63020"/>
    <w:rsid w:val="00D86017"/>
    <w:rsid w:val="00D86172"/>
    <w:rsid w:val="00D928BA"/>
    <w:rsid w:val="00D95485"/>
    <w:rsid w:val="00DB6463"/>
    <w:rsid w:val="00DB66EA"/>
    <w:rsid w:val="00DF750C"/>
    <w:rsid w:val="00EA137F"/>
    <w:rsid w:val="00ED647A"/>
    <w:rsid w:val="00F243C0"/>
    <w:rsid w:val="00F378C4"/>
    <w:rsid w:val="00FF4A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0A3D"/>
  <w15:docId w15:val="{B6FB13D3-384F-400C-9E0D-F6D5D4E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876"/>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uiPriority w:val="9"/>
    <w:qFormat/>
    <w:rsid w:val="00604876"/>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604876"/>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604876"/>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604876"/>
    <w:pPr>
      <w:spacing w:before="360"/>
      <w:outlineLvl w:val="3"/>
    </w:pPr>
    <w:rPr>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sid w:val="00604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876"/>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rsid w:val="00604876"/>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rsid w:val="00604876"/>
    <w:rPr>
      <w:rFonts w:ascii="Times New Roman" w:eastAsia="Times New Roman" w:hAnsi="Times New Roman" w:cs="Times New Roman"/>
      <w:lang w:val="en-GB" w:eastAsia="en-GB"/>
    </w:rPr>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604876"/>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604876"/>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604876"/>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604876"/>
    <w:pPr>
      <w:spacing w:after="120" w:line="360" w:lineRule="auto"/>
    </w:pPr>
    <w:rPr>
      <w:b/>
      <w:sz w:val="28"/>
    </w:rPr>
  </w:style>
  <w:style w:type="paragraph" w:customStyle="1" w:styleId="Authornames">
    <w:name w:val="Author names"/>
    <w:basedOn w:val="Normal"/>
    <w:next w:val="Normal"/>
    <w:qFormat/>
    <w:rsid w:val="00604876"/>
    <w:pPr>
      <w:spacing w:before="240" w:line="360" w:lineRule="auto"/>
    </w:pPr>
    <w:rPr>
      <w:sz w:val="28"/>
    </w:rPr>
  </w:style>
  <w:style w:type="paragraph" w:customStyle="1" w:styleId="Affiliation">
    <w:name w:val="Affiliation"/>
    <w:basedOn w:val="Normal"/>
    <w:qFormat/>
    <w:rsid w:val="00604876"/>
    <w:pPr>
      <w:spacing w:before="240" w:line="360" w:lineRule="auto"/>
    </w:pPr>
    <w:rPr>
      <w:i/>
    </w:rPr>
  </w:style>
  <w:style w:type="paragraph" w:customStyle="1" w:styleId="Receiveddates">
    <w:name w:val="Received dates"/>
    <w:basedOn w:val="Affiliation"/>
    <w:next w:val="Normal"/>
    <w:qFormat/>
    <w:rsid w:val="00604876"/>
  </w:style>
  <w:style w:type="paragraph" w:customStyle="1" w:styleId="Abstract">
    <w:name w:val="Abstract"/>
    <w:basedOn w:val="Normal"/>
    <w:next w:val="Keywords"/>
    <w:qFormat/>
    <w:rsid w:val="00604876"/>
    <w:pPr>
      <w:spacing w:before="360" w:after="300" w:line="360" w:lineRule="auto"/>
      <w:ind w:left="720" w:right="567"/>
    </w:pPr>
    <w:rPr>
      <w:sz w:val="22"/>
    </w:rPr>
  </w:style>
  <w:style w:type="paragraph" w:customStyle="1" w:styleId="Keywords">
    <w:name w:val="Keywords"/>
    <w:basedOn w:val="Normal"/>
    <w:next w:val="Paragraph"/>
    <w:qFormat/>
    <w:rsid w:val="00604876"/>
    <w:pPr>
      <w:spacing w:before="240" w:after="240" w:line="360" w:lineRule="auto"/>
      <w:ind w:left="720" w:right="567"/>
    </w:pPr>
    <w:rPr>
      <w:sz w:val="22"/>
    </w:rPr>
  </w:style>
  <w:style w:type="paragraph" w:customStyle="1" w:styleId="Correspondencedetails">
    <w:name w:val="Correspondence details"/>
    <w:basedOn w:val="Normal"/>
    <w:qFormat/>
    <w:rsid w:val="00604876"/>
    <w:pPr>
      <w:spacing w:before="240" w:line="360" w:lineRule="auto"/>
    </w:pPr>
  </w:style>
  <w:style w:type="paragraph" w:customStyle="1" w:styleId="Displayedquotation">
    <w:name w:val="Displayed quotation"/>
    <w:basedOn w:val="Normal"/>
    <w:qFormat/>
    <w:rsid w:val="0060487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604876"/>
    <w:pPr>
      <w:widowControl/>
      <w:numPr>
        <w:numId w:val="13"/>
      </w:numPr>
      <w:spacing w:after="240"/>
      <w:contextualSpacing/>
    </w:pPr>
  </w:style>
  <w:style w:type="paragraph" w:customStyle="1" w:styleId="Displayedequation">
    <w:name w:val="Displayed equation"/>
    <w:basedOn w:val="Normal"/>
    <w:next w:val="Paragraph"/>
    <w:qFormat/>
    <w:rsid w:val="00604876"/>
    <w:pPr>
      <w:tabs>
        <w:tab w:val="center" w:pos="4253"/>
        <w:tab w:val="right" w:pos="8222"/>
      </w:tabs>
      <w:spacing w:before="240" w:after="240"/>
      <w:jc w:val="center"/>
    </w:pPr>
  </w:style>
  <w:style w:type="paragraph" w:customStyle="1" w:styleId="Acknowledgements">
    <w:name w:val="Acknowledgements"/>
    <w:basedOn w:val="Normal"/>
    <w:next w:val="Normal"/>
    <w:qFormat/>
    <w:rsid w:val="00604876"/>
    <w:pPr>
      <w:spacing w:before="120" w:line="360" w:lineRule="auto"/>
    </w:pPr>
    <w:rPr>
      <w:sz w:val="22"/>
    </w:rPr>
  </w:style>
  <w:style w:type="paragraph" w:customStyle="1" w:styleId="Tabletitle">
    <w:name w:val="Table title"/>
    <w:basedOn w:val="Normal"/>
    <w:next w:val="Normal"/>
    <w:qFormat/>
    <w:rsid w:val="00604876"/>
    <w:pPr>
      <w:spacing w:before="240" w:line="360" w:lineRule="auto"/>
    </w:pPr>
  </w:style>
  <w:style w:type="paragraph" w:customStyle="1" w:styleId="Figurecaption">
    <w:name w:val="Figure caption"/>
    <w:basedOn w:val="Normal"/>
    <w:next w:val="Normal"/>
    <w:qFormat/>
    <w:rsid w:val="00604876"/>
    <w:pPr>
      <w:spacing w:before="240" w:line="360" w:lineRule="auto"/>
    </w:pPr>
  </w:style>
  <w:style w:type="paragraph" w:customStyle="1" w:styleId="Footnotes">
    <w:name w:val="Footnotes"/>
    <w:basedOn w:val="Normal"/>
    <w:qFormat/>
    <w:rsid w:val="00604876"/>
    <w:pPr>
      <w:spacing w:before="120" w:line="360" w:lineRule="auto"/>
      <w:ind w:left="482" w:hanging="482"/>
      <w:contextualSpacing/>
    </w:pPr>
    <w:rPr>
      <w:sz w:val="22"/>
    </w:rPr>
  </w:style>
  <w:style w:type="paragraph" w:customStyle="1" w:styleId="Notesoncontributors">
    <w:name w:val="Notes on contributors"/>
    <w:basedOn w:val="Normal"/>
    <w:qFormat/>
    <w:rsid w:val="00604876"/>
    <w:pPr>
      <w:spacing w:before="240" w:line="360" w:lineRule="auto"/>
    </w:pPr>
    <w:rPr>
      <w:sz w:val="22"/>
    </w:rPr>
  </w:style>
  <w:style w:type="paragraph" w:customStyle="1" w:styleId="Normalparagraphstyle">
    <w:name w:val="Normal paragraph style"/>
    <w:basedOn w:val="Normal"/>
    <w:next w:val="Normal"/>
    <w:rsid w:val="00604876"/>
  </w:style>
  <w:style w:type="paragraph" w:customStyle="1" w:styleId="Paragraph">
    <w:name w:val="Paragraph"/>
    <w:basedOn w:val="Normal"/>
    <w:next w:val="Newparagraph"/>
    <w:qFormat/>
    <w:rsid w:val="00604876"/>
    <w:pPr>
      <w:widowControl w:val="0"/>
      <w:spacing w:before="240"/>
    </w:pPr>
  </w:style>
  <w:style w:type="paragraph" w:customStyle="1" w:styleId="Newparagraph">
    <w:name w:val="New paragraph"/>
    <w:basedOn w:val="Normal"/>
    <w:qFormat/>
    <w:rsid w:val="00604876"/>
    <w:pPr>
      <w:ind w:firstLine="720"/>
    </w:pPr>
  </w:style>
  <w:style w:type="paragraph" w:styleId="NormalIndent">
    <w:name w:val="Normal Indent"/>
    <w:basedOn w:val="Normal"/>
    <w:rsid w:val="00604876"/>
    <w:pPr>
      <w:ind w:left="720"/>
    </w:pPr>
  </w:style>
  <w:style w:type="paragraph" w:customStyle="1" w:styleId="References">
    <w:name w:val="References"/>
    <w:basedOn w:val="Normal"/>
    <w:qFormat/>
    <w:rsid w:val="00604876"/>
    <w:pPr>
      <w:spacing w:before="120" w:line="360" w:lineRule="auto"/>
      <w:ind w:left="720" w:hanging="720"/>
      <w:contextualSpacing/>
    </w:pPr>
  </w:style>
  <w:style w:type="paragraph" w:customStyle="1" w:styleId="Subjectcodes">
    <w:name w:val="Subject codes"/>
    <w:basedOn w:val="Keywords"/>
    <w:next w:val="Paragraph"/>
    <w:qFormat/>
    <w:rsid w:val="00604876"/>
  </w:style>
  <w:style w:type="character" w:customStyle="1" w:styleId="Heading2Char">
    <w:name w:val="Heading 2 Char"/>
    <w:basedOn w:val="DefaultParagraphFont"/>
    <w:link w:val="Heading2"/>
    <w:rsid w:val="00604876"/>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uiPriority w:val="9"/>
    <w:rsid w:val="00604876"/>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604876"/>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604876"/>
    <w:pPr>
      <w:widowControl/>
      <w:numPr>
        <w:numId w:val="14"/>
      </w:numPr>
      <w:spacing w:after="240"/>
      <w:contextualSpacing/>
    </w:pPr>
  </w:style>
  <w:style w:type="character" w:styleId="FootnoteReference">
    <w:name w:val="footnote reference"/>
    <w:basedOn w:val="DefaultParagraphFont"/>
    <w:rsid w:val="00604876"/>
    <w:rPr>
      <w:vertAlign w:val="superscript"/>
    </w:rPr>
  </w:style>
  <w:style w:type="paragraph" w:styleId="EndnoteText">
    <w:name w:val="endnote text"/>
    <w:basedOn w:val="Normal"/>
    <w:link w:val="EndnoteTextChar"/>
    <w:autoRedefine/>
    <w:rsid w:val="00604876"/>
    <w:pPr>
      <w:ind w:left="284" w:hanging="284"/>
    </w:pPr>
    <w:rPr>
      <w:sz w:val="22"/>
      <w:szCs w:val="20"/>
    </w:rPr>
  </w:style>
  <w:style w:type="character" w:customStyle="1" w:styleId="EndnoteTextChar">
    <w:name w:val="Endnote Text Char"/>
    <w:basedOn w:val="DefaultParagraphFont"/>
    <w:link w:val="EndnoteText"/>
    <w:rsid w:val="00604876"/>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604876"/>
    <w:rPr>
      <w:vertAlign w:val="superscript"/>
    </w:rPr>
  </w:style>
  <w:style w:type="character" w:customStyle="1" w:styleId="Heading4Char">
    <w:name w:val="Heading 4 Char"/>
    <w:basedOn w:val="DefaultParagraphFont"/>
    <w:link w:val="Heading4"/>
    <w:rsid w:val="00604876"/>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rsid w:val="00604876"/>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604876"/>
    <w:pPr>
      <w:widowControl/>
      <w:spacing w:before="360"/>
    </w:pPr>
  </w:style>
  <w:style w:type="character" w:styleId="Hyperlink">
    <w:name w:val="Hyperlink"/>
    <w:basedOn w:val="DefaultParagraphFont"/>
    <w:uiPriority w:val="99"/>
    <w:unhideWhenUsed/>
    <w:rsid w:val="00BE3839"/>
    <w:rPr>
      <w:color w:val="0000FF" w:themeColor="hyperlink"/>
      <w:u w:val="single"/>
    </w:rPr>
  </w:style>
  <w:style w:type="character" w:styleId="UnresolvedMention">
    <w:name w:val="Unresolved Mention"/>
    <w:basedOn w:val="DefaultParagraphFont"/>
    <w:uiPriority w:val="99"/>
    <w:semiHidden/>
    <w:unhideWhenUsed/>
    <w:rsid w:val="00BE3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836">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3">
          <w:marLeft w:val="480"/>
          <w:marRight w:val="0"/>
          <w:marTop w:val="0"/>
          <w:marBottom w:val="0"/>
          <w:divBdr>
            <w:top w:val="none" w:sz="0" w:space="0" w:color="auto"/>
            <w:left w:val="none" w:sz="0" w:space="0" w:color="auto"/>
            <w:bottom w:val="none" w:sz="0" w:space="0" w:color="auto"/>
            <w:right w:val="none" w:sz="0" w:space="0" w:color="auto"/>
          </w:divBdr>
          <w:divsChild>
            <w:div w:id="1080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128">
      <w:bodyDiv w:val="1"/>
      <w:marLeft w:val="0"/>
      <w:marRight w:val="0"/>
      <w:marTop w:val="0"/>
      <w:marBottom w:val="0"/>
      <w:divBdr>
        <w:top w:val="none" w:sz="0" w:space="0" w:color="auto"/>
        <w:left w:val="none" w:sz="0" w:space="0" w:color="auto"/>
        <w:bottom w:val="none" w:sz="0" w:space="0" w:color="auto"/>
        <w:right w:val="none" w:sz="0" w:space="0" w:color="auto"/>
      </w:divBdr>
      <w:divsChild>
        <w:div w:id="2064088734">
          <w:marLeft w:val="480"/>
          <w:marRight w:val="0"/>
          <w:marTop w:val="0"/>
          <w:marBottom w:val="0"/>
          <w:divBdr>
            <w:top w:val="none" w:sz="0" w:space="0" w:color="auto"/>
            <w:left w:val="none" w:sz="0" w:space="0" w:color="auto"/>
            <w:bottom w:val="none" w:sz="0" w:space="0" w:color="auto"/>
            <w:right w:val="none" w:sz="0" w:space="0" w:color="auto"/>
          </w:divBdr>
          <w:divsChild>
            <w:div w:id="198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727">
      <w:bodyDiv w:val="1"/>
      <w:marLeft w:val="0"/>
      <w:marRight w:val="0"/>
      <w:marTop w:val="0"/>
      <w:marBottom w:val="0"/>
      <w:divBdr>
        <w:top w:val="none" w:sz="0" w:space="0" w:color="auto"/>
        <w:left w:val="none" w:sz="0" w:space="0" w:color="auto"/>
        <w:bottom w:val="none" w:sz="0" w:space="0" w:color="auto"/>
        <w:right w:val="none" w:sz="0" w:space="0" w:color="auto"/>
      </w:divBdr>
      <w:divsChild>
        <w:div w:id="778990592">
          <w:marLeft w:val="480"/>
          <w:marRight w:val="0"/>
          <w:marTop w:val="0"/>
          <w:marBottom w:val="0"/>
          <w:divBdr>
            <w:top w:val="none" w:sz="0" w:space="0" w:color="auto"/>
            <w:left w:val="none" w:sz="0" w:space="0" w:color="auto"/>
            <w:bottom w:val="none" w:sz="0" w:space="0" w:color="auto"/>
            <w:right w:val="none" w:sz="0" w:space="0" w:color="auto"/>
          </w:divBdr>
          <w:divsChild>
            <w:div w:id="775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1">
      <w:bodyDiv w:val="1"/>
      <w:marLeft w:val="0"/>
      <w:marRight w:val="0"/>
      <w:marTop w:val="0"/>
      <w:marBottom w:val="0"/>
      <w:divBdr>
        <w:top w:val="none" w:sz="0" w:space="0" w:color="auto"/>
        <w:left w:val="none" w:sz="0" w:space="0" w:color="auto"/>
        <w:bottom w:val="none" w:sz="0" w:space="0" w:color="auto"/>
        <w:right w:val="none" w:sz="0" w:space="0" w:color="auto"/>
      </w:divBdr>
      <w:divsChild>
        <w:div w:id="408774172">
          <w:marLeft w:val="480"/>
          <w:marRight w:val="0"/>
          <w:marTop w:val="0"/>
          <w:marBottom w:val="0"/>
          <w:divBdr>
            <w:top w:val="none" w:sz="0" w:space="0" w:color="auto"/>
            <w:left w:val="none" w:sz="0" w:space="0" w:color="auto"/>
            <w:bottom w:val="none" w:sz="0" w:space="0" w:color="auto"/>
            <w:right w:val="none" w:sz="0" w:space="0" w:color="auto"/>
          </w:divBdr>
          <w:divsChild>
            <w:div w:id="17070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sChild>
        <w:div w:id="255598450">
          <w:marLeft w:val="480"/>
          <w:marRight w:val="0"/>
          <w:marTop w:val="0"/>
          <w:marBottom w:val="0"/>
          <w:divBdr>
            <w:top w:val="none" w:sz="0" w:space="0" w:color="auto"/>
            <w:left w:val="none" w:sz="0" w:space="0" w:color="auto"/>
            <w:bottom w:val="none" w:sz="0" w:space="0" w:color="auto"/>
            <w:right w:val="none" w:sz="0" w:space="0" w:color="auto"/>
          </w:divBdr>
          <w:divsChild>
            <w:div w:id="203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548">
      <w:bodyDiv w:val="1"/>
      <w:marLeft w:val="0"/>
      <w:marRight w:val="0"/>
      <w:marTop w:val="0"/>
      <w:marBottom w:val="0"/>
      <w:divBdr>
        <w:top w:val="none" w:sz="0" w:space="0" w:color="auto"/>
        <w:left w:val="none" w:sz="0" w:space="0" w:color="auto"/>
        <w:bottom w:val="none" w:sz="0" w:space="0" w:color="auto"/>
        <w:right w:val="none" w:sz="0" w:space="0" w:color="auto"/>
      </w:divBdr>
      <w:divsChild>
        <w:div w:id="62065397">
          <w:marLeft w:val="480"/>
          <w:marRight w:val="0"/>
          <w:marTop w:val="0"/>
          <w:marBottom w:val="0"/>
          <w:divBdr>
            <w:top w:val="none" w:sz="0" w:space="0" w:color="auto"/>
            <w:left w:val="none" w:sz="0" w:space="0" w:color="auto"/>
            <w:bottom w:val="none" w:sz="0" w:space="0" w:color="auto"/>
            <w:right w:val="none" w:sz="0" w:space="0" w:color="auto"/>
          </w:divBdr>
          <w:divsChild>
            <w:div w:id="11542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doi.org/10.1162/isec_a_00353" TargetMode="External"/><Relationship Id="rId1" Type="http://schemas.openxmlformats.org/officeDocument/2006/relationships/hyperlink" Target="https://doi.org/10.1162/ISEC_a_002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2ECFB-A049-4757-A8EE-5493B385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56</Pages>
  <Words>13360</Words>
  <Characters>76153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cp:keywords/>
  <dc:description/>
  <cp:lastModifiedBy>Andres Gannon</cp:lastModifiedBy>
  <cp:revision>2</cp:revision>
  <dcterms:created xsi:type="dcterms:W3CDTF">2019-09-04T16:32:00Z</dcterms:created>
  <dcterms:modified xsi:type="dcterms:W3CDTF">2019-09-04T16:32:00Z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zotero-version="5.0.74"&gt;&lt;session id="rdP23v6k"/&gt;&lt;style id="http://www.zotero.org/styles/chicago-fullnote-bibliography" locale="en-US" hasBibliography="1" bibliographyStyleHasBeenSet="1"/&gt;&lt;prefs&gt;&lt;pref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