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rPr/>
      </w:pPr>
      <w:r>
        <w:rPr/>
        <w:t>After Deterrence: Explaining Conflict Short of War</w:t>
      </w:r>
    </w:p>
    <w:p>
      <w:pPr>
        <w:pStyle w:val="Receiveddates"/>
        <w:rPr/>
      </w:pPr>
      <w:r>
        <w:rPr/>
        <w:t>December 2019</w:t>
      </w:r>
    </w:p>
    <w:p>
      <w:pPr>
        <w:pStyle w:val="Abstract"/>
        <w:rPr/>
      </w:pPr>
      <w:r>
        <w:rPr/>
        <w:t>Russia’s intervention in Ukraine is a form of limited conflict in the “gray zone” between peace and war. Some wars are limited because at least one belligerent has only limited means. Gray zone conflict, by contrast, involves strong nation-states that have plenty of means but limited ends. Capable actors might employ only a subset of their capabilities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can be interpreted as a symptom of successful deterrence rather than evidence of deterrence failure.</w:t>
      </w:r>
    </w:p>
    <w:p>
      <w:pPr>
        <w:pStyle w:val="Newparagraph"/>
        <w:rPr/>
      </w:pPr>
      <w:r>
        <w:rPr/>
      </w:r>
    </w:p>
    <w:p>
      <w:pPr>
        <w:pStyle w:val="Newparagraph"/>
        <w:rPr/>
      </w:pPr>
      <w:r>
        <w:rPr/>
        <w:t xml:space="preserve">Word Count: </w:t>
      </w:r>
      <w:bookmarkStart w:id="0" w:name="_GoBack"/>
      <w:bookmarkEnd w:id="0"/>
      <w:r>
        <w:rPr/>
        <w:fldChar w:fldCharType="begin"/>
      </w:r>
      <w:r>
        <w:rPr/>
        <w:instrText> NUMWORDS </w:instrText>
      </w:r>
      <w:r>
        <w:rPr/>
        <w:fldChar w:fldCharType="separate"/>
      </w:r>
      <w:r>
        <w:rPr/>
        <w:t>13262</w:t>
      </w:r>
      <w:r>
        <w:rPr/>
        <w:fldChar w:fldCharType="end"/>
      </w:r>
      <w:r>
        <w:rPr/>
        <w:t xml:space="preserve"> (excluding footnotes)</w:t>
      </w:r>
      <w:r>
        <w:br w:type="page"/>
      </w:r>
    </w:p>
    <w:p>
      <w:pPr>
        <w:pStyle w:val="Heading1"/>
        <w:rPr/>
      </w:pPr>
      <w:r>
        <w:rPr/>
        <w:t>Introduction</w:t>
      </w:r>
    </w:p>
    <w:p>
      <w:pPr>
        <w:pStyle w:val="Paragraph"/>
        <w:rPr/>
      </w:pPr>
      <w:r>
        <w:rPr/>
        <w:t>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it needed one—to avert direct confrontation between West and East.</w:t>
      </w:r>
      <w:r>
        <w:rPr>
          <w:rStyle w:val="FootnoteAnchor"/>
          <w:rStyle w:val="FootnoteAnchor"/>
        </w:rPr>
        <w:footnoteReference w:id="2"/>
      </w:r>
      <w:r>
        <w:rPr/>
        <w:t xml:space="preserve"> The Kremlin formally annexed Crimea shortly thereafter. Russian intervention in Ukraine continues to this day, consisting of limited ground operations and aggressive cyber campaigns </w:t>
      </w:r>
      <w:r>
        <w:fldChar w:fldCharType="begin"/>
      </w:r>
      <w:r>
        <w:rPr/>
        <w:instrText>ADDIN ZOTERO_ITEM CSL_CITATION {"citationID":"a11m0qfg229","properties":{"formattedCitation":"(Angevine et al. 2019)","plainCitation":"(Angevine et al. 2019)","noteIndex":0},"citationItems":[{"id":18952,"uris":["http://zotero.org/users/2506258/items/99NTZECW"],"uri":["http://zotero.org/users/2506258/items/99NTZECW"],"itemData":{"id":18952,"type":"report","title":"Learning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w:instrText>
      </w:r>
      <w:r>
        <w:rPr/>
        <w:fldChar w:fldCharType="separate"/>
      </w:r>
      <w:bookmarkStart w:id="1" w:name="__Fieldmark__23_4284355980"/>
      <w:r>
        <w:rPr/>
        <w:t>(Angevine et al. 2019)</w:t>
      </w:r>
      <w:bookmarkStart w:id="2" w:name="__Fieldmark__42_1735709817"/>
      <w:bookmarkEnd w:id="2"/>
      <w:r>
        <w:rPr/>
      </w:r>
      <w:r>
        <w:rPr/>
        <w:fldChar w:fldCharType="end"/>
      </w:r>
      <w:bookmarkEnd w:id="1"/>
      <w:r>
        <w:rP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a wave of nationalist populism opposed to the “liberal international order,” while ensuring that military confrontation between Russia and NATO does not take place </w:t>
      </w:r>
      <w:r>
        <w:fldChar w:fldCharType="begin"/>
      </w:r>
      <w:r>
        <w:rPr/>
        <w:instrText>ADDIN ZOTERO_ITEM CSL_CITATION {"citationID":"a12v3uf43ba","properties":{"formattedCitation":"(Paul and Matthews 2016)","plainCitation":"(Paul and Matthews 2016)","noteIndex":0},"citationItems":[{"id":3627,"uris":["http://zotero.org/users/2506258/items/TVHBFAV5"],"uri":["http://zotero.org/users/2506258/items/TVHBFAV5"],"itemData":{"id":3627,"type":"report","title":"The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CA","author":[{"family":"Paul","given":"Christopher"},{"family":"Matthews","given":"Miriam"}],"issued":{"date-parts":[["2016"]]}}}],"schema":"https://github.com/citation-style-language/schema/raw/master/csl-citation.json"}</w:instrText>
      </w:r>
      <w:r>
        <w:rPr/>
        <w:fldChar w:fldCharType="separate"/>
      </w:r>
      <w:bookmarkStart w:id="3" w:name="__Fieldmark__31_4284355980"/>
      <w:r>
        <w:rPr/>
        <w:t>(Paul and Matthews 2016)</w:t>
      </w:r>
      <w:bookmarkStart w:id="4" w:name="__Fieldmark__50_1735709817"/>
      <w:bookmarkEnd w:id="4"/>
      <w:r>
        <w:rPr/>
      </w:r>
      <w:r>
        <w:rPr/>
        <w:fldChar w:fldCharType="end"/>
      </w:r>
      <w:bookmarkEnd w:id="3"/>
      <w:r>
        <w:rPr/>
        <w:t>.</w:t>
      </w:r>
    </w:p>
    <w:p>
      <w:pPr>
        <w:pStyle w:val="Newparagraph"/>
        <w:rPr/>
      </w:pPr>
      <w:r>
        <w:rPr/>
        <w:t xml:space="preserve">According to former British Defense Secretary Michael Fallon, “That is not a Cold War. It is a grey war. Permanently teetering on the edge of outright hostility. Persistently hovering around the threshold of what we would normally consider acts of war” </w:t>
      </w:r>
      <w:r>
        <w:fldChar w:fldCharType="begin"/>
      </w:r>
      <w:r>
        <w:rPr/>
        <w:instrText>ADDIN ZOTERO_ITEM CSL_CITATION {"citationID":"a1shpv8qvvl","properties":{"formattedCitation":"(Fallon 2017)","plainCitation":"(Fallon 2017)","noteIndex":0},"citationItems":[{"id":14075,"uris":["http://zotero.org/users/2506258/items/VINJZJJL"],"uri":["http://zotero.org/users/2506258/items/VINJZJJL"],"itemData":{"id":14075,"type":"speech","title":"Speech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w:instrText>
      </w:r>
      <w:r>
        <w:rPr/>
        <w:fldChar w:fldCharType="separate"/>
      </w:r>
      <w:bookmarkStart w:id="5" w:name="__Fieldmark__41_4284355980"/>
      <w:r>
        <w:rPr/>
        <w:t>(</w:t>
      </w:r>
      <w:bookmarkStart w:id="6" w:name="__Fieldmark__59_1735709817"/>
      <w:r>
        <w:rPr/>
        <w:t>Fallon 2017)</w:t>
      </w:r>
      <w:r>
        <w:rPr/>
      </w:r>
      <w:r>
        <w:rPr/>
        <w:fldChar w:fldCharType="end"/>
      </w:r>
      <w:bookmarkEnd w:id="5"/>
      <w:bookmarkEnd w:id="6"/>
      <w:r>
        <w:rPr/>
        <w:t xml:space="preserve">. The imagery of little green men in “the gray zone” has also been extended to “little blue men” used by China to erode “red lines” in maritime East Asia </w:t>
      </w:r>
      <w:r>
        <w:fldChar w:fldCharType="begin"/>
      </w:r>
      <w:r>
        <w:rPr/>
        <w:instrText>ADDIN ZOTERO_ITEM CSL_CITATION {"citationID":"a26engr9hup","properties":{"formattedCitation":"(Green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w:instrText>
      </w:r>
      <w:r>
        <w:rPr/>
        <w:fldChar w:fldCharType="separate"/>
      </w:r>
      <w:bookmarkStart w:id="7" w:name="__Fieldmark__48_4284355980"/>
      <w:r>
        <w:rPr/>
        <w:t>(</w:t>
      </w:r>
      <w:bookmarkStart w:id="8" w:name="__Fieldmark__67_1735709817"/>
      <w:r>
        <w:rPr/>
        <w:t>Green et al. 2017)</w:t>
      </w:r>
      <w:r>
        <w:rPr/>
      </w:r>
      <w:r>
        <w:rPr/>
        <w:fldChar w:fldCharType="end"/>
      </w:r>
      <w:bookmarkEnd w:id="7"/>
      <w:bookmarkEnd w:id="8"/>
      <w:r>
        <w:rPr/>
        <w:t xml:space="preserve">.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 </w:t>
      </w:r>
      <w:r>
        <w:fldChar w:fldCharType="begin"/>
      </w:r>
      <w:r>
        <w:rPr/>
        <w:instrText>ADDIN ZOTERO_ITEM CSL_CITATION {"citationID":"a69soirn2f","properties":{"formattedCitation":"(Dunford 2016)","plainCitation":"(Dunford 2016)","noteIndex":0},"citationItems":[{"id":6762,"uris":["http://zotero.org/users/2506258/items/N6UZ2KAC"],"uri":["http://zotero.org/users/2506258/items/N6UZ2KAC"],"itemData":{"id":6762,"type":"speech","title":"Gen. Dunford's Remarks and Q&amp;A","publisher-place":"Center for Strategic and International Studies","event-place":"Center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w:instrText>
      </w:r>
      <w:r>
        <w:rPr/>
        <w:fldChar w:fldCharType="separate"/>
      </w:r>
      <w:bookmarkStart w:id="9" w:name="__Fieldmark__55_4284355980"/>
      <w:r>
        <w:rPr/>
        <w:t>(</w:t>
      </w:r>
      <w:bookmarkStart w:id="10" w:name="__Fieldmark__74_1735709817"/>
      <w:r>
        <w:rPr/>
        <w:t>Dunford 2016)</w:t>
      </w:r>
      <w:r>
        <w:rPr/>
      </w:r>
      <w:r>
        <w:rPr/>
        <w:fldChar w:fldCharType="end"/>
      </w:r>
      <w:bookmarkEnd w:id="9"/>
      <w:bookmarkEnd w:id="10"/>
      <w:r>
        <w:rPr/>
        <w:t>.</w:t>
      </w:r>
    </w:p>
    <w:p>
      <w:pPr>
        <w:pStyle w:val="Newparagraph"/>
        <w:rPr/>
      </w:pPr>
      <w:r>
        <w:rPr/>
        <w:t>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If political-military influence can be more effectively achieved through overt intervention, albeit at increased cost and risk, then covert intervention and cyber campaigns are better understood as sub-optimal, “second-best” strategies for maximizing influence. In sum, gray zone actors do not care enough to send the very best.</w:t>
      </w:r>
    </w:p>
    <w:p>
      <w:pPr>
        <w:pStyle w:val="Newparagraph"/>
        <w:rPr/>
      </w:pPr>
      <w:r>
        <w:rPr/>
        <w:t xml:space="preserve">The good news in our interpretation is that gray zone conflict is a response to deterrence success. We expect the severity of gray zone conflict to be attenuated wherever the defender’s power and resolve are higher. The bad news is that gray zone conflict probes the threshold of deterrence effectiveness. Thus, we expect conflict severity to be greater where defender power and resolve is more questionable. A nation’s interests tend to vary across different issue areas, as does its ability to project military power to back up deterrent threats. Therefore, we expect the intensity and lethality of conflict to vary along a gradient of deterrence credibility, analogous to the military loss of strength gradient across geographical distance </w:t>
      </w:r>
      <w:r>
        <w:fldChar w:fldCharType="begin"/>
      </w:r>
      <w:r>
        <w:rPr/>
        <w:instrText>ADDIN ZOTERO_ITEM CSL_CITATION {"citationID":"a1vu7ntpgfd","properties":{"formattedCitation":"(Boulding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instrText>
      </w:r>
      <w:r>
        <w:rPr/>
        <w:fldChar w:fldCharType="separate"/>
      </w:r>
      <w:bookmarkStart w:id="11" w:name="__Fieldmark__65_4284355980"/>
      <w:r>
        <w:rPr/>
        <w:t>(</w:t>
      </w:r>
      <w:bookmarkStart w:id="12" w:name="__Fieldmark__103_1735709817"/>
      <w:r>
        <w:rPr/>
        <w:t>Boulding 1962)</w:t>
      </w:r>
      <w:r>
        <w:rPr/>
      </w:r>
      <w:r>
        <w:rPr/>
        <w:fldChar w:fldCharType="end"/>
      </w:r>
      <w:bookmarkEnd w:id="11"/>
      <w:bookmarkEnd w:id="12"/>
      <w:r>
        <w:rPr/>
        <w:t xml:space="preserve">. We test this hypothesis by 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pPr>
        <w:pStyle w:val="Newparagraph"/>
        <w:rPr/>
      </w:pPr>
      <w:r>
        <w:rPr/>
        <w:t>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pPr>
        <w:pStyle w:val="Heading1"/>
        <w:rPr/>
      </w:pPr>
      <w:r>
        <w:rPr/>
        <w:t>Between Peace and War</w:t>
      </w:r>
    </w:p>
    <w:p>
      <w:pPr>
        <w:pStyle w:val="Paragraph"/>
        <w:rPr/>
      </w:pPr>
      <w:r>
        <w:rPr/>
        <w:t xml:space="preserve">There is nothing new about conflict that falls ambiguously between peace and war. There is a long history of, and a vast literature on, limited conflict </w:t>
      </w:r>
      <w:r>
        <w:fldChar w:fldCharType="begin"/>
      </w:r>
      <w:r>
        <w:rPr/>
        <w:instrText>ADDIN ZOTERO_ITEM CSL_CITATION {"citationID":"akga05e51f","properties":{"formattedCitation":"(Kissinger 1955; Osgood 1969)","plainCitation":"(Kissinger 1955; Osgood 1969)","noteIndex":0},"citationItems":[{"id":14067,"uris":["http://zotero.org/users/2506258/items/VLFRFPPZ"],"uri":["http://zotero.org/users/2506258/items/VLFRFPPZ"],"itemData":{"id":14067,"type":"article-journal","title":"Military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w:instrText>
      </w:r>
      <w:r>
        <w:rPr/>
        <w:fldChar w:fldCharType="separate"/>
      </w:r>
      <w:bookmarkStart w:id="13" w:name="__Fieldmark__76_4284355980"/>
      <w:r>
        <w:rPr/>
        <w:t>(</w:t>
      </w:r>
      <w:bookmarkStart w:id="14" w:name="__Fieldmark__116_1735709817"/>
      <w:r>
        <w:rPr/>
        <w:t>Kissinger 1955; Osgood 1969)</w:t>
      </w:r>
      <w:r>
        <w:rPr/>
      </w:r>
      <w:r>
        <w:rPr/>
        <w:fldChar w:fldCharType="end"/>
      </w:r>
      <w:bookmarkEnd w:id="13"/>
      <w:bookmarkEnd w:id="14"/>
      <w:r>
        <w:rPr/>
        <w:t xml:space="preserve">, salami tactics </w:t>
      </w:r>
      <w:r>
        <w:fldChar w:fldCharType="begin"/>
      </w:r>
      <w:r>
        <w:rPr/>
        <w:instrText>ADDIN ZOTERO_ITEM CSL_CITATION {"citationID":"a1a8j6raen0","properties":{"formattedCitation":"(Schelling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w:instrText>
      </w:r>
      <w:r>
        <w:rPr/>
        <w:fldChar w:fldCharType="separate"/>
      </w:r>
      <w:bookmarkStart w:id="15" w:name="__Fieldmark__83_4284355980"/>
      <w:r>
        <w:rPr/>
        <w:t>(</w:t>
      </w:r>
      <w:bookmarkStart w:id="16" w:name="__Fieldmark__122_1735709817"/>
      <w:r>
        <w:rPr/>
        <w:t>Schelling 1966)</w:t>
      </w:r>
      <w:r>
        <w:rPr/>
      </w:r>
      <w:r>
        <w:rPr/>
        <w:fldChar w:fldCharType="end"/>
      </w:r>
      <w:bookmarkEnd w:id="15"/>
      <w:bookmarkEnd w:id="16"/>
      <w:r>
        <w:rPr/>
        <w:t xml:space="preserve">, low intensity conflict </w:t>
      </w:r>
      <w:r>
        <w:fldChar w:fldCharType="begin"/>
      </w:r>
      <w:r>
        <w:rPr/>
        <w:instrText>ADDIN ZOTERO_ITEM CSL_CITATION {"citationID":"a1uup5m7qs","properties":{"formattedCitation":"(Turbiville 2002)","plainCitation":"(Turbiville 2002)","noteIndex":0},"citationItems":[{"id":6625,"uris":["http://zotero.org/users/2506258/items/NZGZEF9X"],"uri":["http://zotero.org/users/2506258/items/NZGZEF9X"],"itemData":{"id":6625,"type":"article-journal","title":"Preface: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w:instrText>
      </w:r>
      <w:r>
        <w:rPr/>
        <w:fldChar w:fldCharType="separate"/>
      </w:r>
      <w:bookmarkStart w:id="17" w:name="__Fieldmark__90_4284355980"/>
      <w:r>
        <w:rPr/>
        <w:t>(</w:t>
      </w:r>
      <w:bookmarkStart w:id="18" w:name="__Fieldmark__128_1735709817"/>
      <w:r>
        <w:rPr/>
        <w:t>Turbiville 2002)</w:t>
      </w:r>
      <w:r>
        <w:rPr/>
      </w:r>
      <w:r>
        <w:rPr/>
        <w:fldChar w:fldCharType="end"/>
      </w:r>
      <w:bookmarkEnd w:id="17"/>
      <w:bookmarkEnd w:id="18"/>
      <w:r>
        <w:rPr/>
        <w:t xml:space="preserve">, revolutionary war </w:t>
      </w:r>
      <w:r>
        <w:fldChar w:fldCharType="begin"/>
      </w:r>
      <w:r>
        <w:rPr/>
        <w:instrText>ADDIN ZOTERO_ITEM CSL_CITATION {"citationID":"a1llku69tlq","properties":{"formattedCitation":"(Shy and Collier 1986)","plainCitation":"(Shy and Collier 1986)","noteIndex":0},"citationItems":[{"id":17471,"uris":["http://zotero.org/users/2506258/items/THP6FPY2"],"uri":["http://zotero.org/users/2506258/items/THP6FPY2"],"itemData":{"id":17471,"type":"chapter","title":"Revolutionary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w:instrText>
      </w:r>
      <w:r>
        <w:rPr/>
        <w:fldChar w:fldCharType="separate"/>
      </w:r>
      <w:bookmarkStart w:id="19" w:name="__Fieldmark__97_4284355980"/>
      <w:r>
        <w:rPr/>
        <w:t>(</w:t>
      </w:r>
      <w:bookmarkStart w:id="20" w:name="__Fieldmark__138_1735709817"/>
      <w:r>
        <w:rPr/>
        <w:t>Shy and Collier 1986)</w:t>
      </w:r>
      <w:r>
        <w:rPr/>
      </w:r>
      <w:r>
        <w:rPr/>
        <w:fldChar w:fldCharType="end"/>
      </w:r>
      <w:bookmarkEnd w:id="19"/>
      <w:bookmarkEnd w:id="20"/>
      <w:r>
        <w:rPr/>
        <w:t xml:space="preserve">, military operations other than war </w:t>
      </w:r>
      <w:r>
        <w:fldChar w:fldCharType="begin"/>
      </w:r>
      <w:r>
        <w:rPr/>
        <w:instrText>ADDIN ZOTERO_ITEM CSL_CITATION {"citationID":"a1ok4jgccm5","properties":{"formattedCitation":"(Kinross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rPr/>
        <w:fldChar w:fldCharType="separate"/>
      </w:r>
      <w:bookmarkStart w:id="21" w:name="__Fieldmark__104_4284355980"/>
      <w:r>
        <w:rPr/>
        <w:t>(</w:t>
      </w:r>
      <w:bookmarkStart w:id="22" w:name="__Fieldmark__144_1735709817"/>
      <w:r>
        <w:rPr/>
        <w:t>Kinross 2004)</w:t>
      </w:r>
      <w:r>
        <w:rPr/>
      </w:r>
      <w:r>
        <w:rPr/>
        <w:fldChar w:fldCharType="end"/>
      </w:r>
      <w:bookmarkEnd w:id="21"/>
      <w:bookmarkEnd w:id="22"/>
      <w:r>
        <w:rPr/>
        <w:t xml:space="preserve">, covert operations </w:t>
      </w:r>
      <w:r>
        <w:fldChar w:fldCharType="begin"/>
      </w:r>
      <w:r>
        <w:rPr/>
        <w:instrText>ADDIN ZOTERO_ITEM CSL_CITATION {"citationID":"a1vopkr3m50","properties":{"formattedCitation":"(Carson 2018; O\\uc0\\u8217{}Rourke 2018)","plainCitation":"(Carson 2018; O’Rourke 2018)","noteIndex":0},"citationItems":[{"id":17470,"uris":["http://zotero.org/users/2506258/items/PEFPVY5I"],"uri":["http://zotero.org/users/2506258/items/PEFPVY5I"],"itemData":{"id":17470,"type":"book","title":"Secret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w:instrText>
      </w:r>
      <w:r>
        <w:rPr/>
        <w:fldChar w:fldCharType="separate"/>
      </w:r>
      <w:bookmarkStart w:id="23" w:name="__Fieldmark__111_4284355980"/>
      <w:r>
        <w:rPr/>
        <w:t>(</w:t>
      </w:r>
      <w:bookmarkStart w:id="24" w:name="__Fieldmark__150_1735709817"/>
      <w:r>
        <w:rPr/>
        <w:t>Carson 2018; O’Rourke 2018)</w:t>
      </w:r>
      <w:r>
        <w:rPr/>
      </w:r>
      <w:r>
        <w:rPr/>
        <w:fldChar w:fldCharType="end"/>
      </w:r>
      <w:bookmarkEnd w:id="23"/>
      <w:bookmarkEnd w:id="24"/>
      <w:r>
        <w:rPr/>
        <w:t xml:space="preserve">, small wars </w:t>
      </w:r>
      <w:r>
        <w:fldChar w:fldCharType="begin"/>
      </w:r>
      <w:r>
        <w:rPr/>
        <w:instrText>ADDIN ZOTERO_ITEM CSL_CITATION {"citationID":"aocof3jk7r","properties":{"formattedCitation":"(Olson 1990)","plainCitation":"(Olson 1990)","noteIndex":0},"citationItems":[{"id":6652,"uris":["http://zotero.org/users/2506258/items/B9UZPK9E"],"uri":["http://zotero.org/users/2506258/items/B9UZPK9E"],"itemData":{"id":6652,"type":"article-journal","title":"The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w:instrText>
      </w:r>
      <w:r>
        <w:rPr/>
        <w:fldChar w:fldCharType="separate"/>
      </w:r>
      <w:bookmarkStart w:id="25" w:name="__Fieldmark__118_4284355980"/>
      <w:r>
        <w:rPr/>
        <w:t>(</w:t>
      </w:r>
      <w:bookmarkStart w:id="26" w:name="__Fieldmark__156_1735709817"/>
      <w:r>
        <w:rPr/>
        <w:t>Olson 1990)</w:t>
      </w:r>
      <w:r>
        <w:rPr/>
      </w:r>
      <w:r>
        <w:rPr/>
        <w:fldChar w:fldCharType="end"/>
      </w:r>
      <w:bookmarkEnd w:id="25"/>
      <w:bookmarkEnd w:id="26"/>
      <w:r>
        <w:rPr/>
        <w:t xml:space="preserve">, and proxy wars </w:t>
      </w:r>
      <w:r>
        <w:fldChar w:fldCharType="begin"/>
      </w:r>
      <w:r>
        <w:rPr/>
        <w:instrText>ADDIN ZOTERO_ITEM CSL_CITATION {"citationID":"a1b4uarmc6r","properties":{"formattedCitation":"(Driscoll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w:instrText>
      </w:r>
      <w:r>
        <w:rPr/>
        <w:fldChar w:fldCharType="separate"/>
      </w:r>
      <w:bookmarkStart w:id="27" w:name="__Fieldmark__125_4284355980"/>
      <w:r>
        <w:rPr/>
        <w:t>(</w:t>
      </w:r>
      <w:bookmarkStart w:id="28" w:name="__Fieldmark__162_1735709817"/>
      <w:r>
        <w:rPr/>
        <w:t>Driscoll and Maliniak 2016)</w:t>
      </w:r>
      <w:r>
        <w:rPr/>
      </w:r>
      <w:r>
        <w:rPr/>
        <w:fldChar w:fldCharType="end"/>
      </w:r>
      <w:bookmarkEnd w:id="27"/>
      <w:bookmarkEnd w:id="28"/>
      <w:r>
        <w:rPr/>
        <w:t xml:space="preserve">. Many (but not all) of these concepts emphasize asymmetric struggles with combatants that are unable in material terms to fight on a larger scale or with higher intensity. </w:t>
      </w:r>
    </w:p>
    <w:p>
      <w:pPr>
        <w:pStyle w:val="Newparagraph"/>
        <w:rPr/>
      </w:pPr>
      <w:r>
        <w:rPr/>
        <w:t xml:space="preserve">The interesting puzzle about gray zone conflict, as we will use the term here, is that adversaries are able but </w:t>
      </w:r>
      <w:r>
        <w:rPr>
          <w:i/>
        </w:rPr>
        <w:t xml:space="preserve">unwilling </w:t>
      </w:r>
      <w:r>
        <w:rPr/>
        <w:t xml:space="preserve">to broaden the scope or intensity of a military engagement. But this is also not new. In 1978, Kissinger advocated for an intelligence community that could “defend the American national interest in the gray areas where military operations are not suitable and diplomacy cannot operate” </w:t>
      </w:r>
      <w:r>
        <w:fldChar w:fldCharType="begin"/>
      </w:r>
      <w:r>
        <w:rPr/>
        <w:instrText>ADDIN ZOTERO_ITEM CSL_CITATION {"citationID":"a290rdgt6mr","properties":{"formattedCitation":"(Johnson 2013)","plainCitation":"(Johnson 2013)","noteIndex":0},"citationItems":[{"id":17849,"uris":["http://zotero.org/users/2506258/items/HYHWN64V"],"uri":["http://zotero.org/users/2506258/items/HYHWN64V"],"itemData":{"id":17849,"type":"article-magazine","title":"The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w:instrText>
      </w:r>
      <w:r>
        <w:rPr/>
        <w:fldChar w:fldCharType="separate"/>
      </w:r>
      <w:bookmarkStart w:id="29" w:name="__Fieldmark__136_4284355980"/>
      <w:r>
        <w:rPr/>
        <w:t>(</w:t>
      </w:r>
      <w:bookmarkStart w:id="30" w:name="__Fieldmark__183_1735709817"/>
      <w:r>
        <w:rPr/>
        <w:t>Johnson 2013)</w:t>
      </w:r>
      <w:r>
        <w:rPr/>
      </w:r>
      <w:r>
        <w:rPr/>
        <w:fldChar w:fldCharType="end"/>
      </w:r>
      <w:bookmarkEnd w:id="29"/>
      <w:bookmarkEnd w:id="30"/>
      <w:r>
        <w:rPr/>
        <w:t xml:space="preserve">. General Votel has described the Cold War as “a 45-year-long Gray Zone struggle” in which the United States and Soviet Union conducted proxy wars, covert operations, and (dis)information campaigns while avoiding a direct military and likely nuclear confrontation </w:t>
      </w:r>
      <w:r>
        <w:fldChar w:fldCharType="begin"/>
      </w:r>
      <w:r>
        <w:rPr/>
        <w:instrText>ADDIN ZOTERO_ITEM CSL_CITATION {"citationID":"a2guaod3hll","properties":{"formattedCitation":"(Votel et al. 2016)","plainCitation":"(Votel et al. 2016)","noteIndex":0},"citationItems":[{"id":3635,"uris":["http://zotero.org/users/2506258/items/ERF5D39W"],"uri":["http://zotero.org/users/2506258/items/ERF5D39W"],"itemData":{"id":3635,"type":"article-journal","title":"Unconventional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w:instrText>
      </w:r>
      <w:r>
        <w:rPr/>
        <w:fldChar w:fldCharType="separate"/>
      </w:r>
      <w:bookmarkStart w:id="31" w:name="__Fieldmark__143_4284355980"/>
      <w:r>
        <w:rPr/>
        <w:t>(</w:t>
      </w:r>
      <w:bookmarkStart w:id="32" w:name="__Fieldmark__191_1735709817"/>
      <w:r>
        <w:rPr/>
        <w:t>Votel et al. 2016)</w:t>
      </w:r>
      <w:r>
        <w:rPr/>
      </w:r>
      <w:r>
        <w:rPr/>
        <w:fldChar w:fldCharType="end"/>
      </w:r>
      <w:bookmarkEnd w:id="31"/>
      <w:bookmarkEnd w:id="32"/>
      <w:r>
        <w:rPr/>
        <w:t>. Cold War deterrence shaped the modality and severity of conflict, but it did not, and could not, eliminate it completely. Today many are concerned about an emerging manifestation of limited war, often called “gray zone conflict.” United States Special Operations Command (SOCOM) has defined it as:</w:t>
      </w:r>
    </w:p>
    <w:p>
      <w:pPr>
        <w:pStyle w:val="Displayedquotation"/>
        <w:rPr/>
      </w:pPr>
      <w:r>
        <w:rP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t xml:space="preserve"> </w:t>
      </w:r>
      <w:r>
        <w:fldChar w:fldCharType="begin"/>
      </w:r>
      <w:r>
        <w:rPr/>
        <w:instrText>ADDIN ZOTERO_ITEM CSL_CITATION {"citationID":"a1e11koe73n","properties":{"formattedCitation":"(Bragg 2017)","plainCitation":"(Bragg 2017)","noteIndex":0},"citationItems":[{"id":13009,"uris":["http://zotero.org/users/2506258/items/HVKY7YWT"],"uri":["http://zotero.org/users/2506258/items/HVKY7YWT"],"itemData":{"id":13009,"type":"report","title":"Integration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w:instrText>
      </w:r>
      <w:r>
        <w:rPr/>
        <w:fldChar w:fldCharType="separate"/>
      </w:r>
      <w:bookmarkStart w:id="33" w:name="__Fieldmark__153_4284355980"/>
      <w:r>
        <w:rPr/>
        <w:t>(</w:t>
      </w:r>
      <w:bookmarkStart w:id="34" w:name="__Fieldmark__202_1735709817"/>
      <w:r>
        <w:rPr/>
        <w:t>Bragg 2017)</w:t>
      </w:r>
      <w:r>
        <w:rPr/>
      </w:r>
      <w:r>
        <w:rPr/>
        <w:fldChar w:fldCharType="end"/>
      </w:r>
      <w:bookmarkEnd w:id="33"/>
      <w:bookmarkEnd w:id="34"/>
    </w:p>
    <w:p>
      <w:pPr>
        <w:pStyle w:val="Newparagraph"/>
        <w:rPr/>
      </w:pPr>
      <w:r>
        <w:rPr/>
        <w:t xml:space="preserve">Again, this is not a new problem. </w:t>
      </w:r>
      <w:bookmarkStart w:id="35" w:name="_kr66excyhdrs"/>
      <w:bookmarkEnd w:id="35"/>
      <w:r>
        <w:rPr/>
        <w:t xml:space="preserve">While it is convenient to think of peace and war as dichotomous, discrete outcomes, observers have long recognized that tension and violence exist on a spectrum, even as the language used to describe it evolves </w:t>
      </w:r>
      <w:r>
        <w:fldChar w:fldCharType="begin"/>
      </w:r>
      <w:r>
        <w:rPr/>
        <w:instrText>ADDIN ZOTERO_ITEM CSL_CITATION {"citationID":"a2n3tj424i1","properties":{"formattedCitation":"(Lebow 2010)","plainCitation":"(Lebow 2010)","noteIndex":0},"citationItems":[{"id":6933,"uris":["http://zotero.org/users/2506258/items/E2IQU78U"],"uri":["http://zotero.org/users/2506258/items/E2IQU78U"],"itemData":{"id":6933,"type":"article-journal","title":"The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w:instrText>
      </w:r>
      <w:r>
        <w:rPr/>
        <w:fldChar w:fldCharType="separate"/>
      </w:r>
      <w:bookmarkStart w:id="36" w:name="__Fieldmark__165_4284355980"/>
      <w:r>
        <w:rPr/>
        <w:t>(</w:t>
      </w:r>
      <w:bookmarkStart w:id="37" w:name="__Fieldmark__213_1735709817"/>
      <w:r>
        <w:rPr/>
        <w:t>Lebow 2010)</w:t>
      </w:r>
      <w:r>
        <w:rPr/>
      </w:r>
      <w:r>
        <w:rPr/>
        <w:fldChar w:fldCharType="end"/>
      </w:r>
      <w:bookmarkEnd w:id="36"/>
      <w:bookmarkEnd w:id="37"/>
      <w:r>
        <w:rPr/>
        <w:t>. The Cold War featured three distinct threads of thought dealing with limited war: aggressive peacetime competition and intelligence operations vis-a-vis the Soviet Union (wars limited by ends), conventional war in the shadow of nuclear weapons (wars limited by risks), and low-intensity conflict with irregular forces (wars limited by means).</w:t>
      </w:r>
    </w:p>
    <w:p>
      <w:pPr>
        <w:pStyle w:val="Heading2"/>
        <w:rPr/>
      </w:pPr>
      <w:bookmarkStart w:id="38" w:name="_qmjz1equ8oin"/>
      <w:bookmarkEnd w:id="38"/>
      <w:r>
        <w:rPr/>
        <w:t>Wars Limited by Ends</w:t>
      </w:r>
    </w:p>
    <w:p>
      <w:pPr>
        <w:pStyle w:val="Newparagraph"/>
        <w:ind w:hanging="0"/>
        <w:rPr/>
      </w:pPr>
      <w:r>
        <w:rPr/>
        <w:t>In the early days of the Cold War, Kennan emphasized that both overt and covert political warfare could play a role in long-term strategic competition with the Soviet Union.</w:t>
      </w:r>
    </w:p>
    <w:p>
      <w:pPr>
        <w:pStyle w:val="Displayedquotation"/>
        <w:rPr/>
      </w:pPr>
      <w:r>
        <w:rPr/>
        <w:t xml:space="preserve">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 </w:t>
      </w:r>
      <w:r>
        <w:fldChar w:fldCharType="begin"/>
      </w:r>
      <w:r>
        <w:rPr/>
        <w:instrText>ADDIN ZOTERO_ITEM CSL_CITATION {"citationID":"a2493afn1iu","properties":{"formattedCitation":"(Kennan 1948)","plainCitation":"(Kennan 1948)","noteIndex":0},"citationItems":[{"id":14072,"uris":["http://zotero.org/users/2506258/items/EYZTDGE8"],"uri":["http://zotero.org/users/2506258/items/EYZTDGE8"],"itemData":{"id":14072,"type":"report","title":"269.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w:instrText>
      </w:r>
      <w:r>
        <w:rPr/>
        <w:fldChar w:fldCharType="separate"/>
      </w:r>
      <w:bookmarkStart w:id="39" w:name="__Fieldmark__179_4284355980"/>
      <w:r>
        <w:rPr/>
        <w:t>(</w:t>
      </w:r>
      <w:bookmarkStart w:id="40" w:name="__Fieldmark__232_1735709817"/>
      <w:r>
        <w:rPr/>
        <w:t>Kennan 1948)</w:t>
      </w:r>
      <w:r>
        <w:rPr/>
      </w:r>
      <w:r>
        <w:rPr/>
        <w:fldChar w:fldCharType="end"/>
      </w:r>
      <w:bookmarkEnd w:id="39"/>
      <w:bookmarkEnd w:id="40"/>
      <w:r>
        <w:rPr/>
        <w:t>.</w:t>
      </w:r>
    </w:p>
    <w:p>
      <w:pPr>
        <w:pStyle w:val="Newparagraph"/>
        <w:rPr/>
      </w:pPr>
      <w:r>
        <w:rPr/>
        <w:t xml:space="preserve">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 </w:t>
      </w:r>
      <w:r>
        <w:fldChar w:fldCharType="begin"/>
      </w:r>
      <w:r>
        <w:rPr/>
        <w:instrText>ADDIN ZOTERO_ITEM CSL_CITATION {"citationID":"a2bc8r5itba","properties":{"formattedCitation":"(Osgood 1969)","plainCitation":"(Osgood 1969)","noteIndex":0},"citationItems":[{"id":14060,"uris":["http://zotero.org/users/2506258/items/ILDNW8W7"],"uri":["http://zotero.org/users/2506258/items/ILDNW8W7"],"itemData":{"id":14060,"type":"article-journal","title":"The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w:instrText>
      </w:r>
      <w:r>
        <w:rPr/>
        <w:fldChar w:fldCharType="separate"/>
      </w:r>
      <w:bookmarkStart w:id="41" w:name="__Fieldmark__188_4284355980"/>
      <w:r>
        <w:rPr/>
        <w:t>(</w:t>
      </w:r>
      <w:bookmarkStart w:id="42" w:name="__Fieldmark__240_1735709817"/>
      <w:r>
        <w:rPr/>
        <w:t>Osgood 1969)</w:t>
      </w:r>
      <w:r>
        <w:rPr/>
      </w:r>
      <w:r>
        <w:rPr/>
        <w:fldChar w:fldCharType="end"/>
      </w:r>
      <w:bookmarkEnd w:id="41"/>
      <w:bookmarkEnd w:id="42"/>
      <w:r>
        <w:rPr/>
        <w:t xml:space="preserve">. Contemporary treatment understood limited war as a conflict between actors who had the capacity to increase battlefield commitment but did not want to do so, creating a third option short of major war yet beyond acquiescence </w:t>
      </w:r>
      <w:r>
        <w:fldChar w:fldCharType="begin"/>
      </w:r>
      <w:r>
        <w:rPr/>
        <w:instrText>ADDIN ZOTERO_ITEM CSL_CITATION {"citationID":"al20upm0h7","properties":{"formattedCitation":"(Brodie 1957; Kissinger 1957)","plainCitation":"(Brodie 1957; Kissinger 1957)","noteIndex":0},"citationItems":[{"id":14063,"uris":["http://zotero.org/users/2506258/items/P8KVPRX2"],"uri":["http://zotero.org/users/2506258/items/P8KVPRX2"],"itemData":{"id":14063,"type":"article-journal","title":"More About Limited War","container-title":"World Politics","page":"112-122","volume":"10","issue":"1","source":"JSTOR","DOI":"10.2307/2009228","ISSN":"0043-8871","author":[{"family":"Brodie","given":"Bernard"}],"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w:instrText>
      </w:r>
      <w:r>
        <w:rPr/>
        <w:fldChar w:fldCharType="separate"/>
      </w:r>
      <w:bookmarkStart w:id="43" w:name="__Fieldmark__195_4284355980"/>
      <w:r>
        <w:rPr/>
        <w:t>(</w:t>
      </w:r>
      <w:bookmarkStart w:id="44" w:name="__Fieldmark__246_1735709817"/>
      <w:r>
        <w:rPr/>
        <w:t>Brodie 1957; Kissinger 1957)</w:t>
      </w:r>
      <w:r>
        <w:rPr/>
      </w:r>
      <w:r>
        <w:rPr/>
        <w:fldChar w:fldCharType="end"/>
      </w:r>
      <w:bookmarkEnd w:id="43"/>
      <w:bookmarkEnd w:id="44"/>
      <w:r>
        <w:rPr/>
        <w:t xml:space="preserve">. Kissinger and Osgood tried to figure out ways to conduct limited war and avoid escalation by restricting targets and weapons systems or limiting the geographic scope of conflict </w:t>
      </w:r>
      <w:r>
        <w:fldChar w:fldCharType="begin"/>
      </w:r>
      <w:r>
        <w:rPr/>
        <w:instrText>ADDIN ZOTERO_ITEM CSL_CITATION {"citationID":"a2b41r834sr","properties":{"formattedCitation":"(Woodman 1991)","plainCitation":"(Woodman 1991)","noteIndex":0},"citationItems":[{"id":6649,"uris":["http://zotero.org/users/2506258/items/3SRW8KE3"],"uri":["http://zotero.org/users/2506258/items/3SRW8KE3"],"itemData":{"id":6649,"type":"article-journal","title":"Defining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w:instrText>
      </w:r>
      <w:r>
        <w:rPr/>
        <w:fldChar w:fldCharType="separate"/>
      </w:r>
      <w:bookmarkStart w:id="45" w:name="__Fieldmark__202_4284355980"/>
      <w:r>
        <w:rPr/>
        <w:t>(</w:t>
      </w:r>
      <w:bookmarkStart w:id="46" w:name="__Fieldmark__252_1735709817"/>
      <w:r>
        <w:rPr/>
        <w:t>Woodman 1991)</w:t>
      </w:r>
      <w:r>
        <w:rPr/>
      </w:r>
      <w:r>
        <w:rPr/>
        <w:fldChar w:fldCharType="end"/>
      </w:r>
      <w:bookmarkEnd w:id="45"/>
      <w:bookmarkEnd w:id="46"/>
      <w:r>
        <w:rPr/>
        <w:t xml:space="preserve">. This form of war required some degree of tacit agreement or common conjecture among adversaries to limit the scope of war. During the Vietnam war, for instance, the North Vietnamese leadership was prepared to escalate conflict even as China and the Soviet Union worked to restrain their ally </w:t>
      </w:r>
      <w:r>
        <w:fldChar w:fldCharType="begin"/>
      </w:r>
      <w:r>
        <w:rPr/>
        <w:instrText>ADDIN ZOTERO_ITEM CSL_CITATION {"citationID":"a22s6nb9865","properties":{"formattedCitation":"(Carver 1986)","plainCitation":"(Carver 1986)","noteIndex":0},"citationItems":[{"id":14070,"uris":["http://zotero.org/users/2506258/items/D8EGQLBV"],"uri":["http://zotero.org/users/2506258/items/D8EGQLBV"],"itemData":{"id":14070,"type":"chapter","title":"Conventional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w:instrText>
      </w:r>
      <w:r>
        <w:rPr/>
        <w:fldChar w:fldCharType="separate"/>
      </w:r>
      <w:bookmarkStart w:id="47" w:name="__Fieldmark__209_4284355980"/>
      <w:r>
        <w:rPr/>
        <w:t>(</w:t>
      </w:r>
      <w:bookmarkStart w:id="48" w:name="__Fieldmark__260_1735709817"/>
      <w:r>
        <w:rPr/>
        <w:t>Carver 1986)</w:t>
      </w:r>
      <w:r>
        <w:rPr/>
      </w:r>
      <w:r>
        <w:rPr/>
        <w:fldChar w:fldCharType="end"/>
      </w:r>
      <w:bookmarkEnd w:id="47"/>
      <w:bookmarkEnd w:id="48"/>
      <w:r>
        <w:rPr/>
        <w:t>.</w:t>
      </w:r>
    </w:p>
    <w:p>
      <w:pPr>
        <w:pStyle w:val="Heading2"/>
        <w:rPr/>
      </w:pPr>
      <w:bookmarkStart w:id="49" w:name="_6br7v1wizhuh"/>
      <w:bookmarkEnd w:id="49"/>
      <w:r>
        <w:rPr/>
        <w:t>Wars Limited by Risk</w:t>
      </w:r>
    </w:p>
    <w:p>
      <w:pPr>
        <w:pStyle w:val="Newparagraph"/>
        <w:ind w:hanging="0"/>
        <w:rPr/>
      </w:pPr>
      <w:r>
        <w:rPr/>
        <w:t xml:space="preserve">Cold War strategists advanced the notion of “the stability-instability paradox” to explain how incentives for engaging in conflict at lower levels of intensity or in peripheral theaters arise out of disincentives for initiating nuclear war (or even major conventional war) </w:t>
      </w:r>
      <w:r>
        <w:fldChar w:fldCharType="begin"/>
      </w:r>
      <w:r>
        <w:rPr/>
        <w:instrText>ADDIN ZOTERO_ITEM CSL_CITATION {"citationID":"au9mv4fi7e","properties":{"formattedCitation":"(Jervis 1984)","plainCitation":"(Jervis 1984)","noteIndex":0},"citationItems":[{"id":14050,"uris":["http://zotero.org/users/2506258/items/H9N78AM6"],"uri":["http://zotero.org/users/2506258/items/H9N78AM6"],"itemData":{"id":14050,"type":"book","title":"The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w:instrText>
      </w:r>
      <w:r>
        <w:rPr/>
        <w:fldChar w:fldCharType="separate"/>
      </w:r>
      <w:bookmarkStart w:id="50" w:name="__Fieldmark__222_4284355980"/>
      <w:r>
        <w:rPr/>
        <w:t>(</w:t>
      </w:r>
      <w:bookmarkStart w:id="51" w:name="__Fieldmark__272_1735709817"/>
      <w:r>
        <w:rPr/>
        <w:t>Jervis 1984)</w:t>
      </w:r>
      <w:r>
        <w:rPr/>
      </w:r>
      <w:r>
        <w:rPr/>
        <w:fldChar w:fldCharType="end"/>
      </w:r>
      <w:bookmarkEnd w:id="50"/>
      <w:bookmarkEnd w:id="51"/>
      <w:r>
        <w:rPr/>
        <w:t xml:space="preserve">. According to Snyder, “nuclear technology introduced a new form of intent-perception and a new form of uncertainty — that concerning what types of military capability the opponent was likely to use and what degree of violence he was willing to risk or accept” </w:t>
      </w:r>
      <w:r>
        <w:fldChar w:fldCharType="begin"/>
      </w:r>
      <w:r>
        <w:rPr/>
        <w:instrText>ADDIN ZOTERO_ITEM CSL_CITATION {"citationID":"al54en82g3","properties":{"formattedCitation":"(Snyder 1965)","plainCitation":"(Snyder 1965)","noteIndex":0},"citationItems":[{"id":5744,"uris":["http://zotero.org/users/2506258/items/MPUN27KV"],"uri":["http://zotero.org/users/2506258/items/MPUN27KV"],"itemData":{"id":5744,"type":"chapter","title":"The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w:instrText>
      </w:r>
      <w:r>
        <w:rPr/>
        <w:fldChar w:fldCharType="separate"/>
      </w:r>
      <w:bookmarkStart w:id="52" w:name="__Fieldmark__229_4284355980"/>
      <w:r>
        <w:rPr/>
        <w:t>(</w:t>
      </w:r>
      <w:bookmarkStart w:id="53" w:name="__Fieldmark__280_1735709817"/>
      <w:r>
        <w:rPr/>
        <w:t>Snyder 1965)</w:t>
      </w:r>
      <w:r>
        <w:rPr/>
      </w:r>
      <w:r>
        <w:rPr/>
        <w:fldChar w:fldCharType="end"/>
      </w:r>
      <w:bookmarkEnd w:id="52"/>
      <w:bookmarkEnd w:id="53"/>
      <w:r>
        <w:rPr/>
        <w:t xml:space="preserve">. The presence of nuclear weapons might prevent world war, but it could simultaneously encourage localized aggression or smaller, more limited conflicts </w:t>
      </w:r>
      <w:r>
        <w:fldChar w:fldCharType="begin"/>
      </w:r>
      <w:r>
        <w:rPr/>
        <w:instrText>ADDIN ZOTERO_ITEM CSL_CITATION {"citationID":"as5f8pbtdf","properties":{"formattedCitation":"(Sagan and Waltz 2003)","plainCitation":"(Sagan and Waltz 2003)","noteIndex":0},"citationItems":[{"id":6775,"uris":["http://zotero.org/users/2506258/items/FGBVBVDV"],"uri":["http://zotero.org/users/2506258/items/FGBVBVDV"],"itemData":{"id":6775,"type":"book","title":"The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Weapons","language":"en","author":[{"family":"Sagan","given":"Scott"},{"family":"Waltz","given":"Kenneth"}],"issued":{"date-parts":[["2003"]]}}}],"schema":"https://github.com/citation-style-language/schema/raw/master/csl-citation.json"}</w:instrText>
      </w:r>
      <w:r>
        <w:rPr/>
        <w:fldChar w:fldCharType="separate"/>
      </w:r>
      <w:bookmarkStart w:id="54" w:name="__Fieldmark__236_4284355980"/>
      <w:r>
        <w:rPr/>
        <w:t>(</w:t>
      </w:r>
      <w:bookmarkStart w:id="55" w:name="__Fieldmark__287_1735709817"/>
      <w:r>
        <w:rPr/>
        <w:t>Sagan and Waltz 2003)</w:t>
      </w:r>
      <w:r>
        <w:rPr/>
      </w:r>
      <w:r>
        <w:rPr/>
        <w:fldChar w:fldCharType="end"/>
      </w:r>
      <w:bookmarkEnd w:id="54"/>
      <w:bookmarkEnd w:id="55"/>
      <w:r>
        <w:rPr/>
        <w:t xml:space="preserve">. At the same time, the feasibility of “weakening the enemy with pricks instead of blows” is limited by the implicit risk of nuclear escalation </w:t>
      </w:r>
      <w:r>
        <w:fldChar w:fldCharType="begin"/>
      </w:r>
      <w:r>
        <w:rPr/>
        <w:instrText>ADDIN ZOTERO_ITEM CSL_CITATION {"citationID":"a1277nbvjb0","properties":{"formattedCitation":"(Hart 1954)","plainCitation":"(Hart 1954)","noteIndex":0},"citationItems":[{"id":14048,"uris":["http://zotero.org/users/2506258/items/KVCWYUFB"],"uri":["http://zotero.org/users/2506258/items/KVCWYUFB"],"itemData":{"id":14048,"type":"book","title":"Strategy: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w:instrText>
      </w:r>
      <w:r>
        <w:rPr/>
        <w:fldChar w:fldCharType="separate"/>
      </w:r>
      <w:bookmarkStart w:id="56" w:name="__Fieldmark__243_4284355980"/>
      <w:r>
        <w:rPr/>
        <w:t>(</w:t>
      </w:r>
      <w:bookmarkStart w:id="57" w:name="__Fieldmark__293_1735709817"/>
      <w:r>
        <w:rPr/>
        <w:t>Hart 1954)</w:t>
      </w:r>
      <w:r>
        <w:rPr/>
      </w:r>
      <w:r>
        <w:rPr/>
        <w:fldChar w:fldCharType="end"/>
      </w:r>
      <w:bookmarkEnd w:id="56"/>
      <w:bookmarkEnd w:id="57"/>
      <w:r>
        <w:rPr/>
        <w:t xml:space="preserve">. Modern studies evaluate stability-instability quantitatively or in specific regions </w:t>
      </w:r>
      <w:r>
        <w:fldChar w:fldCharType="begin"/>
      </w:r>
      <w:r>
        <w:rPr/>
        <w:instrText>ADDIN ZOTERO_ITEM CSL_CITATION {"citationID":"a2e2dcn2a3l","properties":{"formattedCitation":"(Ganguly 1995; Rauchhaus 2009)","plainCitation":"(Ganguly 1995; Rauchhaus 2009)","noteIndex":0},"citationItems":[{"id":14059,"uris":["http://zotero.org/users/2506258/items/WDYZLFKR"],"uri":["http://zotero.org/users/2506258/items/WDYZLFKR"],"itemData":{"id":14059,"type":"article-journal","title":"Indo‐Pakistani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Hypothesis","language":"en","author":[{"family":"Rauchhaus","given":"Robert"}],"issued":{"date-parts":[["2009",1,27]]}}}],"schema":"https://github.com/citation-style-language/schema/raw/master/csl-citation.json"}</w:instrText>
      </w:r>
      <w:r>
        <w:rPr/>
        <w:fldChar w:fldCharType="separate"/>
      </w:r>
      <w:bookmarkStart w:id="58" w:name="__Fieldmark__250_4284355980"/>
      <w:r>
        <w:rPr/>
        <w:t>(</w:t>
      </w:r>
      <w:bookmarkStart w:id="59" w:name="__Fieldmark__299_1735709817"/>
      <w:r>
        <w:rPr/>
        <w:t>Ganguly 1995; Rauchhaus 2009)</w:t>
      </w:r>
      <w:r>
        <w:rPr/>
      </w:r>
      <w:r>
        <w:rPr/>
        <w:fldChar w:fldCharType="end"/>
      </w:r>
      <w:bookmarkEnd w:id="58"/>
      <w:bookmarkEnd w:id="59"/>
      <w:r>
        <w:rPr/>
        <w:t>.</w:t>
      </w:r>
    </w:p>
    <w:p>
      <w:pPr>
        <w:pStyle w:val="Newparagraph"/>
        <w:rPr/>
      </w:pPr>
      <w:r>
        <w:rPr/>
        <w:t xml:space="preserve">Recent formalizations of limited conflict in the shadow of major war point to the need for updated conceptions of deterrence. Schelling argued that “the main consequence of limited war, and potentially a main purpose for engaging in it, is to raise the risk of larger war” </w:t>
      </w:r>
      <w:r>
        <w:fldChar w:fldCharType="begin"/>
      </w:r>
      <w:r>
        <w:rPr/>
        <w:instrText>ADDIN ZOTERO_ITEM CSL_CITATION {"citationID":"a23a32ecghs","properties":{"formattedCitation":"(Schelling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w:instrText>
      </w:r>
      <w:r>
        <w:rPr/>
        <w:fldChar w:fldCharType="separate"/>
      </w:r>
      <w:bookmarkStart w:id="60" w:name="__Fieldmark__259_4284355980"/>
      <w:r>
        <w:rPr/>
        <w:t>(</w:t>
      </w:r>
      <w:bookmarkStart w:id="61" w:name="__Fieldmark__315_1735709817"/>
      <w:r>
        <w:rPr/>
        <w:t>Schelling 1966)</w:t>
      </w:r>
      <w:r>
        <w:rPr/>
      </w:r>
      <w:r>
        <w:rPr/>
        <w:fldChar w:fldCharType="end"/>
      </w:r>
      <w:bookmarkEnd w:id="60"/>
      <w:bookmarkEnd w:id="61"/>
      <w:r>
        <w:rPr/>
        <w:t xml:space="preserve">. Gray zone conflict poses a different relationship in which a capable actor may choose to engage in limited war precisely to </w:t>
      </w:r>
      <w:r>
        <w:rPr>
          <w:i/>
        </w:rPr>
        <w:t xml:space="preserve">lower </w:t>
      </w:r>
      <w:r>
        <w:rPr/>
        <w:t xml:space="preserve">the risk of larger war </w:t>
      </w:r>
      <w:r>
        <w:fldChar w:fldCharType="begin"/>
      </w:r>
      <w:r>
        <w:rPr/>
        <w:instrText>ADDIN ZOTERO_ITEM CSL_CITATION {"citationID":"a1geflv43s5","properties":{"formattedCitation":"(Schram 2019)","plainCitation":"(Schram 2019)","noteIndex":0},"citationItems":[{"id":8315,"uris":["http://zotero.org/users/2506258/items/9DA9NTZD"],"uri":["http://zotero.org/users/2506258/items/9DA9NTZD"],"itemData":{"id":8315,"type":"manuscript","title":"Better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w:instrText>
      </w:r>
      <w:r>
        <w:rPr/>
        <w:fldChar w:fldCharType="separate"/>
      </w:r>
      <w:bookmarkStart w:id="62" w:name="__Fieldmark__268_4284355980"/>
      <w:r>
        <w:rPr/>
        <w:t>(</w:t>
      </w:r>
      <w:bookmarkStart w:id="63" w:name="__Fieldmark__324_1735709817"/>
      <w:r>
        <w:rPr/>
        <w:t>Schram 2019)</w:t>
      </w:r>
      <w:r>
        <w:rPr/>
      </w:r>
      <w:r>
        <w:rPr/>
        <w:fldChar w:fldCharType="end"/>
      </w:r>
      <w:bookmarkEnd w:id="62"/>
      <w:bookmarkEnd w:id="63"/>
      <w:r>
        <w:rPr/>
        <w:t xml:space="preserve">. As Powell states, “the amount of power the challenger brings to bear affects the stability of the conflict. More specifically, how much power the challenger brings to bear limits how much risk the defender can generate” </w:t>
      </w:r>
      <w:r>
        <w:fldChar w:fldCharType="begin"/>
      </w:r>
      <w:r>
        <w:rPr/>
        <w:instrText>ADDIN ZOTERO_ITEM CSL_CITATION {"citationID":"a13f16bqnov","properties":{"formattedCitation":"(Powell 2015)","plainCitation":"(Powell 2015)","noteIndex":0},"citationItems":[{"id":1138,"uris":["http://zotero.org/users/2506258/items/V8R47VRD"],"uri":["http://zotero.org/users/2506258/items/V8R47VRD"],"itemData":{"id":1138,"type":"article-journal","title":"Nuclear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w:instrText>
      </w:r>
      <w:r>
        <w:rPr/>
        <w:fldChar w:fldCharType="separate"/>
      </w:r>
      <w:bookmarkStart w:id="64" w:name="__Fieldmark__275_4284355980"/>
      <w:r>
        <w:rPr/>
        <w:t>(</w:t>
      </w:r>
      <w:bookmarkStart w:id="65" w:name="__Fieldmark__330_1735709817"/>
      <w:r>
        <w:rPr/>
        <w:t>Powell 2015)</w:t>
      </w:r>
      <w:r>
        <w:rPr/>
      </w:r>
      <w:r>
        <w:rPr/>
        <w:fldChar w:fldCharType="end"/>
      </w:r>
      <w:bookmarkEnd w:id="64"/>
      <w:bookmarkEnd w:id="65"/>
      <w:r>
        <w:rPr/>
        <w:t>. Mutually constrained actors pursue (and resist) aggression furtively, so as to protect broader cooperative or compatible goals.</w:t>
      </w:r>
    </w:p>
    <w:p>
      <w:pPr>
        <w:pStyle w:val="Newparagraph"/>
        <w:rPr/>
      </w:pPr>
      <w:r>
        <w:rPr/>
        <w:t xml:space="preserve">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 </w:t>
      </w:r>
      <w:r>
        <w:fldChar w:fldCharType="begin"/>
      </w:r>
      <w:r>
        <w:rPr/>
        <w:instrText>ADDIN ZOTERO_ITEM CSL_CITATION {"citationID":"a49q3a2gcn","properties":{"formattedCitation":"(A. George and Smoke 1989)","plainCitation":"(A. George and Smoke 1989)","noteIndex":0},"citationItems":[{"id":7477,"uris":["http://zotero.org/users/2506258/items/AEVFWN7N"],"uri":["http://zotero.org/users/2506258/items/AEVFWN7N"],"itemData":{"id":7477,"type":"article-journal","title":"Deterrence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w:instrText>
      </w:r>
      <w:r>
        <w:rPr/>
        <w:fldChar w:fldCharType="separate"/>
      </w:r>
      <w:bookmarkStart w:id="66" w:name="__Fieldmark__284_4284355980"/>
      <w:r>
        <w:rPr/>
        <w:t>(</w:t>
      </w:r>
      <w:bookmarkStart w:id="67" w:name="__Fieldmark__338_1735709817"/>
      <w:r>
        <w:rPr/>
        <w:t>A. George and Smoke 1989)</w:t>
      </w:r>
      <w:r>
        <w:rPr/>
      </w:r>
      <w:r>
        <w:rPr/>
        <w:fldChar w:fldCharType="end"/>
      </w:r>
      <w:bookmarkEnd w:id="66"/>
      <w:bookmarkEnd w:id="67"/>
      <w:r>
        <w:rPr/>
        <w:t xml:space="preserve">. Sometimes this can result in serious fighting as when Egypt “designed around” Israel’s deterrent in 1973 </w:t>
      </w:r>
      <w:r>
        <w:fldChar w:fldCharType="begin"/>
      </w:r>
      <w:r>
        <w:rPr/>
        <w:instrText>ADDIN ZOTERO_ITEM CSL_CITATION {"citationID":"a1nhaf49ut7","properties":{"formattedCitation":"(Stein 1989)","plainCitation":"(Stein 1989)","noteIndex":0},"citationItems":[{"id":8372,"uris":["http://zotero.org/users/2506258/items/CIUR75N6"],"uri":["http://zotero.org/users/2506258/items/CIUR75N6"],"itemData":{"id":8372,"type":"chapter","title":"Calculation,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w:instrText>
      </w:r>
      <w:r>
        <w:rPr/>
        <w:fldChar w:fldCharType="separate"/>
      </w:r>
      <w:bookmarkStart w:id="68" w:name="__Fieldmark__291_4284355980"/>
      <w:r>
        <w:rPr/>
        <w:t>(</w:t>
      </w:r>
      <w:bookmarkStart w:id="69" w:name="__Fieldmark__344_1735709817"/>
      <w:r>
        <w:rPr/>
        <w:t>Stein 1989)</w:t>
      </w:r>
      <w:r>
        <w:rPr/>
      </w:r>
      <w:r>
        <w:rPr/>
        <w:fldChar w:fldCharType="end"/>
      </w:r>
      <w:bookmarkEnd w:id="68"/>
      <w:bookmarkEnd w:id="69"/>
      <w:r>
        <w:rPr/>
        <w:t xml:space="preserve">. Even so, “designing around” deterrence remains a perverse symptom of its success so long as the adversary limits its means and aims, even in cases where the target panics or misperceives that the attacker has expansive aims (as Israel did). Lieberman thus argues that “designing around” is a sign of deterrence success if an adversary shapes its challenge in response to the anticipated reaction of the defender </w:t>
      </w:r>
      <w:r>
        <w:fldChar w:fldCharType="begin"/>
      </w:r>
      <w:r>
        <w:rPr/>
        <w:instrText>ADDIN ZOTERO_ITEM CSL_CITATION {"citationID":"a24u6fvi6he","properties":{"formattedCitation":"(Lieberman 2012)","plainCitation":"(Lieberman 2012)","noteIndex":0},"citationItems":[{"id":8368,"uris":["http://zotero.org/users/2506258/items/UN7658ND"],"uri":["http://zotero.org/users/2506258/items/UN7658ND"],"itemData":{"id":8368,"type":"book","title":"Reconceptualizing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w:instrText>
      </w:r>
      <w:r>
        <w:rPr/>
        <w:fldChar w:fldCharType="separate"/>
      </w:r>
      <w:bookmarkStart w:id="70" w:name="__Fieldmark__298_4284355980"/>
      <w:r>
        <w:rPr/>
        <w:t>(</w:t>
      </w:r>
      <w:bookmarkStart w:id="71" w:name="__Fieldmark__357_1735709817"/>
      <w:r>
        <w:rPr/>
        <w:t>Lieberman 2012)</w:t>
      </w:r>
      <w:r>
        <w:rPr/>
      </w:r>
      <w:r>
        <w:rPr/>
        <w:fldChar w:fldCharType="end"/>
      </w:r>
      <w:bookmarkEnd w:id="70"/>
      <w:bookmarkEnd w:id="71"/>
      <w:r>
        <w:rPr/>
        <w:t>.</w:t>
      </w:r>
    </w:p>
    <w:p>
      <w:pPr>
        <w:pStyle w:val="Heading2"/>
        <w:rPr/>
      </w:pPr>
      <w:bookmarkStart w:id="72" w:name="_h9izm43h2a15"/>
      <w:bookmarkEnd w:id="72"/>
      <w:r>
        <w:rPr/>
        <w:t>Wars Limited by Means</w:t>
      </w:r>
    </w:p>
    <w:p>
      <w:pPr>
        <w:pStyle w:val="Newparagraph"/>
        <w:ind w:hanging="0"/>
        <w:rPr/>
      </w:pPr>
      <w:r>
        <w:rPr/>
        <w:t xml:space="preserve">The Cold War also witnessed numerous decolonization struggles and proxy wars in the Third World. Limited war with irregular forces rather than a peer competitor directly garnered much attention in the 1970s under the rubric of “low intensity conflict” (LIC) </w:t>
      </w:r>
      <w:r>
        <w:fldChar w:fldCharType="begin"/>
      </w:r>
      <w:r>
        <w:rPr/>
        <w:instrText>ADDIN ZOTERO_ITEM CSL_CITATION {"citationID":"aj6m994m9g","properties":{"formattedCitation":"(Schultz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rPr/>
        <w:fldChar w:fldCharType="separate"/>
      </w:r>
      <w:bookmarkStart w:id="73" w:name="__Fieldmark__311_4284355980"/>
      <w:r>
        <w:rPr/>
        <w:t>(</w:t>
      </w:r>
      <w:bookmarkStart w:id="74" w:name="__Fieldmark__374_1735709817"/>
      <w:r>
        <w:rPr/>
        <w:t>Schultz 1986)</w:t>
      </w:r>
      <w:r>
        <w:rPr/>
      </w:r>
      <w:r>
        <w:rPr/>
        <w:fldChar w:fldCharType="end"/>
      </w:r>
      <w:bookmarkEnd w:id="73"/>
      <w:bookmarkEnd w:id="74"/>
      <w:r>
        <w:rPr/>
        <w:t xml:space="preserve">. Some treatments of LIC focus on the use of light weapons and ambush tactics </w:t>
      </w:r>
      <w:r>
        <w:fldChar w:fldCharType="begin"/>
      </w:r>
      <w:r>
        <w:rPr/>
        <w:instrText>ADDIN ZOTERO_ITEM CSL_CITATION {"citationID":"a2bktg8d9pg","properties":{"formattedCitation":"(Kornbluh and Hackel 1986)","plainCitation":"(Kornbluh and Hackel 1986)","noteIndex":0},"citationItems":[{"id":6646,"uris":["http://zotero.org/users/2506258/items/9EHV7PG6"],"uri":["http://zotero.org/users/2506258/items/9EHV7PG6"],"itemData":{"id":6646,"type":"article-journal","title":"Low-Intensity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schema":"https://github.com/citation-style-language/schema/raw/master/csl-citation.json"}</w:instrText>
      </w:r>
      <w:r>
        <w:rPr/>
        <w:fldChar w:fldCharType="separate"/>
      </w:r>
      <w:bookmarkStart w:id="75" w:name="__Fieldmark__318_4284355980"/>
      <w:r>
        <w:rPr/>
        <w:t>(</w:t>
      </w:r>
      <w:bookmarkStart w:id="76" w:name="__Fieldmark__379_1735709817"/>
      <w:r>
        <w:rPr/>
        <w:t>Kornbluh and Hackel 1986)</w:t>
      </w:r>
      <w:r>
        <w:rPr/>
      </w:r>
      <w:r>
        <w:rPr/>
        <w:fldChar w:fldCharType="end"/>
      </w:r>
      <w:bookmarkEnd w:id="75"/>
      <w:bookmarkEnd w:id="76"/>
      <w:r>
        <w:rPr/>
        <w:t xml:space="preserve"> while others identify the phenomenon in terms of non-state actors </w:t>
      </w:r>
      <w:r>
        <w:fldChar w:fldCharType="begin"/>
      </w:r>
      <w:r>
        <w:rPr/>
        <w:instrText>ADDIN ZOTERO_ITEM CSL_CITATION {"citationID":"a1lnekaugho","properties":{"formattedCitation":"(Kinross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rPr/>
        <w:fldChar w:fldCharType="separate"/>
      </w:r>
      <w:bookmarkStart w:id="77" w:name="__Fieldmark__325_4284355980"/>
      <w:r>
        <w:rPr/>
        <w:t>(</w:t>
      </w:r>
      <w:bookmarkStart w:id="78" w:name="__Fieldmark__394_1735709817"/>
      <w:r>
        <w:rPr/>
        <w:t>Kinross 2004)</w:t>
      </w:r>
      <w:r>
        <w:rPr/>
      </w:r>
      <w:r>
        <w:rPr/>
        <w:fldChar w:fldCharType="end"/>
      </w:r>
      <w:bookmarkEnd w:id="77"/>
      <w:bookmarkEnd w:id="78"/>
      <w:r>
        <w:rPr/>
        <w:t xml:space="preserve">. Unsurprisingly LIC is more prevalent in under-developed or poorly institutionalized regions </w:t>
      </w:r>
      <w:r>
        <w:fldChar w:fldCharType="begin"/>
      </w:r>
      <w:r>
        <w:rPr/>
        <w:instrText>ADDIN ZOTERO_ITEM CSL_CITATION {"citationID":"a2027f2b2rn","properties":{"formattedCitation":"(Hammond 1990)","plainCitation":"(Hammond 1990)","noteIndex":0},"citationItems":[{"id":6613,"uris":["http://zotero.org/users/2506258/items/UTDGHHRA"],"uri":["http://zotero.org/users/2506258/items/UTDGHHRA"],"itemData":{"id":6613,"type":"article-journal","title":"Low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T."}],"issued":{"date-parts":[["1990"]]}}}],"schema":"https://github.com/citation-style-language/schema/raw/master/csl-citation.json"}</w:instrText>
      </w:r>
      <w:r>
        <w:rPr/>
        <w:fldChar w:fldCharType="separate"/>
      </w:r>
      <w:bookmarkStart w:id="79" w:name="__Fieldmark__332_4284355980"/>
      <w:r>
        <w:rPr/>
        <w:t>(</w:t>
      </w:r>
      <w:bookmarkStart w:id="80" w:name="__Fieldmark__400_1735709817"/>
      <w:r>
        <w:rPr/>
        <w:t>Hammond 1990)</w:t>
      </w:r>
      <w:r>
        <w:rPr/>
      </w:r>
      <w:r>
        <w:rPr/>
        <w:fldChar w:fldCharType="end"/>
      </w:r>
      <w:bookmarkEnd w:id="79"/>
      <w:bookmarkEnd w:id="80"/>
      <w:r>
        <w:rPr/>
        <w:t xml:space="preserve">. The classical literature on counterinsurgency </w:t>
      </w:r>
      <w:r>
        <w:fldChar w:fldCharType="begin"/>
      </w:r>
      <w:r>
        <w:rPr/>
        <w:instrText>ADDIN ZOTERO_ITEM CSL_CITATION {"citationID":"a23s2l21u46","properties":{"formattedCitation":"(Galula 1964; Taber 1965)","plainCitation":"(Galula 1964; Taber 1965)","noteIndex":0},"citationItems":[{"id":17468,"uris":["http://zotero.org/users/2506258/items/7PRFJYHK"],"uri":["http://zotero.org/users/2506258/items/7PRFJYHK"],"itemData":{"id":17468,"type":"book","title":"Counterinsurgency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Flea","language":"en","author":[{"family":"Taber","given":"Robert"}],"issued":{"date-parts":[["1965"]]}}}],"schema":"https://github.com/citation-style-language/schema/raw/master/csl-citation.json"}</w:instrText>
      </w:r>
      <w:r>
        <w:rPr/>
        <w:fldChar w:fldCharType="separate"/>
      </w:r>
      <w:bookmarkStart w:id="81" w:name="__Fieldmark__339_4284355980"/>
      <w:r>
        <w:rPr/>
        <w:t>(</w:t>
      </w:r>
      <w:bookmarkStart w:id="82" w:name="__Fieldmark__406_1735709817"/>
      <w:r>
        <w:rPr/>
        <w:t>Galula 1964; Taber 1965)</w:t>
      </w:r>
      <w:r>
        <w:rPr/>
      </w:r>
      <w:r>
        <w:rPr/>
        <w:fldChar w:fldCharType="end"/>
      </w:r>
      <w:bookmarkEnd w:id="81"/>
      <w:bookmarkEnd w:id="82"/>
      <w:r>
        <w:rPr/>
        <w:t xml:space="preserve"> and its modern variants </w:t>
      </w:r>
      <w:r>
        <w:fldChar w:fldCharType="begin"/>
      </w:r>
      <w:r>
        <w:rPr/>
        <w:instrText>ADDIN ZOTERO_ITEM CSL_CITATION {"citationID":"a1kag1prubd","properties":{"formattedCitation":"(Nagl 2005; Kilcullen 2010)","plainCitation":"(Nagl 2005; Kilcullen 2010)","noteIndex":0},"citationItems":[{"id":17463,"uris":["http://zotero.org/users/2506258/items/A69T62ML"],"uri":["http://zotero.org/users/2506258/items/A69T62ML"],"itemData":{"id":17463,"type":"book","title":"Learning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w:instrText>
      </w:r>
      <w:r>
        <w:rPr/>
        <w:fldChar w:fldCharType="separate"/>
      </w:r>
      <w:bookmarkStart w:id="83" w:name="__Fieldmark__346_4284355980"/>
      <w:r>
        <w:rPr/>
        <w:t>(</w:t>
      </w:r>
      <w:bookmarkStart w:id="84" w:name="__Fieldmark__415_1735709817"/>
      <w:r>
        <w:rPr/>
        <w:t>Nagl 2005; Kilcullen 2010)</w:t>
      </w:r>
      <w:r>
        <w:rPr/>
      </w:r>
      <w:r>
        <w:rPr/>
        <w:fldChar w:fldCharType="end"/>
      </w:r>
      <w:bookmarkEnd w:id="83"/>
      <w:bookmarkEnd w:id="84"/>
      <w:r>
        <w:rPr/>
        <w:t xml:space="preserve"> fall into this category.</w:t>
      </w:r>
    </w:p>
    <w:p>
      <w:pPr>
        <w:pStyle w:val="Newparagraph"/>
        <w:rPr/>
      </w:pPr>
      <w:r>
        <w:rPr/>
        <w:t xml:space="preserve">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w:t>
      </w:r>
      <w:r>
        <w:fldChar w:fldCharType="begin"/>
      </w:r>
      <w:r>
        <w:rPr/>
        <w:instrText>ADDIN ZOTERO_ITEM CSL_CITATION {"citationID":"a1q3388n58v","properties":{"formattedCitation":"(Petersen 2001; Wood 2003)","plainCitation":"(Petersen 2001; Wood 2003)","noteIndex":0},"citationItems":[{"id":17459,"uris":["http://zotero.org/users/2506258/items/G4X3YEFP"],"uri":["http://zotero.org/users/2506258/items/G4X3YEFP"],"itemData":{"id":17459,"type":"book","title":"Resistance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Jean"}],"issued":{"date-parts":[["2003",8,4]]}}}],"schema":"https://github.com/citation-style-language/schema/raw/master/csl-citation.json"}</w:instrText>
      </w:r>
      <w:r>
        <w:rPr/>
        <w:fldChar w:fldCharType="separate"/>
      </w:r>
      <w:bookmarkStart w:id="85" w:name="__Fieldmark__355_4284355980"/>
      <w:r>
        <w:rPr/>
        <w:t>(</w:t>
      </w:r>
      <w:bookmarkStart w:id="86" w:name="__Fieldmark__429_1735709817"/>
      <w:r>
        <w:rPr/>
        <w:t>Petersen 2001; Wood 2003)</w:t>
      </w:r>
      <w:r>
        <w:rPr/>
      </w:r>
      <w:r>
        <w:rPr/>
        <w:fldChar w:fldCharType="end"/>
      </w:r>
      <w:bookmarkEnd w:id="85"/>
      <w:bookmarkEnd w:id="86"/>
      <w:r>
        <w:rPr/>
        <w:t xml:space="preserve"> and the militaries that fight them </w:t>
      </w:r>
      <w:r>
        <w:fldChar w:fldCharType="begin"/>
      </w:r>
      <w:r>
        <w:rPr/>
        <w:instrText>ADDIN ZOTERO_ITEM CSL_CITATION {"citationID":"a206v6vrp3r","properties":{"formattedCitation":"(Hazelton 2017)","plainCitation":"(Hazelton 2017)","noteIndex":0},"citationItems":[{"id":18947,"uris":["http://zotero.org/users/2506258/items/6A9GP7NC"],"uri":["http://zotero.org/users/2506258/items/6A9GP7NC"],"itemData":{"id":18947,"type":"article-journal","title":"The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w:instrText>
      </w:r>
      <w:r>
        <w:rPr/>
        <w:fldChar w:fldCharType="separate"/>
      </w:r>
      <w:bookmarkStart w:id="87" w:name="__Fieldmark__362_4284355980"/>
      <w:r>
        <w:rPr/>
        <w:t>(</w:t>
      </w:r>
      <w:bookmarkStart w:id="88" w:name="__Fieldmark__436_1735709817"/>
      <w:r>
        <w:rPr/>
        <w:t>Hazelton 2017)</w:t>
      </w:r>
      <w:r>
        <w:rPr/>
      </w:r>
      <w:r>
        <w:rPr/>
        <w:fldChar w:fldCharType="end"/>
      </w:r>
      <w:bookmarkEnd w:id="87"/>
      <w:bookmarkEnd w:id="88"/>
      <w:r>
        <w:rPr/>
        <w:t>. The recent renewal of interest in low-intensity conflict between more capable competitors in many ways represents a return to the two earlier themes—wars limited by ends and risk-sensitivity</w:t>
      </w:r>
      <w:bookmarkStart w:id="89" w:name="_xv2zo47pbnrc"/>
      <w:bookmarkEnd w:id="89"/>
      <w:r>
        <w:rPr/>
        <w:t>.</w:t>
      </w:r>
    </w:p>
    <w:p>
      <w:pPr>
        <w:pStyle w:val="Heading2"/>
        <w:spacing w:lineRule="auto" w:line="276" w:before="360" w:after="200"/>
        <w:ind w:left="-15" w:right="10" w:hanging="0"/>
        <w:contextualSpacing/>
        <w:rPr/>
      </w:pPr>
      <w:r>
        <w:rPr/>
        <w:t>Modern Gray Zone Conflict</w:t>
      </w:r>
    </w:p>
    <w:p>
      <w:pPr>
        <w:pStyle w:val="Newparagraph"/>
        <w:ind w:hanging="0"/>
        <w:rPr/>
      </w:pPr>
      <w:r>
        <w:rPr/>
        <w:t xml:space="preserve">Gray zone conflict today has been described as “a carefully planned campaign operating in the space between traditional diplomacy and overt military aggression” employed by revisionist states with grand geopolitical ambitions and irresistible capabilities </w:t>
      </w:r>
      <w:r>
        <w:fldChar w:fldCharType="begin"/>
      </w:r>
      <w:r>
        <w:rPr/>
        <w:instrText>ADDIN ZOTERO_ITEM CSL_CITATION {"citationID":"a1hnp07bjak","properties":{"formattedCitation":"(Mazarr 2015)","plainCitation":"(Mazarr 2015)","noteIndex":0},"citationItems":[{"id":3537,"uris":["http://zotero.org/users/2506258/items/9ZDIJFAI"],"uri":["http://zotero.org/users/2506258/items/9ZDIJFAI"],"itemData":{"id":3537,"type":"report","title":"Mastering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w:instrText>
      </w:r>
      <w:r>
        <w:rPr/>
        <w:fldChar w:fldCharType="separate"/>
      </w:r>
      <w:bookmarkStart w:id="90" w:name="__Fieldmark__376_4284355980"/>
      <w:r>
        <w:rPr/>
        <w:t>(</w:t>
      </w:r>
      <w:bookmarkStart w:id="91" w:name="__Fieldmark__449_1735709817"/>
      <w:r>
        <w:rPr/>
        <w:t>Mazarr 2015)</w:t>
      </w:r>
      <w:r>
        <w:rPr/>
      </w:r>
      <w:r>
        <w:rPr/>
        <w:fldChar w:fldCharType="end"/>
      </w:r>
      <w:bookmarkEnd w:id="90"/>
      <w:bookmarkEnd w:id="91"/>
      <w:r>
        <w:rPr/>
        <w:t xml:space="preserve">. This pessimism has even led some to advocate revamping deterrence to focus on threats from the gray zone </w:t>
      </w:r>
      <w:r>
        <w:fldChar w:fldCharType="begin"/>
      </w:r>
      <w:r>
        <w:rPr/>
        <w:instrText>ADDIN ZOTERO_ITEM CSL_CITATION {"citationID":"a1gde0chqgb","properties":{"formattedCitation":"(Matisek 2017)","plainCitation":"(Matisek 2017)","noteIndex":0},"citationItems":[{"id":21406,"uris":["http://zotero.org/users/2506258/items/KGY25RHB"],"uri":["http://zotero.org/users/2506258/items/KGY25RHB"],"itemData":{"id":21406,"type":"article-journal","title":"Shades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w:instrText>
      </w:r>
      <w:r>
        <w:rPr/>
        <w:fldChar w:fldCharType="separate"/>
      </w:r>
      <w:bookmarkStart w:id="92" w:name="__Fieldmark__383_4284355980"/>
      <w:r>
        <w:rPr/>
        <w:t>(</w:t>
      </w:r>
      <w:bookmarkStart w:id="93" w:name="__Fieldmark__456_1735709817"/>
      <w:r>
        <w:rPr/>
        <w:t>Matisek 2017)</w:t>
      </w:r>
      <w:r>
        <w:rPr/>
      </w:r>
      <w:r>
        <w:rPr/>
        <w:fldChar w:fldCharType="end"/>
      </w:r>
      <w:bookmarkEnd w:id="92"/>
      <w:bookmarkEnd w:id="93"/>
      <w:r>
        <w:rPr/>
        <w:t xml:space="preserve">. Russia, and its intervention in Ukraine in particular, is the paradigmatic exemplar </w:t>
      </w:r>
      <w:r>
        <w:fldChar w:fldCharType="begin"/>
      </w:r>
      <w:r>
        <w:rPr/>
        <w:instrText>ADDIN ZOTERO_ITEM CSL_CITATION {"citationID":"a182kuvtqrj","properties":{"formattedCitation":"(Marten 2015)","plainCitation":"(Marten 2015)","noteIndex":0},"citationItems":[{"id":6702,"uris":["http://zotero.org/users/2506258/items/NTMEZZFH"],"uri":["http://zotero.org/users/2506258/items/NTMEZZFH"],"itemData":{"id":6702,"type":"article-journal","title":"Putin's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Choices","author":[{"family":"Marten","given":"Kimberly"}],"issued":{"date-parts":[["2015",4,3]]}}}],"schema":"https://github.com/citation-style-language/schema/raw/master/csl-citation.json"}</w:instrText>
      </w:r>
      <w:r>
        <w:rPr/>
        <w:fldChar w:fldCharType="separate"/>
      </w:r>
      <w:bookmarkStart w:id="94" w:name="__Fieldmark__390_4284355980"/>
      <w:r>
        <w:rPr/>
        <w:t>(</w:t>
      </w:r>
      <w:bookmarkStart w:id="95" w:name="__Fieldmark__466_1735709817"/>
      <w:r>
        <w:rPr/>
        <w:t>Marten 2015)</w:t>
      </w:r>
      <w:r>
        <w:rPr/>
      </w:r>
      <w:r>
        <w:rPr/>
        <w:fldChar w:fldCharType="end"/>
      </w:r>
      <w:bookmarkEnd w:id="94"/>
      <w:bookmarkEnd w:id="95"/>
      <w:r>
        <w:rPr/>
        <w:t xml:space="preserve">. Russia uses novel forms of “hybrid warfare” to facilitate increased aggression against NATO and the West </w:t>
      </w:r>
      <w:r>
        <w:fldChar w:fldCharType="begin"/>
      </w:r>
      <w:r>
        <w:rPr/>
        <w:instrText>ADDIN ZOTERO_ITEM CSL_CITATION {"citationID":"a25td0l4fcs","properties":{"formattedCitation":"(Chivvis 2017)","plainCitation":"(Chivvis 2017)","noteIndex":0},"citationItems":[{"id":10425,"uris":["http://zotero.org/users/2506258/items/RMP7NMPZ"],"uri":["http://zotero.org/users/2506258/items/RMP7NMPZ"],"itemData":{"id":10425,"type":"article-journal","title":"Hybrid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w:instrText>
      </w:r>
      <w:r>
        <w:rPr/>
        <w:fldChar w:fldCharType="separate"/>
      </w:r>
      <w:bookmarkStart w:id="96" w:name="__Fieldmark__397_4284355980"/>
      <w:r>
        <w:rPr/>
        <w:t>(</w:t>
      </w:r>
      <w:bookmarkStart w:id="97" w:name="__Fieldmark__472_1735709817"/>
      <w:r>
        <w:rPr/>
        <w:t>Chivvis 2017)</w:t>
      </w:r>
      <w:r>
        <w:rPr/>
      </w:r>
      <w:r>
        <w:rPr/>
        <w:fldChar w:fldCharType="end"/>
      </w:r>
      <w:bookmarkEnd w:id="96"/>
      <w:bookmarkEnd w:id="97"/>
      <w:r>
        <w:rPr/>
        <w:t xml:space="preserve">. This view holds that aggressors can work around adversaries’ red lines to achieve coercive bargaining success without triggering escalation </w:t>
      </w:r>
      <w:r>
        <w:fldChar w:fldCharType="begin"/>
      </w:r>
      <w:r>
        <w:rPr/>
        <w:instrText>ADDIN ZOTERO_ITEM CSL_CITATION {"citationID":"a18u2c9qd8e","properties":{"formattedCitation":"(Altman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w:instrText>
      </w:r>
      <w:r>
        <w:rPr/>
        <w:fldChar w:fldCharType="separate"/>
      </w:r>
      <w:bookmarkStart w:id="98" w:name="__Fieldmark__404_4284355980"/>
      <w:r>
        <w:rPr/>
        <w:t>(</w:t>
      </w:r>
      <w:bookmarkStart w:id="99" w:name="__Fieldmark__482_1735709817"/>
      <w:r>
        <w:rPr/>
        <w:t>Altman 2018)</w:t>
      </w:r>
      <w:r>
        <w:rPr/>
      </w:r>
      <w:r>
        <w:rPr/>
        <w:fldChar w:fldCharType="end"/>
      </w:r>
      <w:bookmarkEnd w:id="98"/>
      <w:bookmarkEnd w:id="99"/>
      <w:r>
        <w:rPr/>
        <w:t>. If so, we might expect to see Russia engaging in gray zone conflict in as many situations as possible; there is little reason to avoid undertaking an efficient form of warfare that provides significant gains at low cost.</w:t>
      </w:r>
    </w:p>
    <w:p>
      <w:pPr>
        <w:pStyle w:val="Newparagraph"/>
        <w:rPr/>
      </w:pPr>
      <w:r>
        <w:rP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means by which low intensity conflict can be practiced </w:t>
      </w:r>
      <w:r>
        <w:fldChar w:fldCharType="begin"/>
      </w:r>
      <w:r>
        <w:rPr/>
        <w:instrText>ADDIN ZOTERO_ITEM CSL_CITATION {"citationID":"a2cgkgagnig","properties":{"formattedCitation":"(Wirtz 2017)","plainCitation":"(Wirtz 2017)","noteIndex":0},"citationItems":[{"id":21405,"uris":["http://zotero.org/users/2506258/items/UP8Y8253"],"uri":["http://zotero.org/users/2506258/items/UP8Y8253"],"itemData":{"id":21405,"type":"article-journal","title":"Life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w:instrText>
      </w:r>
      <w:r>
        <w:rPr/>
        <w:fldChar w:fldCharType="separate"/>
      </w:r>
      <w:bookmarkStart w:id="100" w:name="__Fieldmark__413_4284355980"/>
      <w:r>
        <w:rPr/>
        <w:t>(</w:t>
      </w:r>
      <w:bookmarkStart w:id="101" w:name="__Fieldmark__492_1735709817"/>
      <w:r>
        <w:rPr/>
        <w:t>Wirtz 2017)</w:t>
      </w:r>
      <w:r>
        <w:rPr/>
      </w:r>
      <w:r>
        <w:rPr/>
        <w:fldChar w:fldCharType="end"/>
      </w:r>
      <w:bookmarkEnd w:id="100"/>
      <w:bookmarkEnd w:id="101"/>
      <w:r>
        <w:rPr/>
        <w:t xml:space="preserve">. The emergence of new, cheaper implements of coercion have made it easier than before to fight circumspect contests </w:t>
      </w:r>
      <w:r>
        <w:fldChar w:fldCharType="begin"/>
      </w:r>
      <w:r>
        <w:rPr/>
        <w:instrText>ADDIN ZOTERO_ITEM CSL_CITATION {"citationID":"a1q0brvec1r","properties":{"formattedCitation":"(Lindsay and Gartzke 2018)","plainCitation":"(Lindsay and Gartzke 2018)","noteIndex":0},"citationItems":[{"id":15449,"uris":["http://zotero.org/users/2506258/items/222ETN4Z"],"uri":["http://zotero.org/users/2506258/items/222ETN4Z"],"itemData":{"id":15449,"type":"chapter","title":"Coercion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w:instrText>
      </w:r>
      <w:r>
        <w:rPr/>
        <w:fldChar w:fldCharType="separate"/>
      </w:r>
      <w:bookmarkStart w:id="102" w:name="__Fieldmark__420_4284355980"/>
      <w:r>
        <w:rPr/>
        <w:t>(</w:t>
      </w:r>
      <w:bookmarkStart w:id="103" w:name="__Fieldmark__500_1735709817"/>
      <w:r>
        <w:rPr/>
        <w:t>Lindsay and Gartzke 2018)</w:t>
      </w:r>
      <w:r>
        <w:rPr/>
      </w:r>
      <w:r>
        <w:rPr/>
        <w:fldChar w:fldCharType="end"/>
      </w:r>
      <w:bookmarkEnd w:id="102"/>
      <w:bookmarkEnd w:id="103"/>
      <w:r>
        <w:rPr/>
        <w:t>.</w:t>
      </w:r>
    </w:p>
    <w:p>
      <w:pPr>
        <w:pStyle w:val="Newparagraph"/>
        <w:rPr/>
      </w:pPr>
      <w:r>
        <w:rPr/>
        <w:t xml:space="preserve">Even sceptics of the potency of new information technologies highlight the expanded repertoire of military strategies available for low intensity conflict, especially online espionage and cyber disruption </w:t>
      </w:r>
      <w:r>
        <w:fldChar w:fldCharType="begin"/>
      </w:r>
      <w:r>
        <w:rPr/>
        <w:instrText>ADDIN ZOTERO_ITEM CSL_CITATION {"citationID":"a10sl4nh504","properties":{"formattedCitation":"(Rid 2013; Jensen, Valeriano, and Maness 2019)","plainCitation":"(Rid 2013; Jensen, Valeriano, and Maness 2019)","noteIndex":0},"citationItems":[{"id":19180,"uris":["http://zotero.org/users/2506258/items/GXTZPUJI"],"uri":["http://zotero.org/users/2506258/items/GXTZPUJI"],"itemData":{"id":19180,"type":"article-magazine","title":"Cyberwar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w:instrText>
      </w:r>
      <w:r>
        <w:rPr/>
        <w:fldChar w:fldCharType="separate"/>
      </w:r>
      <w:bookmarkStart w:id="104" w:name="__Fieldmark__429_4284355980"/>
      <w:r>
        <w:rPr/>
        <w:t>(</w:t>
      </w:r>
      <w:bookmarkStart w:id="105" w:name="__Fieldmark__512_1735709817"/>
      <w:r>
        <w:rPr/>
        <w:t>Rid 2013; Jensen, Valeriano, and Maness 2019)</w:t>
      </w:r>
      <w:r>
        <w:rPr/>
      </w:r>
      <w:r>
        <w:rPr/>
        <w:fldChar w:fldCharType="end"/>
      </w:r>
      <w:bookmarkEnd w:id="104"/>
      <w:bookmarkEnd w:id="105"/>
      <w:r>
        <w:rPr/>
        <w:t xml:space="preserve">. Compared to historical subversions this is certainly true. Yet there are also more, and more technologically sophisticated, means available for all types of warfare, some of which are only likely to be used in major war (e.g., anti-satellite weapons, hypersonic munitions, anti-ship ballistic missiles).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w:t>
      </w:r>
      <w:r>
        <w:rPr>
          <w:i/>
        </w:rPr>
        <w:t>all</w:t>
      </w:r>
      <w:r>
        <w:rPr/>
        <w:t xml:space="preserve"> types with the use of a </w:t>
      </w:r>
      <w:r>
        <w:rPr>
          <w:i/>
        </w:rPr>
        <w:t>subset</w:t>
      </w:r>
      <w:r>
        <w:rPr/>
        <w:t xml:space="preserve"> of means for limited conflict. Cyber operations may be prevalent in the gray zone, but they will be prevalent in every war of the 21</w:t>
      </w:r>
      <w:r>
        <w:rPr>
          <w:vertAlign w:val="superscript"/>
        </w:rPr>
        <w:t>st</w:t>
      </w:r>
      <w:r>
        <w:rPr/>
        <w:t xml:space="preserve"> century.</w:t>
      </w:r>
    </w:p>
    <w:p>
      <w:pPr>
        <w:pStyle w:val="Newparagraph"/>
        <w:rPr/>
      </w:pPr>
      <w:r>
        <w:rPr/>
        <w:t>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pPr>
        <w:pStyle w:val="Displayedquotation"/>
        <w:rPr/>
      </w:pPr>
      <w:r>
        <w:rPr/>
        <w:t xml:space="preserve">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w:t>
      </w:r>
      <w:r>
        <w:fldChar w:fldCharType="begin"/>
      </w:r>
      <w:r>
        <w:rPr/>
        <w:instrText>ADDIN ZOTERO_ITEM CSL_CITATION {"citationID":"a1iob82d485","properties":{"formattedCitation":"(Schultz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rPr/>
        <w:fldChar w:fldCharType="separate"/>
      </w:r>
      <w:bookmarkStart w:id="106" w:name="__Fieldmark__445_4284355980"/>
      <w:r>
        <w:rPr/>
        <w:t>(</w:t>
      </w:r>
      <w:bookmarkStart w:id="107" w:name="__Fieldmark__538_1735709817"/>
      <w:r>
        <w:rPr/>
        <w:t>Schultz 1986)</w:t>
      </w:r>
      <w:r>
        <w:rPr/>
      </w:r>
      <w:r>
        <w:rPr/>
        <w:fldChar w:fldCharType="end"/>
      </w:r>
      <w:bookmarkEnd w:id="106"/>
      <w:bookmarkEnd w:id="107"/>
      <w:r>
        <w:rPr/>
        <w:t>.</w:t>
      </w:r>
    </w:p>
    <w:p>
      <w:pPr>
        <w:pStyle w:val="Newparagraph"/>
        <w:rPr/>
      </w:pPr>
      <w:r>
        <w:rPr/>
        <w:t>Our theory hopes to reemphasize this optimism concerning the motivations underlying gray zone conflict. The phenomenon of gray zone conflict is not new, but its causes have evolved in a way that should encourage patience before sounding alarms.</w:t>
      </w:r>
    </w:p>
    <w:p>
      <w:pPr>
        <w:pStyle w:val="Heading1"/>
        <w:spacing w:lineRule="auto" w:line="276" w:before="360" w:after="200"/>
        <w:ind w:left="-5" w:right="10" w:hanging="0"/>
        <w:contextualSpacing/>
        <w:rPr/>
      </w:pPr>
      <w:r>
        <w:rPr/>
        <w:t>A Theory of Gray Zone Conflict</w:t>
      </w:r>
    </w:p>
    <w:p>
      <w:pPr>
        <w:pStyle w:val="Newparagraph"/>
        <w:ind w:hanging="0"/>
        <w:rPr/>
      </w:pPr>
      <w:bookmarkStart w:id="108" w:name="_o5zyiueyr7r"/>
      <w:bookmarkEnd w:id="108"/>
      <w:r>
        <w:rPr/>
        <w:t xml:space="preserve">Gray zone conflict occurs when militarily capable conflict initiators intentionally limit the intensity and capacity with which they conduct military or intelligence operations and the target either does not or cannot escalate the contest. Our definition reflects the conceptual and empirical reality of an overlap with other concepts, such as low intensity conflict and small wars, while at the same time emphasizing three unique attributes of conflict in the gray zone. </w:t>
      </w:r>
    </w:p>
    <w:p>
      <w:pPr>
        <w:pStyle w:val="Newparagraph"/>
        <w:rPr/>
      </w:pPr>
      <w:r>
        <w:rPr/>
        <w:t xml:space="preserve">First, gray zone conflict results from agency rather than necessity. It is </w:t>
      </w:r>
      <w:r>
        <w:rPr>
          <w:i/>
        </w:rPr>
        <w:t>limitation by choice</w:t>
      </w:r>
      <w:r>
        <w:rPr/>
        <w:t xml:space="preserve">. If limited war were distinguished only by limited ends, why wouldn’t actors use the most effective means for the job? Gray zone conflict involves refraining from using one’s most potent military capabilities. </w:t>
      </w:r>
    </w:p>
    <w:p>
      <w:pPr>
        <w:pStyle w:val="Newparagraph"/>
        <w:rPr/>
      </w:pPr>
      <w:r>
        <w:rPr/>
        <w:t xml:space="preserve">Second, gray zone conflict involves </w:t>
      </w:r>
      <w:r>
        <w:rPr>
          <w:i/>
        </w:rPr>
        <w:t>capable initiators</w:t>
      </w:r>
      <w:r>
        <w:rPr/>
        <w:t xml:space="preserve">. In order to limit one’s means, an actor must have a portfolio of means to choose from. This differentiates Russian or American special operations forces from insurgents, even in cases where their tactics appear similar. Moreover, weaker states and rebel groups vary considerably in their war aims and thus may refrain from giving their maximum effort </w:t>
      </w:r>
      <w:r>
        <w:fldChar w:fldCharType="begin"/>
      </w:r>
      <w:r>
        <w:rPr/>
        <w:instrText>ADDIN ZOTERO_ITEM CSL_CITATION {"citationID":"a1u41sag4cb","properties":{"formattedCitation":"(Staniland 2012)","plainCitation":"(Staniland 2012)","noteIndex":0},"citationItems":[{"id":18946,"uris":["http://zotero.org/users/2506258/items/W23SU9FT"],"uri":["http://zotero.org/users/2506258/items/W23SU9FT"],"itemData":{"id":18946,"type":"article-journal","title":"States,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w:instrText>
      </w:r>
      <w:r>
        <w:rPr/>
        <w:fldChar w:fldCharType="separate"/>
      </w:r>
      <w:bookmarkStart w:id="109" w:name="__Fieldmark__465_4284355980"/>
      <w:r>
        <w:rPr/>
        <w:t>(</w:t>
      </w:r>
      <w:bookmarkStart w:id="110" w:name="__Fieldmark__572_1735709817"/>
      <w:r>
        <w:rPr/>
        <w:t>Staniland 2012)</w:t>
      </w:r>
      <w:r>
        <w:rPr/>
      </w:r>
      <w:r>
        <w:rPr/>
        <w:fldChar w:fldCharType="end"/>
      </w:r>
      <w:bookmarkEnd w:id="109"/>
      <w:bookmarkEnd w:id="110"/>
      <w:r>
        <w:rPr/>
        <w:t>.</w:t>
      </w:r>
    </w:p>
    <w:p>
      <w:pPr>
        <w:pStyle w:val="Newparagraph"/>
        <w:rPr/>
      </w:pPr>
      <w:r>
        <w:rPr/>
        <w:t xml:space="preserve">Third, gray zone conflict must be preferred </w:t>
      </w:r>
      <w:r>
        <w:rPr>
          <w:i/>
        </w:rPr>
        <w:t>by both sides</w:t>
      </w:r>
      <w:r>
        <w:rP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 </w:t>
      </w:r>
      <w:r>
        <w:fldChar w:fldCharType="begin"/>
      </w:r>
      <w:r>
        <w:rPr/>
        <w:instrText>ADDIN ZOTERO_ITEM CSL_CITATION {"citationID":"a17pged12cv","properties":{"formattedCitation":"(Carson 2016; 2018)","plainCitation":"(Carson 2016; 2018)","noteIndex":0},"citationItems":[{"id":668,"uris":["http://zotero.org/users/2506258/items/BHW4FEPQ"],"uri":["http://zotero.org/users/2506258/items/BHW4FEPQ"],"itemData":{"id":668,"type":"article-journal","title":"Facing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Pr/>
        <w:fldChar w:fldCharType="separate"/>
      </w:r>
      <w:bookmarkStart w:id="111" w:name="__Fieldmark__476_4284355980"/>
      <w:r>
        <w:rPr/>
        <w:t>(</w:t>
      </w:r>
      <w:bookmarkStart w:id="112" w:name="__Fieldmark__582_1735709817"/>
      <w:r>
        <w:rPr/>
        <w:t>Carson 2016; 2018)</w:t>
      </w:r>
      <w:r>
        <w:rPr/>
      </w:r>
      <w:r>
        <w:rPr/>
        <w:fldChar w:fldCharType="end"/>
      </w:r>
      <w:bookmarkEnd w:id="111"/>
      <w:bookmarkEnd w:id="112"/>
      <w:r>
        <w:rPr/>
        <w:t>.</w:t>
      </w:r>
    </w:p>
    <w:p>
      <w:pPr>
        <w:pStyle w:val="Heading2"/>
        <w:rPr/>
      </w:pPr>
      <w:r>
        <w:rPr/>
        <w:t>A Typology of Limited Conflict</w:t>
      </w:r>
    </w:p>
    <w:p>
      <w:pPr>
        <w:pStyle w:val="Newparagraph"/>
        <w:ind w:hanging="0"/>
        <w:rPr/>
      </w:pPr>
      <w:r>
        <w:rPr/>
        <w:t>Table 1 provides a typology of limited war that distinguishes means and ends. Less capable actors are limited in both the quality and quantity of force they can bring to bear. Insurgents or criminal networks may engage in small wars to extract a few concessions from the government, such as control over a particular region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differentiates types of limited war that involve actors with more and better military forces.</w:t>
      </w:r>
    </w:p>
    <w:tbl>
      <w:tblPr>
        <w:tblW w:w="9000" w:type="dxa"/>
        <w:jc w:val="left"/>
        <w:tblInd w:w="90" w:type="dxa"/>
        <w:tblBorders/>
        <w:tblCellMar>
          <w:top w:w="0" w:type="dxa"/>
          <w:left w:w="108" w:type="dxa"/>
          <w:bottom w:w="0" w:type="dxa"/>
          <w:right w:w="108" w:type="dxa"/>
        </w:tblCellMar>
        <w:tblLook w:noVBand="1" w:val="0400" w:noHBand="0" w:lastColumn="0" w:firstColumn="0" w:lastRow="0" w:firstRow="0"/>
      </w:tblPr>
      <w:tblGrid>
        <w:gridCol w:w="900"/>
        <w:gridCol w:w="2880"/>
        <w:gridCol w:w="2430"/>
        <w:gridCol w:w="2789"/>
      </w:tblGrid>
      <w:tr>
        <w:trPr>
          <w:trHeight w:val="280" w:hRule="atLeast"/>
        </w:trPr>
        <w:tc>
          <w:tcPr>
            <w:tcW w:w="900" w:type="dxa"/>
            <w:tcBorders/>
            <w:shd w:fill="auto" w:val="clear"/>
          </w:tcPr>
          <w:p>
            <w:pPr>
              <w:pStyle w:val="Normal"/>
              <w:keepNext w:val="true"/>
              <w:keepLines/>
              <w:spacing w:lineRule="auto" w:line="276" w:before="0" w:after="200"/>
              <w:rPr/>
            </w:pPr>
            <w:r>
              <w:rPr/>
            </w:r>
          </w:p>
        </w:tc>
        <w:tc>
          <w:tcPr>
            <w:tcW w:w="2880" w:type="dxa"/>
            <w:tcBorders>
              <w:left w:val="single" w:sz="4" w:space="0" w:color="000000"/>
              <w:right w:val="single" w:sz="4" w:space="0" w:color="000000"/>
              <w:insideV w:val="single" w:sz="4" w:space="0" w:color="000000"/>
            </w:tcBorders>
            <w:shd w:fill="auto" w:val="clear"/>
          </w:tcPr>
          <w:p>
            <w:pPr>
              <w:pStyle w:val="Normal"/>
              <w:keepNext w:val="true"/>
              <w:keepLines/>
              <w:spacing w:lineRule="auto" w:line="276" w:before="0" w:after="200"/>
              <w:rPr/>
            </w:pPr>
            <w:r>
              <w:rPr/>
            </w:r>
          </w:p>
        </w:tc>
        <w:tc>
          <w:tcPr>
            <w:tcW w:w="5219" w:type="dxa"/>
            <w:gridSpan w:val="2"/>
            <w:tcBorders>
              <w:top w:val="single" w:sz="4" w:space="0" w:color="000000"/>
              <w:left w:val="single" w:sz="4" w:space="0" w:color="000000"/>
              <w:right w:val="single" w:sz="4" w:space="0" w:color="000000"/>
              <w:insideV w:val="single" w:sz="4" w:space="0" w:color="000000"/>
            </w:tcBorders>
            <w:shd w:fill="auto" w:val="clear"/>
          </w:tcPr>
          <w:p>
            <w:pPr>
              <w:pStyle w:val="Newparagraph"/>
              <w:spacing w:before="0" w:after="200"/>
              <w:ind w:hanging="0"/>
              <w:jc w:val="center"/>
              <w:rPr/>
            </w:pPr>
            <w:r>
              <w:rPr/>
              <w:t>Ends</w:t>
            </w:r>
          </w:p>
        </w:tc>
      </w:tr>
      <w:tr>
        <w:trPr>
          <w:trHeight w:val="280" w:hRule="atLeast"/>
        </w:trPr>
        <w:tc>
          <w:tcPr>
            <w:tcW w:w="900" w:type="dxa"/>
            <w:tcBorders>
              <w:top w:val="single" w:sz="4" w:space="0" w:color="000000"/>
              <w:bottom w:val="single" w:sz="4" w:space="0" w:color="000000"/>
              <w:insideH w:val="single" w:sz="4" w:space="0" w:color="000000"/>
            </w:tcBorders>
            <w:shd w:fill="auto" w:val="clear"/>
          </w:tcPr>
          <w:p>
            <w:pPr>
              <w:pStyle w:val="Normal"/>
              <w:keepNext w:val="true"/>
              <w:keepLines/>
              <w:spacing w:lineRule="auto" w:line="276" w:before="0" w:after="200"/>
              <w:rPr/>
            </w:pPr>
            <w:r>
              <w:rPr/>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lineRule="auto" w:line="276" w:before="0" w:after="200"/>
              <w:rPr/>
            </w:pPr>
            <w:r>
              <w:rPr/>
            </w:r>
          </w:p>
        </w:tc>
        <w:tc>
          <w:tcPr>
            <w:tcW w:w="2430" w:type="dxa"/>
            <w:tcBorders>
              <w:top w:val="single" w:sz="4" w:space="0" w:color="000000"/>
              <w:left w:val="single" w:sz="4" w:space="0" w:color="000000"/>
              <w:bottom w:val="single" w:sz="4" w:space="0" w:color="000000"/>
              <w:insideH w:val="single" w:sz="4" w:space="0" w:color="000000"/>
            </w:tcBorders>
            <w:shd w:fill="auto" w:val="clear"/>
          </w:tcPr>
          <w:p>
            <w:pPr>
              <w:pStyle w:val="Newparagraph"/>
              <w:spacing w:before="0" w:after="200"/>
              <w:jc w:val="center"/>
              <w:rPr/>
            </w:pPr>
            <w:r>
              <w:rPr/>
              <w:t>Concessions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spacing w:before="0" w:after="200"/>
              <w:ind w:firstLine="720"/>
              <w:rPr/>
            </w:pPr>
            <w:r>
              <w:rPr/>
              <w:t>Conquest</w:t>
            </w:r>
          </w:p>
        </w:tc>
      </w:tr>
      <w:tr>
        <w:trPr>
          <w:trHeight w:val="848" w:hRule="atLeast"/>
        </w:trPr>
        <w:tc>
          <w:tcPr>
            <w:tcW w:w="900"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ewparagraph"/>
              <w:spacing w:before="0" w:after="200"/>
              <w:ind w:hanging="0"/>
              <w:rPr/>
            </w:pPr>
            <w:r>
              <w:rPr/>
              <w:t>Means</w:t>
            </w:r>
          </w:p>
        </w:tc>
        <w:tc>
          <w:tcPr>
            <w:tcW w:w="2880" w:type="dxa"/>
            <w:tcBorders>
              <w:top w:val="single" w:sz="4" w:space="0" w:color="000000"/>
              <w:left w:val="single" w:sz="4" w:space="0" w:color="000000"/>
              <w:right w:val="single" w:sz="4" w:space="0" w:color="000000"/>
              <w:insideV w:val="single" w:sz="4" w:space="0" w:color="000000"/>
            </w:tcBorders>
            <w:shd w:fill="auto" w:val="clear"/>
          </w:tcPr>
          <w:p>
            <w:pPr>
              <w:pStyle w:val="Newparagraph"/>
              <w:spacing w:before="0" w:after="200"/>
              <w:ind w:hanging="0"/>
              <w:rPr/>
            </w:pPr>
            <w:r>
              <w:rPr/>
              <w:t>Smaller, less diverse forces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spacing w:before="0" w:after="200"/>
              <w:ind w:hanging="0"/>
              <w:jc w:val="center"/>
              <w:rPr/>
            </w:pPr>
            <w:r>
              <w:rPr/>
              <w:t>Small Wars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spacing w:before="0" w:after="200"/>
              <w:ind w:hanging="0"/>
              <w:jc w:val="center"/>
              <w:rPr/>
            </w:pPr>
            <w:r>
              <w:rPr/>
              <w:t>Revolutionary Wars</w:t>
            </w:r>
          </w:p>
        </w:tc>
      </w:tr>
      <w:tr>
        <w:trPr>
          <w:trHeight w:val="847" w:hRule="atLeast"/>
        </w:trPr>
        <w:tc>
          <w:tcPr>
            <w:tcW w:w="900"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keepNext w:val="true"/>
              <w:keepLines/>
              <w:spacing w:lineRule="auto" w:line="276" w:before="0" w:after="200"/>
              <w:ind w:left="124" w:hanging="0"/>
              <w:jc w:val="center"/>
              <w:rPr>
                <w:b/>
                <w:b/>
              </w:rPr>
            </w:pPr>
            <w:r>
              <w:rPr>
                <w:b/>
              </w:rPr>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spacing w:before="0" w:after="200"/>
              <w:ind w:hanging="0"/>
              <w:rPr/>
            </w:pPr>
            <w:r>
              <w:rPr/>
              <w:t>Larger, more diverse forces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spacing w:before="0" w:after="200"/>
              <w:ind w:hanging="0"/>
              <w:jc w:val="center"/>
              <w:rPr/>
            </w:pPr>
            <w:r>
              <w:rPr/>
              <w:t>Gray Zone Conflicts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spacing w:before="0" w:after="200"/>
              <w:ind w:hanging="0"/>
              <w:jc w:val="center"/>
              <w:rPr/>
            </w:pPr>
            <w:r>
              <w:rPr/>
              <w:t>Major Combat Operations</w:t>
            </w:r>
          </w:p>
        </w:tc>
      </w:tr>
    </w:tbl>
    <w:p>
      <w:pPr>
        <w:pStyle w:val="Newparagraph"/>
        <w:rPr/>
      </w:pPr>
      <w:r>
        <w:rPr>
          <w:b/>
        </w:rPr>
        <w:t>Table 1</w:t>
      </w:r>
      <w:r>
        <w:rPr/>
        <w:t>: A Typology of Limited Conflict</w:t>
      </w:r>
    </w:p>
    <w:p>
      <w:pPr>
        <w:pStyle w:val="Newparagraph"/>
        <w:rPr/>
      </w:pPr>
      <w:r>
        <w:rPr/>
        <w:t xml:space="preserve">Powerful actors that are highly resolved to revise the status quo will tend to use as much force as needed to get the job done. A unilateral preference for conquest makes major combat operations attractive, where force is limited simply as a function of the local balance of power. More resistance can always be met with more force, but overkill wastes resources unnecessarily. If capable actors only have modest ambitions, moreover, they will be more willing to settle for less and to employ less effective modes of operation. Voluntary limitation of means enables an aggressor to minimize both costs </w:t>
      </w:r>
      <w:r>
        <w:rPr>
          <w:i/>
        </w:rPr>
        <w:t>and</w:t>
      </w:r>
      <w:r>
        <w:rPr/>
        <w:t xml:space="preserve"> risk exposure. The voluntary limitation of ends allows the target to keep more of what it already has. Escalation in this situation is thus mutually undesirable. In order to limit the risk of escalation, gray zone actors voluntarily limit the means they use to pursue their limited ends. </w:t>
      </w:r>
    </w:p>
    <w:p>
      <w:pPr>
        <w:pStyle w:val="Newparagraph"/>
        <w:rPr/>
      </w:pPr>
      <w:r>
        <w:rPr/>
        <w:t xml:space="preserve">The Iraq War illustrates all four categories. The U.S.-led Coalition invaded Iraq in 2003 with less than 180,000 troops even though the United States could have mobilized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rStyle w:val="FootnoteAnchor"/>
          <w:lang w:val="en-CA"/>
        </w:rPr>
        <w:footnoteReference w:id="3"/>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 </w:t>
      </w:r>
      <w:r>
        <w:fldChar w:fldCharType="begin"/>
      </w:r>
      <w:r>
        <w:rPr/>
        <w:instrText>ADDIN ZOTERO_ITEM CSL_CITATION {"citationID":"aaqoueeg39","properties":{"formattedCitation":"(Gordon and Trainor 2007; Lindsay and Petersen 2012)","plainCitation":"(Gordon and Trainor 2007; Lindsay and Petersen 2012)","noteIndex":0},"citationItems":[{"id":"5I7vyisu/iUJaEWqD","uris":["http://zotero.org/users/471208/items/W2MZNEX8"],"uri":["http://zotero.org/users/471208/items/W2MZNEX8"],"itemData":{"id":"XB4YeRPs/ID8jyS7T","type":"book","title":"Cobra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E."}],"issued":{"date-parts":[["2007"]]}}},{"id":"5I7vyisu/t2UcGG5u","uris":["http://zotero.org/users/471208/items/6AA6WTW8"],"uri":["http://zotero.org/users/471208/items/6AA6WTW8"],"itemData":{"id":"XB4YeRPs/QauMaqz2","type":"report","title":"Varieties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R."},{"family":"Petersen","given":"Roger"}],"issued":{"date-parts":[["2012"]]}}}],"schema":"https://github.com/citation-style-language/schema/raw/master/csl-citation.json"}</w:instrText>
      </w:r>
      <w:r>
        <w:rPr/>
        <w:fldChar w:fldCharType="separate"/>
      </w:r>
      <w:bookmarkStart w:id="113" w:name="__Fieldmark__553_4284355980"/>
      <w:r>
        <w:rPr/>
        <w:t>(Gordon and Trainor 2007; Lindsay and Petersen 2012)</w:t>
      </w:r>
      <w:bookmarkStart w:id="114" w:name="__Fieldmark__672_1735709817"/>
      <w:bookmarkEnd w:id="114"/>
      <w:r>
        <w:rPr/>
      </w:r>
      <w:r>
        <w:rPr/>
        <w:fldChar w:fldCharType="end"/>
      </w:r>
      <w:bookmarkEnd w:id="113"/>
      <w:r>
        <w:rPr>
          <w:lang w:val="en-CA"/>
        </w:rPr>
        <w:t>. 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in an attempt to transform Iraq into a stable liberal society. If, however, policymakers’ war aims were more limited,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rPr/>
        <w:t xml:space="preserve"> The Baathist regime survived while the United States avoided a costly ground war, outcomes that were mutually preferable for both sides compared to the, at that time anticipated outcome of the war. The exogenous shock of the 9/11 terrorist attacks then raised concerns for some policymakers about the long-term viability of containment. In other words, the desire for gray zone was no longer mutual.</w:t>
      </w:r>
    </w:p>
    <w:p>
      <w:pPr>
        <w:pStyle w:val="Newparagraph"/>
        <w:rPr/>
      </w:pPr>
      <w:r>
        <w:rP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exercise calculated restraint creates something of a “gray zone” between our two categories.  </w:t>
      </w:r>
    </w:p>
    <w:p>
      <w:pPr>
        <w:pStyle w:val="Heading2"/>
        <w:spacing w:lineRule="auto" w:line="276" w:before="360" w:after="200"/>
        <w:contextualSpacing/>
        <w:rPr/>
      </w:pPr>
      <w:bookmarkStart w:id="115" w:name="_6i5vhzgv1wh"/>
      <w:bookmarkEnd w:id="115"/>
      <w:r>
        <w:rPr/>
        <w:t xml:space="preserve">The Escalation Dilemma </w:t>
      </w:r>
    </w:p>
    <w:p>
      <w:pPr>
        <w:pStyle w:val="Newparagraph"/>
        <w:ind w:hanging="0"/>
        <w:rPr/>
      </w:pPr>
      <w:r>
        <w:rPr/>
        <w:t>Given that capable actors may use limited means for limited ends for quite different reasons, the label of “major combat operations” may be a misleading way to describe conflict motivated by efficiency.</w:t>
      </w:r>
      <w:r>
        <w:rPr>
          <w:rStyle w:val="FootnoteAnchor"/>
          <w:rStyle w:val="FootnoteAnchor"/>
        </w:rPr>
        <w:footnoteReference w:id="4"/>
      </w:r>
      <w:r>
        <w:rPr/>
        <w:t xml:space="preserve"> A challenger who is patient and capable relative to its adversaries at low intensities might benefit by choosing a very limited conflict strategy. While high intensity conflict may be able to accomplish an aggressor’s goals, it may also be unnecessary and inefficient if victory can be achieved with lower cost at lower levels of dispute intensity </w:t>
      </w:r>
      <w:r>
        <w:fldChar w:fldCharType="begin"/>
      </w:r>
      <w:r>
        <w:rPr/>
        <w:instrText>ADDIN ZOTERO_ITEM CSL_CITATION {"citationID":"af5jml9v9s","properties":{"formattedCitation":"(Altman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w:instrText>
      </w:r>
      <w:r>
        <w:rPr/>
        <w:fldChar w:fldCharType="separate"/>
      </w:r>
      <w:bookmarkStart w:id="116" w:name="__Fieldmark__577_4284355980"/>
      <w:r>
        <w:rPr/>
        <w:t>(Altman 2018)</w:t>
      </w:r>
      <w:bookmarkStart w:id="117" w:name="__Fieldmark__705_1735709817"/>
      <w:bookmarkEnd w:id="117"/>
      <w:r>
        <w:rPr/>
      </w:r>
      <w:r>
        <w:rPr/>
        <w:fldChar w:fldCharType="end"/>
      </w:r>
      <w:bookmarkEnd w:id="116"/>
      <w:r>
        <w:rP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but only needs to mobilize a small number of forces to compel the other side to make concessions. </w:t>
      </w:r>
    </w:p>
    <w:p>
      <w:pPr>
        <w:pStyle w:val="Newparagraph"/>
        <w:rPr/>
      </w:pPr>
      <w:r>
        <w:rPr/>
        <w:t>Escalation becomes the distinguishing test that separates gray zone conflict and major combat operations. By raising the cost of gray zone conflict, defenders can force the initiator into fighting less efficiently, but only by also accepting higher costs/risks themselves. This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zone actor, by contrast, will back down in the face of robust resistance, accepting both inefficiency and ineffectiveness. This actor prefers peacetime competition to major war. These preference orderings can be summarized thus:</w:t>
      </w:r>
    </w:p>
    <w:p>
      <w:pPr>
        <w:pStyle w:val="Displayedequation"/>
        <w:rPr/>
      </w:pPr>
      <w:r>
        <w:rPr/>
        <w:t xml:space="preserve">Limited conflict </w:t>
      </w:r>
      <w:r>
        <w:rPr>
          <w:rFonts w:cs="Cambria Math" w:ascii="Cambria Math" w:hAnsi="Cambria Math"/>
        </w:rPr>
        <w:t>≿</w:t>
      </w:r>
      <w:r>
        <w:rPr>
          <w:i/>
        </w:rPr>
        <w:t xml:space="preserve"> </w:t>
      </w:r>
      <w:r>
        <w:rPr/>
        <w:t xml:space="preserve">Ordinary competition </w:t>
      </w:r>
      <w:r>
        <w:rPr>
          <w:rFonts w:cs="Cambria Math" w:ascii="Cambria Math" w:hAnsi="Cambria Math"/>
        </w:rPr>
        <w:t>≿</w:t>
      </w:r>
      <w:r>
        <w:rPr>
          <w:i/>
        </w:rPr>
        <w:t xml:space="preserve"> </w:t>
      </w:r>
      <w:r>
        <w:rPr/>
        <w:t>High intensity warfare</w:t>
      </w:r>
    </w:p>
    <w:p>
      <w:pPr>
        <w:pStyle w:val="Displayedequation"/>
        <w:rPr/>
      </w:pPr>
      <w:r>
        <w:rPr/>
        <w:t xml:space="preserve">Limited conflict </w:t>
      </w:r>
      <w:r>
        <w:rPr>
          <w:rFonts w:cs="Cambria Math" w:ascii="Cambria Math" w:hAnsi="Cambria Math"/>
        </w:rPr>
        <w:t>≿</w:t>
      </w:r>
      <w:r>
        <w:rPr>
          <w:i/>
        </w:rPr>
        <w:t xml:space="preserve"> </w:t>
      </w:r>
      <w:r>
        <w:rPr/>
        <w:t xml:space="preserve">High intensity warfare </w:t>
      </w:r>
      <w:r>
        <w:rPr>
          <w:rFonts w:cs="Cambria Math" w:ascii="Cambria Math" w:hAnsi="Cambria Math"/>
        </w:rPr>
        <w:t>≿</w:t>
      </w:r>
      <w:r>
        <w:rPr>
          <w:i/>
        </w:rPr>
        <w:t xml:space="preserve"> </w:t>
      </w:r>
      <w:r>
        <w:rPr/>
        <w:t>Ordinary competition</w:t>
      </w:r>
    </w:p>
    <w:p>
      <w:pPr>
        <w:pStyle w:val="Newparagraph"/>
        <w:rPr/>
      </w:pPr>
      <w:r>
        <w:rPr/>
        <w:t>Behaviorally both types of conflict appear similar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The initiator refrains from pursuing the ambiguous use of force (or conducts it ineffectively to save face) because it sees retaliation or related consequences (incursions, sanctions, etc.) as sufficiently costly.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pPr>
        <w:pStyle w:val="Newparagraph"/>
        <w:rPr/>
      </w:pPr>
      <w:r>
        <w:rPr/>
        <w:t xml:space="preserve">This situation recapitulates the basic logic of the security dilemma </w:t>
      </w:r>
      <w:r>
        <w:fldChar w:fldCharType="begin"/>
      </w:r>
      <w:r>
        <w:rPr/>
        <w:instrText>ADDIN ZOTERO_ITEM CSL_CITATION {"citationID":"a6acrjf98o","properties":{"formattedCitation":"(Jervis 1978)","plainCitation":"(Jervis 1978)","noteIndex":0},"citationItems":[{"id":"5I7vyisu/a4hi7TyK","uris":["http://zotero.org/users/471208/items/RVGPZ94F"],"uri":["http://zotero.org/users/471208/items/RVGPZ94F"],"itemData":{"id":"XB4YeRPs/ucBa81sn","type":"article-journal","title":"Cooperation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Politics","author":[{"family":"Jervis","given":"Robert"}],"issued":{"date-parts":[["1978"]]}}}],"schema":"https://github.com/citation-style-language/schema/raw/master/csl-citation.json"}</w:instrText>
      </w:r>
      <w:r>
        <w:rPr/>
        <w:fldChar w:fldCharType="separate"/>
      </w:r>
      <w:bookmarkStart w:id="118" w:name="__Fieldmark__603_4284355980"/>
      <w:r>
        <w:rPr/>
        <w:t>(</w:t>
      </w:r>
      <w:bookmarkStart w:id="119" w:name="__Fieldmark__738_1735709817"/>
      <w:r>
        <w:rPr/>
        <w:t>Jervis 1978)</w:t>
      </w:r>
      <w:r>
        <w:rPr/>
      </w:r>
      <w:r>
        <w:rPr/>
        <w:fldChar w:fldCharType="end"/>
      </w:r>
      <w:bookmarkEnd w:id="118"/>
      <w:bookmarkEnd w:id="119"/>
      <w:r>
        <w:rPr/>
        <w:t xml:space="preserve">.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rPr/>
        <w:t xml:space="preserve">to deter, the problem of the gray zone is to decide </w:t>
      </w:r>
      <w:r>
        <w:rPr>
          <w:i/>
        </w:rPr>
        <w:t>how much</w:t>
      </w:r>
      <w:r>
        <w:rPr/>
        <w:t xml:space="preserve">. Even if all actors are assumed to harbor revisionist ambitions, security dilemma-like dynamics still apply in determining the ways in which they are deterred from given behaviour </w:t>
      </w:r>
      <w:r>
        <w:fldChar w:fldCharType="begin"/>
      </w:r>
      <w:r>
        <w:rPr/>
        <w:instrText>ADDIN ZOTERO_ITEM CSL_CITATION {"citationID":"a11orl2loot","properties":{"formattedCitation":"(Schweller 1996)","plainCitation":"(Schweller 1996)","noteIndex":0},"citationItems":[{"id":"5I7vyisu/OdnoyhXW","uris":["http://zotero.org/users/471208/items/P4VHQ6MU"],"uri":["http://zotero.org/users/471208/items/P4VHQ6MU"],"itemData":{"id":"XB4YeRPs/6ZhicJaN","type":"article-journal","title":"Neorealism's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w:instrText>
      </w:r>
      <w:r>
        <w:rPr/>
        <w:fldChar w:fldCharType="separate"/>
      </w:r>
      <w:bookmarkStart w:id="120" w:name="__Fieldmark__614_4284355980"/>
      <w:r>
        <w:rPr/>
        <w:t>(</w:t>
      </w:r>
      <w:bookmarkStart w:id="121" w:name="__Fieldmark__752_1735709817"/>
      <w:r>
        <w:rPr/>
        <w:t>Schweller 1996)</w:t>
      </w:r>
      <w:r>
        <w:rPr/>
      </w:r>
      <w:r>
        <w:rPr/>
        <w:fldChar w:fldCharType="end"/>
      </w:r>
      <w:bookmarkEnd w:id="120"/>
      <w:bookmarkEnd w:id="121"/>
      <w:r>
        <w:rPr/>
        <w:t>.</w:t>
      </w:r>
    </w:p>
    <w:p>
      <w:pPr>
        <w:pStyle w:val="Heading2"/>
        <w:spacing w:before="360" w:after="200"/>
        <w:ind w:right="10" w:hanging="0"/>
        <w:contextualSpacing/>
        <w:rPr/>
      </w:pPr>
      <w:bookmarkStart w:id="122" w:name="_mtpq2ba65iue"/>
      <w:bookmarkEnd w:id="122"/>
      <w:r>
        <w:rPr/>
        <w:t>The Deterrence Gradient</w:t>
      </w:r>
    </w:p>
    <w:p>
      <w:pPr>
        <w:pStyle w:val="Newparagraph"/>
        <w:ind w:hanging="0"/>
        <w:rPr/>
      </w:pPr>
      <w:r>
        <w:rPr/>
        <w:t>If conflict varies continuously between peace and war, then it might be explained by treating deterrence success and failure as continuously variable. If gray zone conflict is a second-best reaction 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pPr>
        <w:pStyle w:val="Newparagraph"/>
        <w:rPr/>
      </w:pPr>
      <w:r>
        <w:rPr/>
        <w:t xml:space="preserve">To operationalize this hypothesis, we posit a deterrence analogue to the military loss of strength gradient </w:t>
      </w:r>
      <w:r>
        <w:fldChar w:fldCharType="begin"/>
      </w:r>
      <w:r>
        <w:rPr/>
        <w:instrText>ADDIN ZOTERO_ITEM CSL_CITATION {"citationID":"a69dm43k3f","properties":{"formattedCitation":"(Boulding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instrText>
      </w:r>
      <w:r>
        <w:rPr/>
        <w:fldChar w:fldCharType="separate"/>
      </w:r>
      <w:bookmarkStart w:id="123" w:name="__Fieldmark__628_4284355980"/>
      <w:r>
        <w:rPr/>
        <w:t>(</w:t>
      </w:r>
      <w:bookmarkStart w:id="124" w:name="__Fieldmark__773_1735709817"/>
      <w:r>
        <w:rPr/>
        <w:t>Boulding 1962)</w:t>
      </w:r>
      <w:r>
        <w:rPr/>
      </w:r>
      <w:r>
        <w:rPr/>
        <w:fldChar w:fldCharType="end"/>
      </w:r>
      <w:bookmarkEnd w:id="123"/>
      <w:bookmarkEnd w:id="124"/>
      <w:r>
        <w:rPr/>
        <w:t xml:space="preserve">. All things being equal, a state requires more supplies and troops to achieve the same concentration of force further from its border. Distant deployments involve extended supply lines and exposed flanks. An army may also lack sympathetic populations and local knowledge in “contested zones” far from home </w:t>
      </w:r>
      <w:r>
        <w:fldChar w:fldCharType="begin"/>
      </w:r>
      <w:r>
        <w:rPr/>
        <w:instrText>ADDIN ZOTERO_ITEM CSL_CITATION {"citationID":"ajatrvshl","properties":{"formattedCitation":"(Posen 2003)","plainCitation":"(Posen 2003)","noteIndex":0},"citationItems":[{"id":1136,"uris":["http://zotero.org/users/2506258/items/V5AWHAC5"],"uri":["http://zotero.org/users/2506258/items/V5AWHAC5"],"itemData":{"id":1136,"type":"article-journal","title":"Command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w:instrText>
      </w:r>
      <w:r>
        <w:rPr/>
        <w:fldChar w:fldCharType="separate"/>
      </w:r>
      <w:bookmarkStart w:id="125" w:name="__Fieldmark__635_4284355980"/>
      <w:r>
        <w:rPr/>
        <w:t>(</w:t>
      </w:r>
      <w:bookmarkStart w:id="126" w:name="__Fieldmark__779_1735709817"/>
      <w:r>
        <w:rPr/>
        <w:t>Posen 2003)</w:t>
      </w:r>
      <w:r>
        <w:rPr/>
      </w:r>
      <w:r>
        <w:rPr/>
        <w:fldChar w:fldCharType="end"/>
      </w:r>
      <w:bookmarkEnd w:id="125"/>
      <w:bookmarkEnd w:id="126"/>
      <w:r>
        <w:rPr/>
        <w:t xml:space="preserve">. The loss of strength can be partially offset by basing and mobility but not eliminated due to the enduring vulnerabilities of naval power and frictions with host nations </w:t>
      </w:r>
      <w:r>
        <w:fldChar w:fldCharType="begin"/>
      </w:r>
      <w:r>
        <w:rPr/>
        <w:instrText>ADDIN ZOTERO_ITEM CSL_CITATION {"citationID":"aq9gmtvnnh","properties":{"formattedCitation":"(Corbett 1911)","plainCitation":"(Corbett 1911)","noteIndex":0},"citationItems":[{"id":16092,"uris":["http://zotero.org/users/2506258/items/PBRBCXCX"],"uri":["http://zotero.org/users/2506258/items/PBRBCXCX"],"itemData":{"id":16092,"type":"book","title":"Some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w:instrText>
      </w:r>
      <w:r>
        <w:rPr/>
        <w:fldChar w:fldCharType="separate"/>
      </w:r>
      <w:bookmarkStart w:id="127" w:name="__Fieldmark__642_4284355980"/>
      <w:r>
        <w:rPr/>
        <w:t>(</w:t>
      </w:r>
      <w:bookmarkStart w:id="128" w:name="__Fieldmark__785_1735709817"/>
      <w:r>
        <w:rPr/>
        <w:t>Corbett 1911)</w:t>
      </w:r>
      <w:r>
        <w:rPr/>
      </w:r>
      <w:r>
        <w:rPr/>
        <w:fldChar w:fldCharType="end"/>
      </w:r>
      <w:bookmarkEnd w:id="127"/>
      <w:bookmarkEnd w:id="128"/>
      <w:r>
        <w:rPr/>
        <w:t>.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a convenient proxy for other factors that do.</w:t>
      </w:r>
    </w:p>
    <w:p>
      <w:pPr>
        <w:pStyle w:val="Newparagraph"/>
        <w:rPr/>
      </w:pPr>
      <w:r>
        <w:rPr/>
        <w:t xml:space="preserve">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 </w:t>
      </w:r>
      <w:r>
        <w:fldChar w:fldCharType="begin"/>
      </w:r>
      <w:r>
        <w:rPr/>
        <w:instrText>ADDIN ZOTERO_ITEM CSL_CITATION {"citationID":"a2p93eolt1q","properties":{"formattedCitation":"(Bak 2018)","plainCitation":"(Bak 2018)","noteIndex":0},"citationItems":[{"id":14410,"uris":["http://zotero.org/users/2506258/items/XG4BQTL6"],"uri":["http://zotero.org/users/2506258/items/XG4BQTL6"],"itemData":{"id":14410,"type":"article-journal","title":"Alliance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w:instrText>
      </w:r>
      <w:r>
        <w:rPr/>
        <w:fldChar w:fldCharType="separate"/>
      </w:r>
      <w:bookmarkStart w:id="129" w:name="__Fieldmark__651_4284355980"/>
      <w:r>
        <w:rPr/>
        <w:t>(</w:t>
      </w:r>
      <w:bookmarkStart w:id="130" w:name="__Fieldmark__795_1735709817"/>
      <w:r>
        <w:rPr/>
        <w:t>Bak 2018)</w:t>
      </w:r>
      <w:r>
        <w:rPr/>
      </w:r>
      <w:r>
        <w:rPr/>
        <w:fldChar w:fldCharType="end"/>
      </w:r>
      <w:bookmarkEnd w:id="129"/>
      <w:bookmarkEnd w:id="130"/>
      <w:r>
        <w:rPr/>
        <w:t xml:space="preserve">. Conversely, commitments should be less credible with distance as well, as patrons will fear entrapment by distant allies who have stronger local interests </w:t>
      </w:r>
      <w:r>
        <w:fldChar w:fldCharType="begin"/>
      </w:r>
      <w:r>
        <w:rPr/>
        <w:instrText>ADDIN ZOTERO_ITEM CSL_CITATION {"citationID":"a1f3rrpqcir","properties":{"formattedCitation":"(Christensen and Snyder 1990)","plainCitation":"(Christensen and Snyder 1990)","noteIndex":0},"citationItems":[{"id":"5I7vyisu/gvTnDaMO","uris":["http://zotero.org/users/471208/items/6J3XQI4V"],"uri":["http://zotero.org/users/471208/items/6J3XQI4V"],"itemData":{"id":"XB4YeRPs/KB1ooCXZ","type":"article-journal","title":"Chain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w:instrText>
      </w:r>
      <w:r>
        <w:rPr/>
        <w:fldChar w:fldCharType="separate"/>
      </w:r>
      <w:bookmarkStart w:id="131" w:name="__Fieldmark__658_4284355980"/>
      <w:r>
        <w:rPr/>
        <w:t>(</w:t>
      </w:r>
      <w:bookmarkStart w:id="132" w:name="__Fieldmark__807_1735709817"/>
      <w:r>
        <w:rPr/>
        <w:t>Christensen and Snyder 1990)</w:t>
      </w:r>
      <w:r>
        <w:rPr/>
      </w:r>
      <w:r>
        <w:rPr/>
        <w:fldChar w:fldCharType="end"/>
      </w:r>
      <w:bookmarkEnd w:id="131"/>
      <w:bookmarkEnd w:id="132"/>
      <w:r>
        <w:rPr/>
        <w:t xml:space="preserve">. While NATO security guarantees nominally cover all 29 member states equally, the 12 founding members in Western Europe and North America are arguably more confident in this commitment </w:t>
      </w:r>
      <w:r>
        <w:fldChar w:fldCharType="begin"/>
      </w:r>
      <w:r>
        <w:rPr/>
        <w:instrText>ADDIN ZOTERO_ITEM CSL_CITATION {"citationID":"a2ka94ahgt7","properties":{"formattedCitation":"(J. George and Sandler 2018)","plainCitation":"(J. George and Sandler 2018)","noteIndex":0},"citationItems":[{"id":16295,"uris":["http://zotero.org/users/2506258/items/SMK2FVYZ"],"uri":["http://zotero.org/users/2506258/items/SMK2FVYZ"],"itemData":{"id":16295,"type":"article-journal","title":"Demand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w:instrText>
      </w:r>
      <w:r>
        <w:rPr/>
        <w:fldChar w:fldCharType="separate"/>
      </w:r>
      <w:bookmarkStart w:id="133" w:name="__Fieldmark__665_4284355980"/>
      <w:r>
        <w:rPr/>
        <w:t>(</w:t>
      </w:r>
      <w:bookmarkStart w:id="134" w:name="__Fieldmark__815_1735709817"/>
      <w:r>
        <w:rPr/>
        <w:t>J. George and Sandler 2018)</w:t>
      </w:r>
      <w:r>
        <w:rPr/>
      </w:r>
      <w:r>
        <w:rPr/>
        <w:fldChar w:fldCharType="end"/>
      </w:r>
      <w:bookmarkEnd w:id="133"/>
      <w:bookmarkEnd w:id="134"/>
      <w:r>
        <w:rPr/>
        <w:t xml:space="preserve">. Indeed, recent Eastern European entrants have questioned NATO resolve. Eastern European members also appear to have greater need of protection, given that Russia is both more interested in, and better able to control, territory near its borders </w:t>
      </w:r>
      <w:r>
        <w:fldChar w:fldCharType="begin"/>
      </w:r>
      <w:r>
        <w:rPr/>
        <w:instrText>ADDIN ZOTERO_ITEM CSL_CITATION {"citationID":"a1eunve42nh","properties":{"formattedCitation":"(Matl\\uc0\\u225{}ry 2014)","plainCitation":"(Matláry 2014)","noteIndex":0},"citationItems":[{"id":17297,"uris":["http://zotero.org/users/2506258/items/DPTXPH7W"],"uri":["http://zotero.org/users/2506258/items/DPTXPH7W"],"itemData":{"id":17297,"type":"chapter","title":"Partners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w:instrText>
      </w:r>
      <w:r>
        <w:rPr/>
        <w:fldChar w:fldCharType="separate"/>
      </w:r>
      <w:bookmarkStart w:id="135" w:name="__Fieldmark__672_4284355980"/>
      <w:r>
        <w:rPr/>
        <w:t>(</w:t>
      </w:r>
      <w:bookmarkStart w:id="136" w:name="__Fieldmark__824_1735709817"/>
      <w:r>
        <w:rPr/>
        <w:t>Matláry 2014)</w:t>
      </w:r>
      <w:r>
        <w:rPr/>
      </w:r>
      <w:r>
        <w:rPr/>
        <w:fldChar w:fldCharType="end"/>
      </w:r>
      <w:bookmarkEnd w:id="135"/>
      <w:bookmarkEnd w:id="136"/>
      <w:r>
        <w:rPr/>
        <w:t>.</w:t>
      </w:r>
    </w:p>
    <w:p>
      <w:pPr>
        <w:pStyle w:val="Newparagraph"/>
        <w:rPr/>
      </w:pPr>
      <w:r>
        <w:rPr/>
        <w:t xml:space="preserve">Technology conditions but does not eliminate geography. Although it seems cyberspace has opened up the world to anyone with an internet connection, most states can and do enforce their laws on the digital infrastructure located within their borders </w:t>
      </w:r>
      <w:r>
        <w:fldChar w:fldCharType="begin"/>
      </w:r>
      <w:r>
        <w:rPr/>
        <w:instrText>ADDIN ZOTERO_ITEM CSL_CITATION {"citationID":"a16p15djvue","properties":{"formattedCitation":"(Goldsmith and Wu 2006)","plainCitation":"(Goldsmith and Wu 2006)","noteIndex":0},"citationItems":[{"id":17782,"uris":["http://zotero.org/users/2506258/items/UZUT7MSP"],"uri":["http://zotero.org/users/2506258/items/UZUT7MSP"],"itemData":{"id":17782,"type":"book","title":"Who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w:instrText>
      </w:r>
      <w:r>
        <w:rPr/>
        <w:fldChar w:fldCharType="separate"/>
      </w:r>
      <w:bookmarkStart w:id="137" w:name="__Fieldmark__681_4284355980"/>
      <w:r>
        <w:rPr/>
        <w:t>(</w:t>
      </w:r>
      <w:bookmarkStart w:id="138" w:name="__Fieldmark__838_1735709817"/>
      <w:r>
        <w:rPr/>
        <w:t>Goldsmith and Wu 2006)</w:t>
      </w:r>
      <w:r>
        <w:rPr/>
      </w:r>
      <w:r>
        <w:rPr/>
        <w:fldChar w:fldCharType="end"/>
      </w:r>
      <w:bookmarkEnd w:id="137"/>
      <w:bookmarkEnd w:id="138"/>
      <w:r>
        <w:rPr/>
        <w:t xml:space="preserve">. Indeed, cyber conflict appears to be concentrated along the fissures of traditional geographic rivalries. To the extent that cyberspace does enable remote conflict, we should expect it to be used for limited aims operations that do not directly threaten vital interests. Because cyber-attacks rarely lead to escalation, the cyber domain is particularly attractive for risk-sensitive revisionists </w:t>
      </w:r>
      <w:r>
        <w:fldChar w:fldCharType="begin"/>
      </w:r>
      <w:r>
        <w:rPr/>
        <w:instrText>ADDIN ZOTERO_ITEM CSL_CITATION {"citationID":"a208rrv0713","properties":{"formattedCitation":"(Schneider 2017)","plainCitation":"(Schneider 2017)","noteIndex":0},"citationItems":[{"id":17812,"uris":["http://zotero.org/users/2506258/items/M2ZQ8MUD"],"uri":["http://zotero.org/users/2506258/items/M2ZQ8MUD"],"itemData":{"id":17812,"type":"thesis","title":"The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w:instrText>
      </w:r>
      <w:r>
        <w:rPr/>
        <w:fldChar w:fldCharType="separate"/>
      </w:r>
      <w:bookmarkStart w:id="139" w:name="__Fieldmark__688_4284355980"/>
      <w:r>
        <w:rPr/>
        <w:t>(</w:t>
      </w:r>
      <w:bookmarkStart w:id="140" w:name="__Fieldmark__844_1735709817"/>
      <w:r>
        <w:rPr/>
        <w:t>Schneider 2017)</w:t>
      </w:r>
      <w:r>
        <w:rPr/>
      </w:r>
      <w:r>
        <w:rPr/>
        <w:fldChar w:fldCharType="end"/>
      </w:r>
      <w:bookmarkEnd w:id="139"/>
      <w:bookmarkEnd w:id="140"/>
      <w:r>
        <w:rPr/>
        <w:t xml:space="preserve">. The cybersecurity literature offers two reasons for the empirical pattern of restraint observed in the cyber domain, and geography plays a tacit role in both </w:t>
      </w:r>
      <w:r>
        <w:fldChar w:fldCharType="begin"/>
      </w:r>
      <w:r>
        <w:rPr/>
        <w:instrText>ADDIN ZOTERO_ITEM CSL_CITATION {"citationID":"a5e5enk5gg","properties":{"formattedCitation":"(Valeriano and Maness 2014)","plainCitation":"(Valeriano and Maness 2014)","noteIndex":0},"citationItems":[{"id":"5I7vyisu/t9mFl5h7","uris":["http://zotero.org/users/471208/items/WSVEGB3T"],"uri":["http://zotero.org/users/471208/items/WSVEGB3T"],"itemData":{"id":"XB4YeRPs/nux20O1E","type":"article-journal","title":"The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instrText>
      </w:r>
      <w:r>
        <w:rPr/>
        <w:fldChar w:fldCharType="separate"/>
      </w:r>
      <w:bookmarkStart w:id="141" w:name="__Fieldmark__695_4284355980"/>
      <w:r>
        <w:rPr/>
        <w:t>(</w:t>
      </w:r>
      <w:bookmarkStart w:id="142" w:name="__Fieldmark__852_1735709817"/>
      <w:r>
        <w:rPr/>
        <w:t>Valeriano and Maness 2014)</w:t>
      </w:r>
      <w:r>
        <w:rPr/>
      </w:r>
      <w:r>
        <w:rPr/>
        <w:fldChar w:fldCharType="end"/>
      </w:r>
      <w:bookmarkEnd w:id="141"/>
      <w:bookmarkEnd w:id="142"/>
      <w:r>
        <w:rPr/>
        <w:t xml:space="preserve">. First, complex offensive cyber operations require detailed intelligence preparation, often including human intelligence </w:t>
      </w:r>
      <w:r>
        <w:fldChar w:fldCharType="begin"/>
      </w:r>
      <w:r>
        <w:rPr/>
        <w:instrText>ADDIN ZOTERO_ITEM CSL_CITATION {"citationID":"a23sg8iafjc","properties":{"formattedCitation":"(Slayton 2017)","plainCitation":"(Slayton 2017)","noteIndex":0},"citationItems":[{"id":16657,"uris":["http://zotero.org/users/2506258/items/CVVTE9DY"],"uri":["http://zotero.org/users/2506258/items/CVVTE9DY"],"itemData":{"id":16657,"type":"article-journal","title":"What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w:instrText>
      </w:r>
      <w:r>
        <w:rPr/>
        <w:fldChar w:fldCharType="separate"/>
      </w:r>
      <w:bookmarkStart w:id="143" w:name="__Fieldmark__702_4284355980"/>
      <w:r>
        <w:rPr/>
        <w:t>(</w:t>
      </w:r>
      <w:bookmarkStart w:id="144" w:name="__Fieldmark__858_1735709817"/>
      <w:r>
        <w:rPr/>
        <w:t>Slayton 2017)</w:t>
      </w:r>
      <w:r>
        <w:rPr/>
      </w:r>
      <w:r>
        <w:rPr/>
        <w:fldChar w:fldCharType="end"/>
      </w:r>
      <w:bookmarkEnd w:id="143"/>
      <w:bookmarkEnd w:id="144"/>
      <w:r>
        <w:rPr/>
        <w:t>.</w:t>
      </w:r>
      <w:r>
        <w:rPr>
          <w:rStyle w:val="FootnoteAnchor"/>
          <w:rStyle w:val="FootnoteAnchor"/>
        </w:rPr>
        <w:footnoteReference w:id="5"/>
      </w:r>
      <w:r>
        <w:rPr/>
        <w:t xml:space="preserve"> Intelligence is harder to collect and understand from a distance, and poor intelligence enhances cyber deterrence-by-denial. Second, attribution and retaliation depend on capabilities in more traditional domains </w:t>
      </w:r>
      <w:r>
        <w:fldChar w:fldCharType="begin"/>
      </w:r>
      <w:r>
        <w:rPr/>
        <w:instrText>ADDIN ZOTERO_ITEM CSL_CITATION {"citationID":"a13ll5jkaqh","properties":{"formattedCitation":"(Lindsay 2013; Gartzke and Lindsay 2015)","plainCitation":"(Lindsay 2013; Gartzke and Lindsay 2015)","noteIndex":0},"citationItems":[{"id":791,"uris":["http://zotero.org/users/2506258/items/G75B9TFI"],"uri":["http://zotero.org/users/2506258/items/G75B9TFI"],"itemData":{"id":791,"type":"article-journal","title":"Reinventing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w:instrText>
      </w:r>
      <w:r>
        <w:rPr/>
        <w:fldChar w:fldCharType="separate"/>
      </w:r>
      <w:bookmarkStart w:id="145" w:name="__Fieldmark__717_4284355980"/>
      <w:r>
        <w:rPr/>
        <w:t>(Lindsay 2013; Gartzke and Lindsay 2015)</w:t>
      </w:r>
      <w:bookmarkStart w:id="146" w:name="__Fieldmark__872_1735709817"/>
      <w:bookmarkEnd w:id="146"/>
      <w:r>
        <w:rPr/>
      </w:r>
      <w:r>
        <w:rPr/>
        <w:fldChar w:fldCharType="end"/>
      </w:r>
      <w:bookmarkEnd w:id="145"/>
      <w:r>
        <w:rPr/>
        <w:t xml:space="preserve">. Thus deterrence-by-punishment of cyber aggression will be affected by the same loss-of-strength gradient that affects cross-domain military capabilities in the terrestrial world. In sum, we expect Western resolve and capability to decrease from West to East while Russian resolve and capability increases. </w:t>
      </w:r>
    </w:p>
    <w:p>
      <w:pPr>
        <w:pStyle w:val="Heading2"/>
        <w:spacing w:before="360" w:after="200"/>
        <w:ind w:right="10" w:hanging="0"/>
        <w:contextualSpacing/>
        <w:rPr/>
      </w:pPr>
      <w:r>
        <w:rPr/>
        <w:t>A Note on Third Parties</w:t>
      </w:r>
    </w:p>
    <w:p>
      <w:pPr>
        <w:pStyle w:val="Newparagraph"/>
        <w:ind w:hanging="0"/>
        <w:rPr/>
      </w:pPr>
      <w:r>
        <w:rP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Style w:val="FootnoteAnchor"/>
        </w:rPr>
        <w:footnoteReference w:id="6"/>
      </w:r>
      <w:r>
        <w:rP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 </w:t>
      </w:r>
      <w:r>
        <w:fldChar w:fldCharType="begin"/>
      </w:r>
      <w:r>
        <w:rPr/>
        <w:instrText>ADDIN ZOTERO_ITEM CSL_CITATION {"citationID":"a24dvm6c6h4","properties":{"formattedCitation":"(Lanoszka 2016)","plainCitation":"(Lanoszka 2016)","noteIndex":0},"citationItems":[{"id":6874,"uris":["http://zotero.org/users/2506258/items/AAWAWVXN"],"uri":["http://zotero.org/users/2506258/items/AAWAWVXN"],"itemData":{"id":6874,"type":"article-journal","title":"Russian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w:instrText>
      </w:r>
      <w:r>
        <w:rPr/>
        <w:fldChar w:fldCharType="separate"/>
      </w:r>
      <w:bookmarkStart w:id="147" w:name="__Fieldmark__743_4284355980"/>
      <w:r>
        <w:rPr/>
        <w:t>(Lanoszka 2016)</w:t>
      </w:r>
      <w:bookmarkStart w:id="148" w:name="__Fieldmark__906_1735709817"/>
      <w:bookmarkEnd w:id="148"/>
      <w:r>
        <w:rPr/>
      </w:r>
      <w:r>
        <w:rPr/>
        <w:fldChar w:fldCharType="end"/>
      </w:r>
      <w:bookmarkEnd w:id="147"/>
      <w:r>
        <w:rPr/>
        <w:t>. His argument appears to run counter to our deterrence story until the weaker state is considered together with its powerful protector(s). Russia may not be deterred by the Ukrainian military directly, but it calibrates its actions to avoid triggering a confrontation with NATO. More actors may be considered “capable” in this sense than if assessed in purely bilateral terms.</w:t>
      </w:r>
    </w:p>
    <w:p>
      <w:pPr>
        <w:pStyle w:val="Newparagraph"/>
        <w:rPr/>
      </w:pPr>
      <w:r>
        <w:rPr/>
        <w:t xml:space="preserve">Importantly, alliances, commitment mechanisms, and other attempts to aggregate capabilities are often explicitly or implicitly designed to generate deterrence by reducing agency (autonomy) on the part of individual participants, making them behave more like a single unit </w:t>
      </w:r>
      <w:r>
        <w:fldChar w:fldCharType="begin"/>
      </w:r>
      <w:r>
        <w:rPr/>
        <w:instrText>ADDIN ZOTERO_ITEM CSL_CITATION {"citationID":"a24hmj54nhk","properties":{"formattedCitation":"(Sobek and Clare 2013)","plainCitation":"(Sobek and Clare 2013)","noteIndex":0},"citationItems":[{"id":15432,"uris":["http://zotero.org/users/2506258/items/LPRH47IP"],"uri":["http://zotero.org/users/2506258/items/LPRH47IP"],"itemData":{"id":15432,"type":"article-journal","title":"Me,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w:instrText>
      </w:r>
      <w:r>
        <w:rPr/>
        <w:fldChar w:fldCharType="separate"/>
      </w:r>
      <w:bookmarkStart w:id="149" w:name="__Fieldmark__753_4284355980"/>
      <w:r>
        <w:rPr/>
        <w:t>(</w:t>
      </w:r>
      <w:bookmarkStart w:id="150" w:name="__Fieldmark__922_1735709817"/>
      <w:r>
        <w:rPr/>
        <w:t>Sobek and Clare 2013)</w:t>
      </w:r>
      <w:r>
        <w:rPr/>
      </w:r>
      <w:r>
        <w:rPr/>
        <w:fldChar w:fldCharType="end"/>
      </w:r>
      <w:bookmarkEnd w:id="149"/>
      <w:bookmarkEnd w:id="150"/>
      <w:r>
        <w:rPr/>
        <w:t xml:space="preserve">. Deterrence works if an ally might respond to a given provocation, but friction between them complicates deterrence effectiveness </w:t>
      </w:r>
      <w:r>
        <w:fldChar w:fldCharType="begin"/>
      </w:r>
      <w:r>
        <w:rPr/>
        <w:instrText>ADDIN ZOTERO_ITEM CSL_CITATION {"citationID":"av13ko0h0b","properties":{"formattedCitation":"(Danilovic 2001)","plainCitation":"(Danilovic 2001)","noteIndex":0},"citationItems":[{"id":7910,"uris":["http://zotero.org/users/2506258/items/UDXA3PUX"],"uri":["http://zotero.org/users/2506258/items/UDXA3PUX"],"itemData":{"id":7910,"type":"article-journal","title":"The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Resolution","language":"en","author":[{"family":"Danilovic","given":"Vesna"}],"issued":{"date-parts":[["2001"]]}}}],"schema":"https://github.com/citation-style-language/schema/raw/master/csl-citation.json"}</w:instrText>
      </w:r>
      <w:r>
        <w:rPr/>
        <w:fldChar w:fldCharType="separate"/>
      </w:r>
      <w:bookmarkStart w:id="151" w:name="__Fieldmark__760_4284355980"/>
      <w:r>
        <w:rPr/>
        <w:t>(</w:t>
      </w:r>
      <w:bookmarkStart w:id="152" w:name="__Fieldmark__928_1735709817"/>
      <w:r>
        <w:rPr/>
        <w:t>Danilovic 2001)</w:t>
      </w:r>
      <w:r>
        <w:rPr/>
      </w:r>
      <w:r>
        <w:rPr/>
        <w:fldChar w:fldCharType="end"/>
      </w:r>
      <w:bookmarkEnd w:id="151"/>
      <w:bookmarkEnd w:id="152"/>
      <w:r>
        <w:rPr/>
        <w:t xml:space="preserve">. Indeed, misalignment of interests within an alliance (or domestic civil politics) can serve to weaken deterrence and provide opportunities for gray zone intervention. </w:t>
      </w:r>
    </w:p>
    <w:p>
      <w:pPr>
        <w:pStyle w:val="Newparagraph"/>
        <w:rPr/>
      </w:pPr>
      <w:r>
        <w:rPr/>
        <w:t xml:space="preserve">Conflict initiators can similarly rely on proxies to complicate the deterrence calculus. Ambiguity regarding responsibility for an attack makes a retaliatory response less likely, especially if the target is looking for reasons not to retaliate </w:t>
      </w:r>
      <w:r>
        <w:fldChar w:fldCharType="begin"/>
      </w:r>
      <w:r>
        <w:rPr/>
        <w:instrText>ADDIN ZOTERO_ITEM CSL_CITATION {"citationID":"arm41ds8ct","properties":{"formattedCitation":"(Borghard and Lonergan 2017)","plainCitation":"(Borghard and Lonergan 2017)","noteIndex":0},"citationItems":[{"id":8902,"uris":["http://zotero.org/users/2506258/items/EUQEZZ39"],"uri":["http://zotero.org/users/2506258/items/EUQEZZ39"],"itemData":{"id":8902,"type":"article-journal","title":"The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w:instrText>
      </w:r>
      <w:r>
        <w:rPr/>
        <w:fldChar w:fldCharType="separate"/>
      </w:r>
      <w:bookmarkStart w:id="153" w:name="__Fieldmark__769_4284355980"/>
      <w:r>
        <w:rPr/>
        <w:t>(</w:t>
      </w:r>
      <w:bookmarkStart w:id="154" w:name="__Fieldmark__941_1735709817"/>
      <w:r>
        <w:rPr/>
        <w:t>Borghard and Lonergan 2017)</w:t>
      </w:r>
      <w:r>
        <w:rPr/>
      </w:r>
      <w:r>
        <w:rPr/>
        <w:fldChar w:fldCharType="end"/>
      </w:r>
      <w:bookmarkEnd w:id="153"/>
      <w:bookmarkEnd w:id="154"/>
      <w:r>
        <w:rP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rPr/>
        <w:t xml:space="preserve"> probably increases this risk, as red lines clarify what can be achieved in the gray zone.</w:t>
      </w:r>
    </w:p>
    <w:p>
      <w:pPr>
        <w:pStyle w:val="Heading1"/>
        <w:ind w:right="10" w:hanging="0"/>
        <w:rPr/>
      </w:pPr>
      <w:bookmarkStart w:id="155" w:name="_5n3w61b4kam6"/>
      <w:bookmarkEnd w:id="155"/>
      <w:r>
        <w:rPr/>
        <w:t>Russian Gray Zone Campaigns</w:t>
      </w:r>
    </w:p>
    <w:p>
      <w:pPr>
        <w:pStyle w:val="Newparagraph"/>
        <w:ind w:hanging="0"/>
        <w:rPr/>
      </w:pPr>
      <w:r>
        <w:rPr/>
        <w:t xml:space="preserve">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 </w:t>
      </w:r>
      <w:r>
        <w:fldChar w:fldCharType="begin"/>
      </w:r>
      <w:r>
        <w:rPr/>
        <w:instrText>ADDIN ZOTERO_ITEM CSL_CITATION {"citationID":"a6tg69r222","properties":{"formattedCitation":"(Marten 2015; Driscoll and Maliniak 2016; Chivvis 2017)","plainCitation":"(Marten 2015; Driscoll and Maliniak 2016; Chivvis 2017)","noteIndex":0},"citationItems":[{"id":6702,"uris":["http://zotero.org/users/2506258/items/NTMEZZFH"],"uri":["http://zotero.org/users/2506258/items/NTMEZZFH"],"itemData":{"id":6702,"type":"article-journal","title":"Putin's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w:instrText>
      </w:r>
      <w:r>
        <w:rPr/>
        <w:fldChar w:fldCharType="separate"/>
      </w:r>
      <w:bookmarkStart w:id="156" w:name="__Fieldmark__784_4284355980"/>
      <w:r>
        <w:rPr/>
        <w:t>(</w:t>
      </w:r>
      <w:bookmarkStart w:id="157" w:name="__Fieldmark__961_1735709817"/>
      <w:r>
        <w:rPr/>
        <w:t>Marten 2015; Driscoll and Maliniak 2016; Chivvis 2017)</w:t>
      </w:r>
      <w:r>
        <w:rPr/>
      </w:r>
      <w:r>
        <w:rPr/>
        <w:fldChar w:fldCharType="end"/>
      </w:r>
      <w:bookmarkEnd w:id="156"/>
      <w:bookmarkEnd w:id="157"/>
      <w:r>
        <w:rPr/>
        <w:t>.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pPr>
        <w:pStyle w:val="Heading2"/>
        <w:spacing w:before="360" w:after="200"/>
        <w:ind w:right="10" w:hanging="0"/>
        <w:contextualSpacing/>
        <w:rPr/>
      </w:pPr>
      <w:bookmarkStart w:id="158" w:name="_nz7gptvniecz"/>
      <w:bookmarkEnd w:id="158"/>
      <w:r>
        <w:rPr/>
        <w:t>Cross-National Data</w:t>
      </w:r>
    </w:p>
    <w:p>
      <w:pPr>
        <w:pStyle w:val="Newparagraph"/>
        <w:ind w:hanging="0"/>
        <w:rPr/>
      </w:pPr>
      <w:r>
        <w:rPr/>
        <w:t xml:space="preserve">It is perhaps fitting that data on Russian gray zone interventions are themselves ambiguous. Previous studies have compiled open source data on Russian-attributed cyber conflict over the past three decades. Two cross-national datasets – Dyadic Cyber Incident and Dispute (DCID) and Russian Electoral Interventions (REI) – cover almost entirely distinct samples </w:t>
      </w:r>
      <w:r>
        <w:fldChar w:fldCharType="begin"/>
      </w:r>
      <w:r>
        <w:rPr/>
        <w:instrText>ADDIN ZOTERO_ITEM CSL_CITATION {"citationID":"aq8tel9l7c","properties":{"formattedCitation":"(Valeriano and Maness 2014; Casey and Way 2017)","plainCitation":"(Valeriano and Maness 2014; Casey and Way 2017)","noteIndex":0},"citationItems":[{"id":"5I7vyisu/t9mFl5h7","uris":["http://zotero.org/users/471208/items/WSVEGB3T"],"uri":["http://zotero.org/users/471208/items/WSVEGB3T"],"itemData":{"id":"XB4YeRPs/nux20O1E","type":"article-journal","title":"The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w:instrText>
      </w:r>
      <w:r>
        <w:rPr/>
        <w:fldChar w:fldCharType="separate"/>
      </w:r>
      <w:bookmarkStart w:id="159" w:name="__Fieldmark__797_4284355980"/>
      <w:r>
        <w:rPr/>
        <w:t>(</w:t>
      </w:r>
      <w:bookmarkStart w:id="160" w:name="__Fieldmark__977_1735709817"/>
      <w:r>
        <w:rPr/>
        <w:t>Valeriano and Maness 2014; Casey and Way 2017)</w:t>
      </w:r>
      <w:r>
        <w:rPr/>
      </w:r>
      <w:r>
        <w:rPr/>
        <w:fldChar w:fldCharType="end"/>
      </w:r>
      <w:bookmarkEnd w:id="159"/>
      <w:bookmarkEnd w:id="160"/>
      <w:r>
        <w:rPr/>
        <w:t>. 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pPr>
        <w:pStyle w:val="Newparagraph"/>
        <w:rPr/>
      </w:pPr>
      <w:r>
        <w:rPr/>
        <w:t>We present an expanded and consolidated dataset of 82 cases of Russian intervention from 1994-2018. DCID and REI together describe 71 unique cases of Russian aggression that have either included some degree of cyber intervention or were cases of electoral interference.</w:t>
      </w:r>
      <w:r>
        <w:rPr>
          <w:rStyle w:val="FootnoteAnchor"/>
          <w:rStyle w:val="FootnoteAnchor"/>
        </w:rPr>
        <w:footnoteReference w:id="7"/>
      </w:r>
      <w:r>
        <w:rPr/>
        <w:t xml:space="preserve"> We have identified 10 additional instances of Russian cyber-attacks from 1994-2018 that are not covered in the previous datasets. Most of these new cases cover cyber conflict after 2011 (the latest year in DCID) that were non-electoral (the universe of cases in REI). We further include 3 cases of non-cyber Russian aggression from the International Crisis Behavior (ICB) dataset </w:t>
      </w:r>
      <w:r>
        <w:fldChar w:fldCharType="begin"/>
      </w:r>
      <w:r>
        <w:rPr/>
        <w:instrText>ADDIN ZOTERO_ITEM CSL_CITATION {"citationID":"a17823qtgmm","properties":{"formattedCitation":"(Singer, Bremer, and Stuckey 1972)","plainCitation":"(Singer, Bremer, and Stuckey 1972)","noteIndex":0},"citationItems":[{"id":5992,"uris":["http://zotero.org/users/2506258/items/I24EIK6Z"],"uri":["http://zotero.org/users/2506258/items/I24EIK6Z"],"itemData":{"id":5992,"type":"chapter","title":"Capability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w:instrText>
      </w:r>
      <w:r>
        <w:rPr/>
        <w:fldChar w:fldCharType="separate"/>
      </w:r>
      <w:bookmarkStart w:id="161" w:name="__Fieldmark__818_4284355980"/>
      <w:r>
        <w:rPr/>
        <w:t>(Singer, Bremer, and Stuckey 1972)</w:t>
      </w:r>
      <w:bookmarkStart w:id="162" w:name="__Fieldmark__1007_1735709817"/>
      <w:bookmarkEnd w:id="162"/>
      <w:r>
        <w:rPr/>
      </w:r>
      <w:r>
        <w:rPr/>
        <w:fldChar w:fldCharType="end"/>
      </w:r>
      <w:bookmarkEnd w:id="161"/>
      <w:r>
        <w:rPr/>
        <w:t>.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pPr>
        <w:pStyle w:val="Newparagraph"/>
        <w:rPr/>
      </w:pPr>
      <w:r>
        <w:rPr/>
        <w:t>Figure 1 shows the frequency distribution of Russian gray zone operations since 1994. We follow the coding criteria used in DCID, coding each country-year’s intensity as the highest observed Russian intervention on a scale where information operations are the least intense type of intervention and ground troops are the most intense.</w:t>
      </w:r>
      <w:r>
        <w:rPr>
          <w:rStyle w:val="FootnoteAnchor"/>
          <w:rStyle w:val="FootnoteAnchor"/>
        </w:rPr>
        <w:footnoteReference w:id="8"/>
      </w:r>
      <w:r>
        <w:rPr/>
        <w:t xml:space="preserve"> Contrary to descriptions of gray zone conflict as new or the product of technological innovation,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pPr>
        <w:pStyle w:val="Newparagraph"/>
        <w:rPr/>
      </w:pPr>
      <w:r>
        <w:rPr/>
        <w:t>A basic hypothesis of our theory is that limited war constrained by deterrence (gray zone conflict) should be distributed along a deterrence gradient, with conflict intensity inversely proportional to the credibility of deterrence. Limited war that is motivated by efficiency, by contrast, should be less correlated with geography.</w:t>
      </w:r>
    </w:p>
    <w:p>
      <w:pPr>
        <w:pStyle w:val="Newparagraph"/>
        <w:rPr/>
      </w:pPr>
      <w:r>
        <w:rPr/>
        <w:drawing>
          <wp:inline distT="0" distB="0" distL="0" distR="0">
            <wp:extent cx="5943600" cy="4711700"/>
            <wp:effectExtent l="0" t="0" r="0" b="0"/>
            <wp:docPr id="1"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user-images.githubusercontent.com/32421268/59643977-c1073700-911f-11e9-92d5-5457a6f841a2.png"/>
                    <pic:cNvPicPr>
                      <a:picLocks noChangeAspect="1" noChangeArrowheads="1"/>
                    </pic:cNvPicPr>
                  </pic:nvPicPr>
                  <pic:blipFill>
                    <a:blip r:embed="rId2"/>
                    <a:stretch>
                      <a:fillRect/>
                    </a:stretch>
                  </pic:blipFill>
                  <pic:spPr bwMode="auto">
                    <a:xfrm>
                      <a:off x="0" y="0"/>
                      <a:ext cx="5943600" cy="4711700"/>
                    </a:xfrm>
                    <a:prstGeom prst="rect">
                      <a:avLst/>
                    </a:prstGeom>
                  </pic:spPr>
                </pic:pic>
              </a:graphicData>
            </a:graphic>
          </wp:inline>
        </w:drawing>
      </w:r>
    </w:p>
    <w:p>
      <w:pPr>
        <w:pStyle w:val="Figurecaption"/>
        <w:rPr/>
      </w:pPr>
      <w:r>
        <w:rPr>
          <w:b/>
        </w:rPr>
        <w:t xml:space="preserve">Figure </w:t>
      </w:r>
      <w:r>
        <w:rPr>
          <w:b/>
        </w:rPr>
        <w:fldChar w:fldCharType="begin"/>
      </w:r>
      <w:r>
        <w:rPr>
          <w:b/>
        </w:rPr>
        <w:instrText> SEQ Figure \* ARABIC </w:instrText>
      </w:r>
      <w:r>
        <w:rPr>
          <w:b/>
        </w:rPr>
        <w:fldChar w:fldCharType="separate"/>
      </w:r>
      <w:r>
        <w:rPr>
          <w:b/>
        </w:rPr>
        <w:t>1</w:t>
      </w:r>
      <w:r>
        <w:rPr>
          <w:b/>
        </w:rPr>
        <w:fldChar w:fldCharType="end"/>
      </w:r>
      <w:r>
        <w:rPr/>
        <w:t xml:space="preserve"> Intensity of Russian intervention over time. The bars represent the average intensity of Russian interventions in each year using the 1-5 scale provided. The line denotes the number of Russian interventions in each year.</w:t>
      </w:r>
    </w:p>
    <w:p>
      <w:pPr>
        <w:pStyle w:val="Newparagraph"/>
        <w:rPr/>
      </w:pPr>
      <w:r>
        <w:rPr/>
        <w:t>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Syria, which hosts a major Russian naval base on the Mediterranean. The port of Tartus, a staging base for Russian combat operations in Syria, serves to lessen the Russian loss of strength gradient and may help to explain the Syrian exception to the East-West pattern in the intensity of Russian operations in Figure 2.</w:t>
      </w:r>
    </w:p>
    <w:p>
      <w:pPr>
        <w:pStyle w:val="Newparagraph"/>
        <w:rPr/>
      </w:pPr>
      <w:r>
        <w:rPr/>
        <w:drawing>
          <wp:inline distT="0" distB="0" distL="0" distR="0">
            <wp:extent cx="5943600" cy="57708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43600" cy="5770880"/>
                    </a:xfrm>
                    <a:prstGeom prst="rect">
                      <a:avLst/>
                    </a:prstGeom>
                  </pic:spPr>
                </pic:pic>
              </a:graphicData>
            </a:graphic>
          </wp:inline>
        </w:drawing>
      </w:r>
    </w:p>
    <w:p>
      <w:pPr>
        <w:pStyle w:val="Figurecaption"/>
        <w:rPr/>
      </w:pPr>
      <w:r>
        <w:rPr>
          <w:b/>
        </w:rPr>
        <w:t xml:space="preserve">Figure </w:t>
      </w:r>
      <w:r>
        <w:rPr>
          <w:b/>
        </w:rPr>
        <w:fldChar w:fldCharType="begin"/>
      </w:r>
      <w:r>
        <w:rPr>
          <w:b/>
        </w:rPr>
        <w:instrText> SEQ Figure \* ARABIC </w:instrText>
      </w:r>
      <w:r>
        <w:rPr>
          <w:b/>
        </w:rPr>
        <w:fldChar w:fldCharType="separate"/>
      </w:r>
      <w:r>
        <w:rPr>
          <w:b/>
        </w:rPr>
        <w:t>2</w:t>
      </w:r>
      <w:r>
        <w:rPr>
          <w:b/>
        </w:rPr>
        <w:fldChar w:fldCharType="end"/>
      </w:r>
      <w:r>
        <w:rPr/>
        <w:t xml:space="preserve"> Geographic representation of Russia intervention. Each country's shading represents the highest intensity of Russian intervention in that state between 1994-2017. States closer to Russia have noticeably higher levels of severity.</w:t>
      </w:r>
    </w:p>
    <w:p>
      <w:pPr>
        <w:pStyle w:val="Newparagraph"/>
        <w:rPr/>
      </w:pPr>
      <w:r>
        <w:rPr/>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pPr>
        <w:pStyle w:val="Heading2"/>
        <w:rPr/>
      </w:pPr>
      <w:bookmarkStart w:id="163" w:name="_67l51pwqju7m"/>
      <w:bookmarkStart w:id="164" w:name="_qj6388j08rsl"/>
      <w:bookmarkEnd w:id="163"/>
      <w:bookmarkEnd w:id="164"/>
      <w:r>
        <w:rPr/>
        <w:t>Major Cyber Campaigns</w:t>
      </w:r>
    </w:p>
    <w:p>
      <w:pPr>
        <w:pStyle w:val="Newparagraph"/>
        <w:ind w:hanging="0"/>
        <w:rPr/>
      </w:pPr>
      <w:r>
        <w:rP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 </w:t>
      </w:r>
      <w:r>
        <w:fldChar w:fldCharType="begin"/>
      </w:r>
      <w:r>
        <w:rPr/>
        <w:instrText>ADDIN ZOTERO_ITEM CSL_CITATION {"citationID":"a25bu31crfj","properties":{"formattedCitation":"(Bennett and Elman 2007)","plainCitation":"(Bennett and Elman 2007)","noteIndex":0},"citationItems":[{"id":10336,"uris":["http://zotero.org/users/2506258/items/6IWR35D4"],"uri":["http://zotero.org/users/2506258/items/6IWR35D4"],"itemData":{"id":10336,"type":"article-journal","title":"Case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w:instrText>
      </w:r>
      <w:r>
        <w:rPr/>
        <w:fldChar w:fldCharType="separate"/>
      </w:r>
      <w:bookmarkStart w:id="165" w:name="__Fieldmark__863_4284355980"/>
      <w:r>
        <w:rPr/>
        <w:t>(</w:t>
      </w:r>
      <w:bookmarkStart w:id="166" w:name="__Fieldmark__1059_1735709817"/>
      <w:r>
        <w:rPr/>
        <w:t>Bennett and Elman 2007)</w:t>
      </w:r>
      <w:r>
        <w:rPr/>
      </w:r>
      <w:r>
        <w:rPr/>
        <w:fldChar w:fldCharType="end"/>
      </w:r>
      <w:bookmarkEnd w:id="165"/>
      <w:bookmarkEnd w:id="166"/>
      <w:r>
        <w:rPr/>
        <w:t>.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pPr>
        <w:pStyle w:val="Newparagraph"/>
        <w:rPr/>
      </w:pPr>
      <w:r>
        <w:rP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 </w:t>
      </w:r>
      <w:r>
        <w:fldChar w:fldCharType="begin"/>
      </w:r>
      <w:r>
        <w:rPr/>
        <w:instrText>ADDIN ZOTERO_ITEM CSL_CITATION {"citationID":"a1ra7halpil","properties":{"formattedCitation":"(G\\uc0\\u246{}tz 2017)","plainCitation":"(Götz 2017)","noteIndex":0},"citationItems":[{"id":17865,"uris":["http://zotero.org/users/2506258/items/3QBRCJEM"],"uri":["http://zotero.org/users/2506258/items/3QBRCJEM"],"itemData":{"id":17865,"type":"article-journal","title":"Putin,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w:instrText>
      </w:r>
      <w:r>
        <w:rPr/>
        <w:fldChar w:fldCharType="separate"/>
      </w:r>
      <w:bookmarkStart w:id="167" w:name="__Fieldmark__872_4284355980"/>
      <w:r>
        <w:rPr/>
        <w:t>(</w:t>
      </w:r>
      <w:bookmarkStart w:id="168" w:name="__Fieldmark__1067_1735709817"/>
      <w:r>
        <w:rPr/>
        <w:t>Götz 2017)</w:t>
      </w:r>
      <w:r>
        <w:rPr/>
      </w:r>
      <w:r>
        <w:rPr/>
        <w:fldChar w:fldCharType="end"/>
      </w:r>
      <w:bookmarkEnd w:id="167"/>
      <w:bookmarkEnd w:id="168"/>
      <w:r>
        <w:rPr/>
        <w:t>. Rather we argue that how motives are expressed, whatever their origins, will be more or less constrained by Western deterrence. We will consider some counterarguments in the case narratives.</w:t>
      </w:r>
    </w:p>
    <w:p>
      <w:pPr>
        <w:pStyle w:val="Tabletitle"/>
        <w:rPr/>
      </w:pPr>
      <w:r>
        <w:rPr>
          <w:b/>
        </w:rPr>
        <w:t>Table 2</w:t>
      </w:r>
      <w:r>
        <w:rPr/>
        <w:t>: Case comparison of Russian gray zone conflicts</w:t>
      </w:r>
    </w:p>
    <w:tbl>
      <w:tblPr>
        <w:tblW w:w="908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598"/>
        <w:gridCol w:w="2047"/>
        <w:gridCol w:w="1550"/>
        <w:gridCol w:w="1552"/>
        <w:gridCol w:w="1334"/>
      </w:tblGrid>
      <w:tr>
        <w:trPr/>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rPr/>
            </w:pPr>
            <w:r>
              <w:rPr/>
              <w:t>Russian Response</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United States (2016)</w:t>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Estonia (2007)</w:t>
            </w:r>
          </w:p>
        </w:tc>
        <w:tc>
          <w:tcPr>
            <w:tcW w:w="1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Ukraine (2014)</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Georgia (2008)</w:t>
            </w:r>
          </w:p>
        </w:tc>
      </w:tr>
      <w:tr>
        <w:trPr/>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rPr/>
            </w:pPr>
            <w:r>
              <w:rPr/>
              <w:t>Conventional Forces</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jc w:val="center"/>
              <w:rPr/>
            </w:pPr>
            <w:r>
              <w:rPr/>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jc w:val="center"/>
              <w:rPr/>
            </w:pPr>
            <w:r>
              <w:rPr/>
            </w:r>
          </w:p>
        </w:tc>
        <w:tc>
          <w:tcPr>
            <w:tcW w:w="1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jc w:val="center"/>
              <w:rPr/>
            </w:pPr>
            <w:r>
              <w:rPr/>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r>
      <w:tr>
        <w:trPr/>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rPr/>
            </w:pPr>
            <w:r>
              <w:rPr/>
              <w:t>Special Operations</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jc w:val="center"/>
              <w:rPr/>
            </w:pPr>
            <w:r>
              <w:rPr/>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jc w:val="center"/>
              <w:rPr/>
            </w:pPr>
            <w:r>
              <w:rPr/>
            </w:r>
          </w:p>
        </w:tc>
        <w:tc>
          <w:tcPr>
            <w:tcW w:w="1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r>
      <w:tr>
        <w:trPr/>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rPr/>
            </w:pPr>
            <w:r>
              <w:rPr/>
              <w:t>Disruptive Cyber</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200"/>
              <w:jc w:val="center"/>
              <w:rPr/>
            </w:pPr>
            <w:r>
              <w:rPr/>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c>
          <w:tcPr>
            <w:tcW w:w="1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r>
      <w:tr>
        <w:trPr/>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rPr/>
            </w:pPr>
            <w:r>
              <w:rPr/>
              <w:t>Information Operations</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c>
          <w:tcPr>
            <w:tcW w:w="15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spacing w:before="0" w:after="200"/>
              <w:ind w:hanging="0"/>
              <w:jc w:val="center"/>
              <w:rPr/>
            </w:pPr>
            <w:r>
              <w:rPr/>
              <w:t>X</w:t>
            </w:r>
          </w:p>
        </w:tc>
      </w:tr>
    </w:tbl>
    <w:p>
      <w:pPr>
        <w:pStyle w:val="Newparagraph"/>
        <w:rPr/>
      </w:pPr>
      <w:r>
        <w:rPr/>
        <w:t>Table 2 lists these cases by distance from Washington DC.</w:t>
      </w:r>
      <w:r>
        <w:rPr>
          <w:rStyle w:val="FootnoteAnchor"/>
          <w:rStyle w:val="FootnoteAnchor"/>
        </w:rPr>
        <w:footnoteReference w:id="9"/>
      </w:r>
      <w:r>
        <w:rPr/>
        <w:t xml:space="preserve"> Again the geographical pattern is striking. Moscow is more likely to pull its punches for cases closer to Washington. Russian operations directly against the United States have been limited to cyber influence and espionage operations. Operations against Estonia in 2007 were also restrained—Estonia is a NATO member—but further included a more punishing set of DDoS attacks. Ukraine is not a member of NATO and is highly salient to Russia, but it borders European NATO states and was in negotiation for EU membership when the crisis began. Russian attacks on Ukraine have been diverse and punishing but have fallen short of avowed military intervention. Georgia, by contrast, is not a NATO member and is deep in Russia’s sphere of influence. At the weakest end of the deterrence gradient, Russia intervened in Georgia in 2008 using not only cyber-attacks but also paramilitaries and overt military force.</w:t>
      </w:r>
      <w:r>
        <w:rPr>
          <w:rStyle w:val="FootnoteAnchor"/>
          <w:rStyle w:val="FootnoteAnchor"/>
        </w:rPr>
        <w:footnoteReference w:id="10"/>
      </w:r>
      <w:r>
        <w:rPr/>
        <w:t xml:space="preserve"> We will briefly consider each of them in chronological order.</w:t>
      </w:r>
    </w:p>
    <w:p>
      <w:pPr>
        <w:pStyle w:val="Heading3"/>
        <w:spacing w:lineRule="auto" w:line="276" w:before="360" w:after="200"/>
        <w:ind w:left="-5" w:right="10" w:hanging="0"/>
        <w:contextualSpacing/>
        <w:rPr/>
      </w:pPr>
      <w:bookmarkStart w:id="169" w:name="_c8qq01qhrze2"/>
      <w:bookmarkEnd w:id="169"/>
      <w:r>
        <w:rPr/>
        <w:t>Estonia (2007)</w:t>
      </w:r>
    </w:p>
    <w:p>
      <w:pPr>
        <w:pStyle w:val="Newparagraph"/>
        <w:ind w:hanging="0"/>
        <w:rPr/>
      </w:pPr>
      <w:r>
        <w:rPr/>
        <w:t xml:space="preserve">Moscow coordinated a wave of DDoS attacks against Estonia following the relocation of a Soviet statue </w:t>
      </w:r>
      <w:r>
        <w:fldChar w:fldCharType="begin"/>
      </w:r>
      <w:r>
        <w:rPr/>
        <w:instrText>ADDIN ZOTERO_ITEM CSL_CITATION {"citationID":"a2pd1qeoldl","properties":{"formattedCitation":"(Schmidt 2013)","plainCitation":"(Schmidt 2013)","noteIndex":0},"citationItems":[{"id":17775,"uris":["http://zotero.org/users/2506258/items/Z9PWAFVG"],"uri":["http://zotero.org/users/2506258/items/Z9PWAFVG"],"itemData":{"id":17775,"type":"chapter","title":"The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w:instrText>
      </w:r>
      <w:r>
        <w:rPr/>
        <w:fldChar w:fldCharType="separate"/>
      </w:r>
      <w:bookmarkStart w:id="170" w:name="__Fieldmark__977_4284355980"/>
      <w:r>
        <w:rPr/>
        <w:t>(</w:t>
      </w:r>
      <w:bookmarkStart w:id="171" w:name="__Fieldmark__1218_1735709817"/>
      <w:r>
        <w:rPr/>
        <w:t>Schmidt 2013)</w:t>
      </w:r>
      <w:r>
        <w:rPr/>
      </w:r>
      <w:r>
        <w:rPr/>
        <w:fldChar w:fldCharType="end"/>
      </w:r>
      <w:bookmarkEnd w:id="170"/>
      <w:bookmarkEnd w:id="171"/>
      <w:r>
        <w:rPr/>
        <w:t xml:space="preserve">. The gap in time between Estonia’s 2004 ascension to NATO and the 2007 Russian cyber campaign is telling. In Georgia and Ukraine, the mere prospect of future NATO membership (announced in the April 2008 Bucharest Summit Declaration) would provoke a Russian response. The Estonian attacks, by contrast, were a muted opportunistic protest, not a determined bid to change or return to the status quo. No one issued any clear demands or claimed responsibility, and Estonia did not replace the statue. The DDoS attacks were an ambiguous symbolic move calibrated to fall well below the threshold of a NATO response. The ambiguous legal status of a cyber-attack in 2007 both enabled and constrained Russia in this respect </w:t>
      </w:r>
      <w:r>
        <w:fldChar w:fldCharType="begin"/>
      </w:r>
      <w:r>
        <w:rPr/>
        <w:instrText>ADDIN ZOTERO_ITEM CSL_CITATION {"citationID":"a26ovu4udke","properties":{"formattedCitation":"(Joubert 2012)","plainCitation":"(Joubert 2012)","noteIndex":0},"citationItems":[{"id":17774,"uris":["http://zotero.org/users/2506258/items/RFJXZ8TU"],"uri":["http://zotero.org/users/2506258/items/RFJXZ8TU"],"itemData":{"id":17774,"type":"report","title":"Five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w:instrText>
      </w:r>
      <w:r>
        <w:rPr/>
        <w:fldChar w:fldCharType="separate"/>
      </w:r>
      <w:bookmarkStart w:id="172" w:name="__Fieldmark__984_4284355980"/>
      <w:r>
        <w:rPr/>
        <w:t>(</w:t>
      </w:r>
      <w:bookmarkStart w:id="173" w:name="__Fieldmark__1259_1735709817"/>
      <w:r>
        <w:rPr/>
        <w:t>Joubert 2012)</w:t>
      </w:r>
      <w:r>
        <w:rPr/>
      </w:r>
      <w:r>
        <w:rPr/>
        <w:fldChar w:fldCharType="end"/>
      </w:r>
      <w:bookmarkEnd w:id="172"/>
      <w:bookmarkEnd w:id="173"/>
      <w:r>
        <w:rPr/>
        <w:t xml:space="preserve">. NATO was highly unlikely to seriously consider formally responding so long as Russia avoided causing serious harm. Estonia’s defense minister considered but ultimately rejected invoking Article V, the collective defense clause of the NATO treaty, ultimately treating the episode as a domestic law enforcement matter </w:t>
      </w:r>
      <w:r>
        <w:fldChar w:fldCharType="begin"/>
      </w:r>
      <w:r>
        <w:rPr/>
        <w:instrText>ADDIN ZOTERO_ITEM CSL_CITATION {"citationID":"a1v1sdom8gk","properties":{"formattedCitation":"(Traynor 2007)","plainCitation":"(Traynor 2007)","noteIndex":0},"citationItems":[{"id":17777,"uris":["http://zotero.org/users/2506258/items/TGPY34IX"],"uri":["http://zotero.org/users/2506258/items/TGPY34IX"],"itemData":{"id":17777,"type":"article-newspaper","title":"Russia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w:instrText>
      </w:r>
      <w:r>
        <w:rPr/>
        <w:fldChar w:fldCharType="separate"/>
      </w:r>
      <w:bookmarkStart w:id="174" w:name="__Fieldmark__991_4284355980"/>
      <w:r>
        <w:rPr/>
        <w:t>(</w:t>
      </w:r>
      <w:bookmarkStart w:id="175" w:name="__Fieldmark__1268_1735709817"/>
      <w:r>
        <w:rPr/>
        <w:t>Traynor 2007)</w:t>
      </w:r>
      <w:r>
        <w:rPr/>
      </w:r>
      <w:r>
        <w:rPr/>
        <w:fldChar w:fldCharType="end"/>
      </w:r>
      <w:bookmarkEnd w:id="174"/>
      <w:bookmarkEnd w:id="175"/>
      <w:r>
        <w:rPr/>
        <w:t>. After the event, Tallinn became more resolved to bind with the West. Indeed, Estonia became a hub for coordinating NATO cyber defences. Because Russian moves were motivated by deterrence rather than efficiency, subsequent improvements in NATO cyber deterrence were not met by Russian escalation.</w:t>
      </w:r>
    </w:p>
    <w:p>
      <w:pPr>
        <w:pStyle w:val="Heading3"/>
        <w:spacing w:lineRule="auto" w:line="276" w:before="360" w:after="200"/>
        <w:ind w:left="-5" w:right="10" w:hanging="0"/>
        <w:contextualSpacing/>
        <w:rPr/>
      </w:pPr>
      <w:bookmarkStart w:id="176" w:name="_qfl5qr5bywfn"/>
      <w:bookmarkEnd w:id="176"/>
      <w:r>
        <w:rPr/>
        <w:t>Georgia (2008)</w:t>
      </w:r>
    </w:p>
    <w:p>
      <w:pPr>
        <w:pStyle w:val="Newparagraph"/>
        <w:ind w:hanging="0"/>
        <w:rPr/>
      </w:pPr>
      <w:r>
        <w:rPr/>
        <w:t xml:space="preserve">Georgia was hit by similar DDoS attacks amidst an even more fractious duel of competing narratives in online for a </w:t>
      </w:r>
      <w:r>
        <w:fldChar w:fldCharType="begin"/>
      </w:r>
      <w:r>
        <w:rPr/>
        <w:instrText>ADDIN ZOTERO_ITEM CSL_CITATION {"citationID":"a1tgipt8ccm","properties":{"formattedCitation":"(Deibert, Rohozinski, and Crete-Nishihata 2012)","plainCitation":"(Deibert, Rohozinski, and Crete-Nishihata 2012)","noteIndex":0},"citationItems":[{"id":17771,"uris":["http://zotero.org/users/2506258/items/DZVTTWZ5"],"uri":["http://zotero.org/users/2506258/items/DZVTTWZ5"],"itemData":{"id":17771,"type":"article-journal","title":"Cyclones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w:instrText>
      </w:r>
      <w:r>
        <w:rPr/>
        <w:fldChar w:fldCharType="separate"/>
      </w:r>
      <w:bookmarkStart w:id="177" w:name="__Fieldmark__1004_4284355980"/>
      <w:r>
        <w:rPr/>
        <w:t>(</w:t>
      </w:r>
      <w:bookmarkStart w:id="178" w:name="__Fieldmark__1287_1735709817"/>
      <w:r>
        <w:rPr/>
        <w:t>Deibert, Rohozinski, and Crete-Nishihata 2012)</w:t>
      </w:r>
      <w:r>
        <w:rPr/>
      </w:r>
      <w:r>
        <w:rPr/>
        <w:fldChar w:fldCharType="end"/>
      </w:r>
      <w:bookmarkEnd w:id="177"/>
      <w:bookmarkEnd w:id="178"/>
      <w:r>
        <w:rPr/>
        <w:t xml:space="preserve">. Yet Russia also intervened militarily in South Ossetia and Abkhazia, an early example of cross-domain operations leveraging cyberspace. Russia’s intervention choices in this conflict, situated at the far end of the Western deterrence gradient, were relatively unconstrained. The same month as NATO announced a pathway to membership for Georgia, Russia announced that it would unilaterally increase peacekeepers in Abkhazia.  Russia then used whatever mix of tools it needed to accomplish its objectives and did not pull its punches out of concern for Western counteraction. If anyone was deterred, it was NATO. As Driscoll and Maliniak point out, “because of Georgia’s location and its contested map, it is a security liability from the point of view of many in the West” </w:t>
      </w:r>
      <w:r>
        <w:fldChar w:fldCharType="begin"/>
      </w:r>
      <w:r>
        <w:rPr/>
        <w:instrText>ADDIN ZOTERO_ITEM CSL_CITATION {"citationID":"a2pbqu1iept","properties":{"formattedCitation":"(Driscoll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w:instrText>
      </w:r>
      <w:r>
        <w:rPr/>
        <w:fldChar w:fldCharType="separate"/>
      </w:r>
      <w:bookmarkStart w:id="179" w:name="__Fieldmark__1011_4284355980"/>
      <w:r>
        <w:rPr/>
        <w:t>(</w:t>
      </w:r>
      <w:bookmarkStart w:id="180" w:name="__Fieldmark__1307_1735709817"/>
      <w:r>
        <w:rPr/>
        <w:t>Driscoll and Maliniak 2016)</w:t>
      </w:r>
      <w:r>
        <w:rPr/>
      </w:r>
      <w:r>
        <w:rPr/>
        <w:fldChar w:fldCharType="end"/>
      </w:r>
      <w:bookmarkEnd w:id="179"/>
      <w:bookmarkEnd w:id="180"/>
      <w:r>
        <w:rPr/>
        <w:t xml:space="preserve">.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more forceful Western response would have only escalated the situation since Russia’s actions were chosen through a calculation that its objectives could be accomplished at reasonable cost. </w:t>
      </w:r>
    </w:p>
    <w:p>
      <w:pPr>
        <w:pStyle w:val="Heading3"/>
        <w:spacing w:lineRule="auto" w:line="276" w:before="360" w:after="200"/>
        <w:ind w:left="-15" w:right="10" w:hanging="0"/>
        <w:contextualSpacing/>
        <w:rPr/>
      </w:pPr>
      <w:bookmarkStart w:id="181" w:name="_15u7zsw4j3sl"/>
      <w:bookmarkEnd w:id="181"/>
      <w:r>
        <w:rPr/>
        <w:t>Ukraine (2014)</w:t>
      </w:r>
    </w:p>
    <w:p>
      <w:pPr>
        <w:pStyle w:val="Newparagraph"/>
        <w:ind w:hanging="0"/>
        <w:rPr/>
      </w:pPr>
      <w:r>
        <w:rPr/>
        <w:t xml:space="preserve">Can efficiency calculations alone explain the single-domain response in Estonia versus the multi-domain engagement in Georgia? One might argue that Russia values the stakes differently in each conflict and thus the geographical correlation observed in Table 2 is spurious. Indeed, Russia let Estonia join NATO without a fight in 2004 and merely sought to register a protest vote in 2007 when Tallinn moved a Soviet statue. By contrast, Russia had supported Georgian separatists since the early 1990s and was highly resolved to ward off Western encroachment. The Ukraine case, however, finds this alternative account wanting. The seat of the medieval Kievan Rus empire is more salient in Russian nationalist mythology than Georgia, a peripheral outpost in the Caucuses far from Moscow, and the Black Sea port of Sevastopol also makes Crimea more strategically relevant. If Russian moves were motivated by efficiency rather than deterrence, then we would expect more overt Russian military efforts in Ukraine, as in Georgia. On the contrary, despite Russia’s higher valuation of the stakes in Ukraine, we observe considerable restraint. Despite five years of protracted war—killing nearly ten thousand and displacing millions—so far there has occurred neither large-scale combined arms warfare nor unrestrained ethnic cleansing. Indeed, cumulative civilian deaths plateaued at about 4000 in 2015 </w:t>
      </w:r>
      <w:r>
        <w:fldChar w:fldCharType="begin"/>
      </w:r>
      <w:r>
        <w:rPr/>
        <w:instrText>ADDIN ZOTERO_ITEM CSL_CITATION {"citationID":"apdgqcnrn7","properties":{"formattedCitation":"(Driscoll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rPr/>
        <w:fldChar w:fldCharType="separate"/>
      </w:r>
      <w:bookmarkStart w:id="182" w:name="__Fieldmark__1024_4284355980"/>
      <w:r>
        <w:rPr/>
        <w:t>(</w:t>
      </w:r>
      <w:bookmarkStart w:id="183" w:name="__Fieldmark__1340_1735709817"/>
      <w:r>
        <w:rPr/>
        <w:t>Driscoll and Steinert-Threlkeld 2019)</w:t>
      </w:r>
      <w:r>
        <w:rPr/>
      </w:r>
      <w:r>
        <w:rPr/>
        <w:fldChar w:fldCharType="end"/>
      </w:r>
      <w:bookmarkEnd w:id="182"/>
      <w:bookmarkEnd w:id="183"/>
      <w:r>
        <w:rPr/>
        <w:t>. The fact that the costs of war could be much higher, together with efforts made to allow both sides to save face, is suggestive of Russian motives for restraint.</w:t>
      </w:r>
      <w:r>
        <w:rPr>
          <w:rStyle w:val="FootnoteAnchor"/>
          <w:rStyle w:val="FootnoteAnchor"/>
        </w:rPr>
        <w:footnoteReference w:id="11"/>
      </w:r>
    </w:p>
    <w:p>
      <w:pPr>
        <w:pStyle w:val="Newparagraph"/>
        <w:rPr/>
      </w:pPr>
      <w:r>
        <w:rPr/>
        <w:t xml:space="preserve">Militating against the efficiency explanation, Russia took pains to create a fig leaf of ambiguity about the identity of Russian troops, the presence of Russian heavy weapons, and its role in orchestrating disinformation campaigns. Even though NATO has no formal commitment to Ukraine, conflict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 </w:t>
      </w:r>
      <w:r>
        <w:fldChar w:fldCharType="begin"/>
      </w:r>
      <w:r>
        <w:rPr/>
        <w:instrText>ADDIN ZOTERO_ITEM CSL_CITATION {"citationID":"a2jb2un2dlv","properties":{"formattedCitation":"(Smith-Spark and Masters 2018)","plainCitation":"(Smith-Spark and Masters 2018)","noteIndex":0},"citationItems":[{"id":17869,"uris":["http://zotero.org/users/2506258/items/52LVWS6U"],"uri":["http://zotero.org/users/2506258/items/52LVWS6U"],"itemData":{"id":17869,"type":"article-newspaper","title":"Missile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w:instrText>
      </w:r>
      <w:r>
        <w:rPr/>
        <w:fldChar w:fldCharType="separate"/>
      </w:r>
      <w:bookmarkStart w:id="184" w:name="__Fieldmark__1052_4284355980"/>
      <w:r>
        <w:rPr/>
        <w:t>(</w:t>
      </w:r>
      <w:bookmarkStart w:id="185" w:name="__Fieldmark__1370_1735709817"/>
      <w:r>
        <w:rPr/>
        <w:t>Smith-Spark and Masters 2018)</w:t>
      </w:r>
      <w:r>
        <w:rPr/>
      </w:r>
      <w:r>
        <w:rPr/>
        <w:fldChar w:fldCharType="end"/>
      </w:r>
      <w:bookmarkEnd w:id="184"/>
      <w:bookmarkEnd w:id="185"/>
      <w:r>
        <w:rPr/>
        <w:t xml:space="preserve">. Russia has also not realized significant gain for all of its creative efforts in cyberspace </w:t>
      </w:r>
      <w:r>
        <w:fldChar w:fldCharType="begin"/>
      </w:r>
      <w:r>
        <w:rPr/>
        <w:instrText>ADDIN ZOTERO_ITEM CSL_CITATION {"citationID":"a1s75s5j53e","properties":{"formattedCitation":"(Baezner and Robin 2017)","plainCitation":"(Baezner and Robin 2017)","noteIndex":0},"citationItems":[{"id":17809,"uris":["http://zotero.org/users/2506258/items/SSHJIXR9"],"uri":["http://zotero.org/users/2506258/items/SSHJIXR9"],"itemData":{"id":17809,"type":"report","title":"Cyber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schema":"https://github.com/citation-style-language/schema/raw/master/csl-citation.json"}</w:instrText>
      </w:r>
      <w:r>
        <w:rPr/>
        <w:fldChar w:fldCharType="separate"/>
      </w:r>
      <w:bookmarkStart w:id="186" w:name="__Fieldmark__1059_4284355980"/>
      <w:r>
        <w:rPr/>
        <w:t>(</w:t>
      </w:r>
      <w:bookmarkStart w:id="187" w:name="__Fieldmark__1388_1735709817"/>
      <w:r>
        <w:rPr/>
        <w:t>Baezner and Robin 2017)</w:t>
      </w:r>
      <w:r>
        <w:rPr/>
      </w:r>
      <w:r>
        <w:rPr/>
        <w:fldChar w:fldCharType="end"/>
      </w:r>
      <w:bookmarkEnd w:id="186"/>
      <w:bookmarkEnd w:id="187"/>
      <w:r>
        <w:rPr/>
        <w:t xml:space="preserve">. Endemic Russian cyber-attacks and information operations have had little impact on battlefield events </w:t>
      </w:r>
      <w:r>
        <w:fldChar w:fldCharType="begin"/>
      </w:r>
      <w:r>
        <w:rPr/>
        <w:instrText>ADDIN ZOTERO_ITEM CSL_CITATION {"citationID":"a1na8v95m37","properties":{"formattedCitation":"(Kostyuk and Zhukov 2019)","plainCitation":"(Kostyuk and Zhukov 2019)","noteIndex":0},"citationItems":[{"id":17701,"uris":["http://zotero.org/users/2506258/items/GUGFUQ8X"],"uri":["http://zotero.org/users/2506258/items/GUGFUQ8X"],"itemData":{"id":17701,"type":"article-journal","title":"Invisible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w:instrText>
      </w:r>
      <w:r>
        <w:rPr/>
        <w:fldChar w:fldCharType="separate"/>
      </w:r>
      <w:bookmarkStart w:id="188" w:name="__Fieldmark__1066_4284355980"/>
      <w:r>
        <w:rPr/>
        <w:t>(</w:t>
      </w:r>
      <w:bookmarkStart w:id="189" w:name="__Fieldmark__1398_1735709817"/>
      <w:r>
        <w:rPr/>
        <w:t>Kostyuk and Zhukov 2019)</w:t>
      </w:r>
      <w:r>
        <w:rPr/>
      </w:r>
      <w:r>
        <w:rPr/>
        <w:fldChar w:fldCharType="end"/>
      </w:r>
      <w:bookmarkEnd w:id="188"/>
      <w:bookmarkEnd w:id="189"/>
      <w:r>
        <w:rPr/>
        <w:t xml:space="preserve">. Even as social media manipulation is supposedly a Russian specialty, pro-Kremlin narratives have never really taken hold in Western Ukraine </w:t>
      </w:r>
      <w:r>
        <w:fldChar w:fldCharType="begin"/>
      </w:r>
      <w:r>
        <w:rPr/>
        <w:instrText>ADDIN ZOTERO_ITEM CSL_CITATION {"citationID":"a2ope2d4aog","properties":{"formattedCitation":"(Driscoll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rPr/>
        <w:fldChar w:fldCharType="separate"/>
      </w:r>
      <w:bookmarkStart w:id="190" w:name="__Fieldmark__1073_4284355980"/>
      <w:r>
        <w:rPr/>
        <w:t>(</w:t>
      </w:r>
      <w:bookmarkStart w:id="191" w:name="__Fieldmark__1406_1735709817"/>
      <w:r>
        <w:rPr/>
        <w:t>Driscoll and Steinert-Threlkeld 2019)</w:t>
      </w:r>
      <w:r>
        <w:rPr/>
      </w:r>
      <w:r>
        <w:rPr/>
        <w:fldChar w:fldCharType="end"/>
      </w:r>
      <w:bookmarkEnd w:id="190"/>
      <w:bookmarkEnd w:id="191"/>
      <w:r>
        <w:rPr/>
        <w:t xml:space="preserve">. The cyber domain is especially attractive for a risk-averse opportunist, providing lots of ways to do something without doing too much. As Brantley et. al. points out, the modal diversity of conflict in Ukraine has lacked sufficient intensity to warrant outside intervention </w:t>
      </w:r>
      <w:r>
        <w:fldChar w:fldCharType="begin"/>
      </w:r>
      <w:r>
        <w:rPr/>
        <w:instrText>ADDIN ZOTERO_ITEM CSL_CITATION {"citationID":"a14s0u1os2v","properties":{"formattedCitation":"(Brantly, Cal, and Winkelstein 2017)","plainCitation":"(Brantly, Cal, and Winkelstein 2017)","noteIndex":0},"citationItems":[{"id":16656,"uris":["http://zotero.org/users/2506258/items/BSYDS7NY"],"uri":["http://zotero.org/users/2506258/items/BSYDS7NY"],"itemData":{"id":16656,"type":"report","title":"Defending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w:instrText>
      </w:r>
      <w:r>
        <w:rPr/>
        <w:fldChar w:fldCharType="separate"/>
      </w:r>
      <w:bookmarkStart w:id="192" w:name="__Fieldmark__1080_4284355980"/>
      <w:r>
        <w:rPr/>
        <w:t>(</w:t>
      </w:r>
      <w:bookmarkStart w:id="193" w:name="__Fieldmark__1415_1735709817"/>
      <w:r>
        <w:rPr/>
        <w:t>Brantly, Cal, and Winkelstein 2017)</w:t>
      </w:r>
      <w:r>
        <w:rPr/>
      </w:r>
      <w:r>
        <w:rPr/>
        <w:fldChar w:fldCharType="end"/>
      </w:r>
      <w:bookmarkEnd w:id="192"/>
      <w:bookmarkEnd w:id="193"/>
      <w:r>
        <w:rPr/>
        <w:t xml:space="preserve">. Russia has the ability to impose its will on Ukraine, but it stops short. Russian moves in Ukraine are a second-best option shaped by Western deterrence. </w:t>
      </w:r>
    </w:p>
    <w:p>
      <w:pPr>
        <w:pStyle w:val="Heading3"/>
        <w:rPr/>
      </w:pPr>
      <w:bookmarkStart w:id="194" w:name="_p4w3lxqpnd1i"/>
      <w:bookmarkEnd w:id="194"/>
      <w:r>
        <w:rPr/>
        <w:t>United States (2016)</w:t>
      </w:r>
    </w:p>
    <w:p>
      <w:pPr>
        <w:pStyle w:val="Newparagraph"/>
        <w:ind w:hanging="0"/>
        <w:rPr/>
      </w:pPr>
      <w:r>
        <w:rPr/>
        <w:t xml:space="preserve">A U.S. intelligence community statement released soon after the 2016 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fldChar w:fldCharType="begin"/>
      </w:r>
      <w:r>
        <w:rPr/>
        <w:instrText>ADDIN ZOTERO_ITEM CSL_CITATION {"citationID":"a16gi528tkj","properties":{"formattedCitation":"(Office of the Director of National Intelligence 2017)","plainCitation":"(Office of the Director of National Intelligence 2017)","noteIndex":0},"citationItems":[{"id":17806,"uris":["http://zotero.org/users/2506258/items/VGTRCG7G"],"uri":["http://zotero.org/users/2506258/items/VGTRCG7G"],"itemData":{"id":17806,"type":"report","title":"Assessing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w:instrText>
      </w:r>
      <w:r>
        <w:rPr/>
        <w:fldChar w:fldCharType="separate"/>
      </w:r>
      <w:bookmarkStart w:id="195" w:name="__Fieldmark__1093_4284355980"/>
      <w:r>
        <w:rPr/>
        <w:t>(</w:t>
      </w:r>
      <w:bookmarkStart w:id="196" w:name="__Fieldmark__1431_1735709817"/>
      <w:r>
        <w:rPr/>
        <w:t>Office of the Director of National Intelligence 2017)</w:t>
      </w:r>
      <w:r>
        <w:rPr/>
      </w:r>
      <w:r>
        <w:rPr/>
        <w:fldChar w:fldCharType="end"/>
      </w:r>
      <w:bookmarkEnd w:id="195"/>
      <w:bookmarkEnd w:id="196"/>
      <w:r>
        <w:rPr>
          <w:rStyle w:val="FootnoteCharacters"/>
        </w:rPr>
        <w:t>.</w:t>
      </w:r>
      <w:r>
        <w:rP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can safely assume that the most powerful military in the world will retaliate for armed attacks directly against its vital interests. While the United States had not designated its electoral processes “critical infrastructure” to explicitly signal that cyber interference against them might be proscribed, Russia still had to consider America’s power to retaliate.  Russia sought opportunities to impose costs and seek benefits while minimizing the risk of retaliation, and it found them in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 </w:t>
      </w:r>
      <w:r>
        <w:fldChar w:fldCharType="begin"/>
      </w:r>
      <w:r>
        <w:rPr/>
        <w:instrText>ADDIN ZOTERO_ITEM CSL_CITATION {"citationID":"a86idd1lq4","properties":{"formattedCitation":"(Gelman and Azari 2017)","plainCitation":"(Gelman and Azari 2017)","noteIndex":0},"citationItems":[{"id":"5I7vyisu/qo7Y5tta","uris":["http://zotero.org/users/471208/items/MQ9G4ADX"],"uri":["http://zotero.org/users/471208/items/MQ9G4ADX"],"itemData":{"id":"9jletnYZ/s5E8o6Kh","type":"article-journal","title":"19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w:instrText>
      </w:r>
      <w:r>
        <w:rPr/>
        <w:fldChar w:fldCharType="separate"/>
      </w:r>
      <w:bookmarkStart w:id="197" w:name="__Fieldmark__1101_4284355980"/>
      <w:r>
        <w:rPr/>
        <w:t>(</w:t>
      </w:r>
      <w:bookmarkStart w:id="198" w:name="__Fieldmark__1466_1735709817"/>
      <w:r>
        <w:rPr/>
        <w:t>Gelman and Azari 2017)</w:t>
      </w:r>
      <w:r>
        <w:rPr/>
      </w:r>
      <w:r>
        <w:rPr/>
        <w:fldChar w:fldCharType="end"/>
      </w:r>
      <w:bookmarkEnd w:id="197"/>
      <w:bookmarkEnd w:id="198"/>
      <w:r>
        <w:rPr/>
        <w:t xml:space="preserve">. Russian information operations were a low-cost gamble to influence an overdetermined outcome. </w:t>
      </w:r>
    </w:p>
    <w:p>
      <w:pPr>
        <w:pStyle w:val="Heading2"/>
        <w:spacing w:lineRule="auto" w:line="276" w:before="360" w:after="200"/>
        <w:ind w:left="-15" w:right="10" w:hanging="0"/>
        <w:contextualSpacing/>
        <w:rPr/>
      </w:pPr>
      <w:bookmarkStart w:id="199" w:name="_cs8vg3ebxn8j"/>
      <w:bookmarkEnd w:id="199"/>
      <w:r>
        <w:rPr/>
        <w:t>Discussion</w:t>
      </w:r>
    </w:p>
    <w:p>
      <w:pPr>
        <w:pStyle w:val="Newparagraph"/>
        <w:ind w:hanging="0"/>
        <w:rPr/>
      </w:pPr>
      <w:r>
        <w:rPr/>
        <w:t xml:space="preserve">The overall pattern of recent Russian intervention is largely consistent with our hypothesis that deterrence encourages capable actors to engage in calculated restraint. As the deterrence gradient drops off from West to East, Russia has more freedom to pursue its international objectives. Geography does not determine deterrence, but it is correlated with other factors like military power, NATO membership, and the proximity of interests that shape deterrence credibility. While the degree of Russian interest does vary across these cases, the case of Ukraine demonstrates that Russia is sensitive to deterrence even when its interests are high. Differences in Russian choices also cannot be explained simply as an artefact of more options becoming available over time (i.e., maturation).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it. </w:t>
      </w:r>
    </w:p>
    <w:p>
      <w:pPr>
        <w:pStyle w:val="Heading1"/>
        <w:spacing w:lineRule="auto" w:line="276" w:before="360" w:after="200"/>
        <w:ind w:left="-15" w:right="10" w:hanging="0"/>
        <w:contextualSpacing/>
        <w:rPr/>
      </w:pPr>
      <w:bookmarkStart w:id="200" w:name="_6h0561asae7s"/>
      <w:bookmarkEnd w:id="200"/>
      <w:r>
        <w:rPr/>
        <w:t>Every Silver Lining's Got a Touch of Gray</w:t>
      </w:r>
    </w:p>
    <w:p>
      <w:pPr>
        <w:pStyle w:val="Newparagraph"/>
        <w:ind w:hanging="0"/>
        <w:rPr/>
      </w:pPr>
      <w:r>
        <w:rPr/>
        <w:t>Gray zone conflict occurs when capable actors intentionally limit the intensity or capacity of aggression and refrain from escalation. It differs from other forms of irregular or asymmetric warfare that are also limited because one of the combatants simply lacks the means to escalate. Unlimited war for the guerrilla will be limited war for the state. Gray zone actors, by contrast, exercise calculated restraint out of concern for the potential consequences of aggression. Adversaries who no longer possess monolithic interests will also prefer to compete around the edges rather than openly confront opponents, concerned that the maximization of military power would undermine larger political objectives. Limited conflict, ironically enough, is a symptom of deterrence success. Gray zone conflict, conversely, may be a reflection of weakness more than an expression of strength.</w:t>
      </w:r>
    </w:p>
    <w:p>
      <w:pPr>
        <w:pStyle w:val="Newparagraph"/>
        <w:rPr/>
      </w:pPr>
      <w:r>
        <w:rPr/>
        <w:t xml:space="preserve">Just as there is a gray zone between war and peace, the distinction between effective and ineffective deterrence is also fuzzy. We have introduced the notion of the deterrence gradient, a straightforward extrapolation from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pPr>
        <w:pStyle w:val="Newparagraph"/>
        <w:rPr/>
      </w:pPr>
      <w:r>
        <w:rPr/>
        <w:t xml:space="preserve">We have used the same cases that have raised alarms about the dangers of gray zone conflict—Russian incursions in Georgia and Ukraine and cyber campaigns targeting many other countries—to test our alternative explanation. Deterrence credibility is highest for United States immediate deterrence and lowest in Russia’s Eurasian backyard, with decreasing values for Western NATO members, newer Eastern members, and European non-members. We found that Russia systematically reduces operational intensity along the deterrence 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general-purpose capability that it can use at will to destabilize any Western democracy or undermine any deterrence posture. Rather it acts opportunistically as circumstances enable it to hassle adversaries and their clients without, however, risking a military confrontation that Moscow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(i.e., take the gloves off) when there is little prospect of NATO punishment. </w:t>
      </w:r>
    </w:p>
    <w:p>
      <w:pPr>
        <w:pStyle w:val="Newparagraph"/>
        <w:rPr/>
      </w:pPr>
      <w:r>
        <w:rPr/>
        <w:t xml:space="preserve">This argument has implications for the debate over NATO expansion after the Cold War </w:t>
      </w:r>
      <w:r>
        <w:fldChar w:fldCharType="begin"/>
      </w:r>
      <w:r>
        <w:rPr/>
        <w:instrText>ADDIN ZOTERO_ITEM CSL_CITATION {"citationID":"a2nhj5oke5a","properties":{"formattedCitation":"(Shifrinson 2016)","plainCitation":"(Shifrinson 2016)","noteIndex":0},"citationItems":[{"id":28138,"uris":["http://zotero.org/users/2506258/items/94N62MV7"],"uri":["http://zotero.org/users/2506258/items/94N62MV7"],"itemData":{"id":28138,"type":"article-journal","title":"Deal or No Deal? The End of the Cold War and the U.S. Offer to Limit NATO Expansion","container-title":"International Security","page":"7-44","volume":"40","issue":"4","source":"DOI.org (Crossref)","DOI":"10.1162/ISEC_a_00236","ISSN":"0162-2889, 1531-4804","title-short":"Deal or No Deal?","journalAbbreviation":"International Security","language":"en","author":[{"family":"Shifrinson","given":"Joshua R. Itzkowitz"}],"issued":{"date-parts":[["2016",4]]}}}],"schema":"https://github.com/citation-style-language/schema/raw/master/csl-citation.json"}</w:instrText>
      </w:r>
      <w:r>
        <w:rPr/>
        <w:fldChar w:fldCharType="separate"/>
      </w:r>
      <w:bookmarkStart w:id="201" w:name="__Fieldmark__1122_4284355980"/>
      <w:r>
        <w:rPr/>
        <w:t>(</w:t>
      </w:r>
      <w:bookmarkStart w:id="202" w:name="__Fieldmark__1546_1735709817"/>
      <w:r>
        <w:rPr/>
        <w:t>Shifrinson 2016)</w:t>
      </w:r>
      <w:r>
        <w:rPr/>
      </w:r>
      <w:r>
        <w:rPr/>
        <w:fldChar w:fldCharType="end"/>
      </w:r>
      <w:bookmarkEnd w:id="201"/>
      <w:bookmarkEnd w:id="202"/>
      <w:r>
        <w:rPr/>
        <w:t xml:space="preserve">. When expansion is posed in starkly binary terms, expansion is seen as either a stabilizing force for Europe in the face of Russian recidivism or an irresponsible provocation of legitimate Russian security interests fuelled by liberal delusions </w:t>
      </w:r>
      <w:r>
        <w:fldChar w:fldCharType="begin"/>
      </w:r>
      <w:r>
        <w:rPr/>
        <w:instrText>ADDIN ZOTERO_ITEM CSL_CITATION {"citationID":"a15lci2vnr1","properties":{"formattedCitation":"(McFaul, Sestanovich, and Mearsheimer 2014; Mearsheimer 2014)","plainCitation":"(McFaul, Sestanovich, and Mearsheimer 2014; Mearsheimer 2014)","noteIndex":0},"citationItems":[{"id":"5I7vyisu/7aGlp2mZ","uris":["http://zotero.org/users/471208/items/PKWKNPG3"],"uri":["http://zotero.org/users/471208/items/PKWKNPG3"],"itemData":{"id":"XB4YeRPs/2wKR2unb","type":"article-magazine","title":"Faulty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5I7vyisu/GnRvI7Uu","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w:instrText>
      </w:r>
      <w:r>
        <w:rPr/>
        <w:fldChar w:fldCharType="separate"/>
      </w:r>
      <w:bookmarkStart w:id="203" w:name="__Fieldmark__1129_4284355980"/>
      <w:r>
        <w:rPr/>
        <w:t>(</w:t>
      </w:r>
      <w:bookmarkStart w:id="204" w:name="__Fieldmark__1556_1735709817"/>
      <w:r>
        <w:rPr/>
        <w:t>McFaul, Sestanovich, and Mearsheimer 2014; Mearsheimer 2014)</w:t>
      </w:r>
      <w:r>
        <w:rPr/>
      </w:r>
      <w:r>
        <w:rPr/>
        <w:fldChar w:fldCharType="end"/>
      </w:r>
      <w:bookmarkEnd w:id="203"/>
      <w:bookmarkEnd w:id="204"/>
      <w:r>
        <w:rPr/>
        <w:t>.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 After the fall of the Soviet Union and during a period of military and economic weakness, moreover, Russia was grudgingly willing to accept a downward revision of its European influence. One might also debate whether later rounds which brought in Baltic and Balkan countries made sense in whole or part. This is not the place to debate this history. We merely wish to point out that the alternative perspectives of NATO provocation and Russian aggression are better conceived as context specific variables rather than absolute qualities of either actor. The right question is not whether NATO should have expanded, but how far.</w:t>
      </w:r>
    </w:p>
    <w:p>
      <w:pPr>
        <w:pStyle w:val="Newparagraph"/>
        <w:rPr/>
      </w:pPr>
      <w:r>
        <w:rP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pPr>
        <w:pStyle w:val="Newparagraph"/>
        <w:rPr/>
      </w:pPr>
      <w:r>
        <w:rP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pPr>
        <w:pStyle w:val="Newparagraph"/>
        <w:rPr/>
      </w:pPr>
      <w:r>
        <w:rPr/>
        <w:t xml:space="preserve">While Russian cyberattacks the focus of our empirical analysis, the theory should apply more broadly to all cases of gray zone conflict. Chinese incursions in the South China Sea offer another potential test. China’s use of “little blue men” suggests that Chinese opportunism and restraint are both enabling and constraining its foreign policy. That is, Beijing appears to fear that the use of more intense military operations risks provoking a Western response that both sides hope to avoid </w:t>
      </w:r>
      <w:r>
        <w:fldChar w:fldCharType="begin"/>
      </w:r>
      <w:r>
        <w:rPr/>
        <w:instrText>ADDIN ZOTERO_ITEM CSL_CITATION {"citationID":"a28p5lovodh","properties":{"formattedCitation":"(Zhang 2019)","plainCitation":"(Zhang 2019)","noteIndex":0},"citationItems":[{"id":28092,"uris":["http://zotero.org/users/2506258/items/W3I74MS6"],"uri":["http://zotero.org/users/2506258/items/W3I74MS6"],"itemData":{"id":28092,"type":"article-journal","title":"Cautious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w:instrText>
      </w:r>
      <w:r>
        <w:rPr/>
        <w:fldChar w:fldCharType="separate"/>
      </w:r>
      <w:bookmarkStart w:id="205" w:name="__Fieldmark__1140_4284355980"/>
      <w:r>
        <w:rPr/>
        <w:t>(</w:t>
      </w:r>
      <w:bookmarkStart w:id="206" w:name="__Fieldmark__1580_1735709817"/>
      <w:r>
        <w:rPr/>
        <w:t>Zhang 2019)</w:t>
      </w:r>
      <w:r>
        <w:rPr/>
      </w:r>
      <w:r>
        <w:rPr/>
        <w:fldChar w:fldCharType="end"/>
      </w:r>
      <w:bookmarkEnd w:id="205"/>
      <w:bookmarkEnd w:id="206"/>
      <w:r>
        <w:rPr/>
        <w:t xml:space="preserve">.  Focusing on the credibility of deterrence rather than the novelty of means used for gray-zone conflict can also help to evaluate proper policy responses </w:t>
      </w:r>
      <w:r>
        <w:fldChar w:fldCharType="begin"/>
      </w:r>
      <w:r>
        <w:rPr/>
        <w:instrText>ADDIN ZOTERO_ITEM CSL_CITATION {"citationID":"arqeuboss3","properties":{"formattedCitation":"(Green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w:instrText>
      </w:r>
      <w:r>
        <w:rPr/>
        <w:fldChar w:fldCharType="separate"/>
      </w:r>
      <w:bookmarkStart w:id="207" w:name="__Fieldmark__1147_4284355980"/>
      <w:r>
        <w:rPr/>
        <w:t>(</w:t>
      </w:r>
      <w:bookmarkStart w:id="208" w:name="__Fieldmark__1590_1735709817"/>
      <w:r>
        <w:rPr/>
        <w:t>Green et al. 2017)</w:t>
      </w:r>
      <w:r>
        <w:rPr/>
      </w:r>
      <w:r>
        <w:rPr/>
        <w:fldChar w:fldCharType="end"/>
      </w:r>
      <w:bookmarkEnd w:id="207"/>
      <w:bookmarkEnd w:id="208"/>
      <w:r>
        <w:rPr/>
        <w:t xml:space="preserve">. Confronted with gray zone provocations by capable actors like Russia, China, and Iran, the United States would be well advised to reinforce its strengths while avoiding overextension. </w:t>
      </w:r>
    </w:p>
    <w:p>
      <w:pPr>
        <w:pStyle w:val="Normal"/>
        <w:spacing w:lineRule="auto" w:line="240"/>
        <w:rPr/>
      </w:pPr>
      <w:r>
        <w:rPr/>
      </w:r>
      <w:r>
        <w:br w:type="page"/>
      </w:r>
    </w:p>
    <w:p>
      <w:pPr>
        <w:pStyle w:val="Heading1"/>
        <w:rPr/>
      </w:pPr>
      <w:r>
        <w:rPr/>
        <w:t>References</w:t>
      </w:r>
    </w:p>
    <w:p>
      <w:pPr>
        <w:pStyle w:val="Bibliography"/>
        <w:rPr/>
      </w:pPr>
      <w:r>
        <w:fldChar w:fldCharType="begin"/>
      </w:r>
      <w:r>
        <w:rPr/>
        <w:instrText>ADDIN ZOTERO_BIBL {"uncited":[],"omitted":[],"custom":[]} CSL_BIBLIOGRAPHY</w:instrText>
      </w:r>
      <w:r>
        <w:rPr/>
        <w:fldChar w:fldCharType="separate"/>
      </w:r>
      <w:bookmarkStart w:id="209" w:name="__Fieldmark__1156_4284355980"/>
      <w:r>
        <w:rPr/>
        <w:t>A</w:t>
      </w:r>
      <w:bookmarkStart w:id="210" w:name="__Fieldmark__1602_1735709817"/>
      <w:r>
        <w:rPr/>
        <w:t xml:space="preserve">ltman, Dan. 2018. “Advancing without Attacking: The Strategic Game around the Use of Force.” </w:t>
      </w:r>
      <w:r>
        <w:rPr>
          <w:i/>
          <w:iCs/>
        </w:rPr>
        <w:t>Security Studies</w:t>
      </w:r>
      <w:r>
        <w:rPr/>
        <w:t xml:space="preserve"> 27 (1): 58–88. https://doi.org/10.1080/09636412.2017.1360074.</w:t>
      </w:r>
      <w:r>
        <w:rPr/>
      </w:r>
      <w:r>
        <w:rPr/>
        <w:fldChar w:fldCharType="end"/>
      </w:r>
      <w:bookmarkEnd w:id="209"/>
      <w:bookmarkEnd w:id="210"/>
    </w:p>
    <w:p>
      <w:pPr>
        <w:pStyle w:val="Bibliography"/>
        <w:rPr/>
      </w:pPr>
      <w:r>
        <w:rPr/>
        <w:t>Angevine, Robert, Warden, John K., Russell Keller, and Clark Frye. 2019. “Learning Lessons from the Ukraine Conflict.” NS D-10367. Institute for Defense Analyses.</w:t>
      </w:r>
    </w:p>
    <w:p>
      <w:pPr>
        <w:pStyle w:val="Bibliography"/>
        <w:rPr/>
      </w:pPr>
      <w:r>
        <w:rPr/>
        <w:t>Baezner, Marie, and Patrice Robin. 2017. “Cyber and Information Warfare in the Ukrainian Conflict.” Report. ETH Zurich. https://doi.org/10.3929/ethz-b-000169634.</w:t>
      </w:r>
    </w:p>
    <w:p>
      <w:pPr>
        <w:pStyle w:val="Bibliography"/>
        <w:rPr/>
      </w:pPr>
      <w:r>
        <w:rPr/>
        <w:t xml:space="preserve">Bak, Daehee. 2018. “Alliance Proximity and Effectiveness of Extended Deterrence.” </w:t>
      </w:r>
      <w:r>
        <w:rPr>
          <w:i/>
          <w:iCs/>
        </w:rPr>
        <w:t>International Interactions</w:t>
      </w:r>
      <w:r>
        <w:rPr/>
        <w:t xml:space="preserve"> 44 (1): 107–31. https://doi.org/10.1080/03050629.2017.1320995.</w:t>
      </w:r>
    </w:p>
    <w:p>
      <w:pPr>
        <w:pStyle w:val="Bibliography"/>
        <w:rPr/>
      </w:pPr>
      <w:r>
        <w:rPr/>
        <w:t xml:space="preserve">Bennett, Andrew, and Colin Elman. 2007. “Case Study Methods in the International Relations Subfield.” </w:t>
      </w:r>
      <w:r>
        <w:rPr>
          <w:i/>
          <w:iCs/>
        </w:rPr>
        <w:t>Comparative Political Studies</w:t>
      </w:r>
      <w:r>
        <w:rPr/>
        <w:t xml:space="preserve"> 40 (2): 170–95. https://doi.org/10.1177/0010414006296346.</w:t>
      </w:r>
    </w:p>
    <w:p>
      <w:pPr>
        <w:pStyle w:val="Bibliography"/>
        <w:rPr/>
      </w:pPr>
      <w:r>
        <w:rPr/>
        <w:t xml:space="preserve">Borghard, Erica, and Shawn Lonergan. 2017. “The Logic of Coercion in Cyberspace.” </w:t>
      </w:r>
      <w:r>
        <w:rPr>
          <w:i/>
          <w:iCs/>
        </w:rPr>
        <w:t>Security Studies</w:t>
      </w:r>
      <w:r>
        <w:rPr/>
        <w:t xml:space="preserve"> 26 (3): 452–81. https://doi.org/10.1080/09636412.2017.1306396.</w:t>
      </w:r>
    </w:p>
    <w:p>
      <w:pPr>
        <w:pStyle w:val="Bibliography"/>
        <w:rPr/>
      </w:pPr>
      <w:r>
        <w:rPr/>
        <w:t xml:space="preserve">Boulding, Kenneth. 1962. </w:t>
      </w:r>
      <w:r>
        <w:rPr>
          <w:i/>
          <w:iCs/>
        </w:rPr>
        <w:t>Conflict and Defense: A General Theory</w:t>
      </w:r>
      <w:r>
        <w:rPr/>
        <w:t>. New York: Harper.</w:t>
      </w:r>
    </w:p>
    <w:p>
      <w:pPr>
        <w:pStyle w:val="Bibliography"/>
        <w:rPr/>
      </w:pPr>
      <w:r>
        <w:rPr/>
        <w:t>Bragg, Belinda. 2017. “Integration Report: Gray Zone Conflicts, Challenges, and Opportunities.” Strategic Multi-Layer Assessment (SMA). Arlington, VA. http://nsiteam.com/social/wp-content/uploads/2017/07/Integration-Report-Final-07-13-2017-R.pdf.</w:t>
      </w:r>
    </w:p>
    <w:p>
      <w:pPr>
        <w:pStyle w:val="Bibliography"/>
        <w:rPr/>
      </w:pPr>
      <w:r>
        <w:rPr/>
        <w:t>Brantly, Aaron, Nerea Cal, and Devlin Winkelstein. 2017. “Defending the Borderland: Ukrainian Military Experiences with IO, Cyber, and EW.” Report. Army Cyber Institute. https://vtechworks.lib.vt.edu/handle/10919/81979.</w:t>
      </w:r>
    </w:p>
    <w:p>
      <w:pPr>
        <w:pStyle w:val="Bibliography"/>
        <w:rPr/>
      </w:pPr>
      <w:r>
        <w:rPr/>
        <w:t xml:space="preserve">Brodie, Bernard. 1957. “More About Limited War.” </w:t>
      </w:r>
      <w:r>
        <w:rPr>
          <w:i/>
          <w:iCs/>
        </w:rPr>
        <w:t>World Politics</w:t>
      </w:r>
      <w:r>
        <w:rPr/>
        <w:t xml:space="preserve"> 10 (1): 112–22. https://doi.org/10.2307/2009228.</w:t>
      </w:r>
    </w:p>
    <w:p>
      <w:pPr>
        <w:pStyle w:val="Bibliography"/>
        <w:rPr/>
      </w:pPr>
      <w:r>
        <w:rPr/>
        <w:t xml:space="preserve">Brooks, Risa. 2008. </w:t>
      </w:r>
      <w:r>
        <w:rPr>
          <w:i/>
          <w:iCs/>
        </w:rPr>
        <w:t>Shaping Strategy: The Civil-Military Politics of Strategic Assessment</w:t>
      </w:r>
      <w:r>
        <w:rPr/>
        <w:t>. Princeton, NJ: Princeton University Press.</w:t>
      </w:r>
    </w:p>
    <w:p>
      <w:pPr>
        <w:pStyle w:val="Bibliography"/>
        <w:rPr/>
      </w:pPr>
      <w:r>
        <w:rPr/>
        <w:t xml:space="preserve">Carson, Austin. 2016. “Facing Off and Saving Face: Covert Intervention and Escalation Management in the Korean War.” </w:t>
      </w:r>
      <w:r>
        <w:rPr>
          <w:i/>
          <w:iCs/>
        </w:rPr>
        <w:t>International Organization</w:t>
      </w:r>
      <w:r>
        <w:rPr/>
        <w:t xml:space="preserve"> 70 (1): 103–31. https://doi.org/10.1017/S0020818315000284.</w:t>
      </w:r>
    </w:p>
    <w:p>
      <w:pPr>
        <w:pStyle w:val="Bibliography"/>
        <w:rPr/>
      </w:pPr>
      <w:r>
        <w:rPr/>
        <w:t>———</w:t>
      </w:r>
      <w:r>
        <w:rPr/>
        <w:t xml:space="preserve">. 2018. </w:t>
      </w:r>
      <w:r>
        <w:rPr>
          <w:i/>
          <w:iCs/>
        </w:rPr>
        <w:t>Secret Wars: Covert Conflict in International Politics</w:t>
      </w:r>
      <w:r>
        <w:rPr/>
        <w:t>. Princeton Studies in International History and Politics. Princeton, NJ: Princeton University Press.</w:t>
      </w:r>
    </w:p>
    <w:p>
      <w:pPr>
        <w:pStyle w:val="Bibliography"/>
        <w:rPr/>
      </w:pPr>
      <w:r>
        <w:rPr/>
        <w:t xml:space="preserve">Carver, Michael. 1986. “Conventional Warfare in the Nuclear Age.” In </w:t>
      </w:r>
      <w:r>
        <w:rPr>
          <w:i/>
          <w:iCs/>
        </w:rPr>
        <w:t>Makers of Modern Strategy from Machiavelli to the Nuclear Age.</w:t>
      </w:r>
      <w:r>
        <w:rPr/>
        <w:t>, edited by Peter Paret, Gordon Craig, and Felix Gilbert, 779–814. New Jersey: Princeton University Press.</w:t>
      </w:r>
    </w:p>
    <w:p>
      <w:pPr>
        <w:pStyle w:val="Bibliography"/>
        <w:rPr/>
      </w:pPr>
      <w:r>
        <w:rPr/>
        <w:t>Casey, Adam, and Lucan Ahmad Way. 2017. “Russian Electoral Interventions, 1991-2017.” Scholars Portal Dataverse. https://doi.org/10.5683/SP/BYRQQS.</w:t>
      </w:r>
    </w:p>
    <w:p>
      <w:pPr>
        <w:pStyle w:val="Bibliography"/>
        <w:rPr/>
      </w:pPr>
      <w:r>
        <w:rPr/>
        <w:t xml:space="preserve">Chivvis, Christopher. 2017. “Hybrid War: Russian Contemporary Political Warfare.” </w:t>
      </w:r>
      <w:r>
        <w:rPr>
          <w:i/>
          <w:iCs/>
        </w:rPr>
        <w:t>Bulletin of the Atomic Scientists</w:t>
      </w:r>
      <w:r>
        <w:rPr/>
        <w:t xml:space="preserve"> 73 (5): 316–21. https://doi.org/10.1080/00963402.2017.1362903.</w:t>
      </w:r>
    </w:p>
    <w:p>
      <w:pPr>
        <w:pStyle w:val="Bibliography"/>
        <w:rPr/>
      </w:pPr>
      <w:r>
        <w:rPr/>
        <w:t xml:space="preserve">Christensen, Thomas J., and Jack Snyder. 1990. “Chain Gangs and Passed Bucks: Predicting Alliance Patterns in Multipolarity.” </w:t>
      </w:r>
      <w:r>
        <w:rPr>
          <w:i/>
          <w:iCs/>
        </w:rPr>
        <w:t>International Organization</w:t>
      </w:r>
      <w:r>
        <w:rPr/>
        <w:t xml:space="preserve"> 44 (02): 137–168. https://doi.org/10.1017/S0020818300035232.</w:t>
      </w:r>
    </w:p>
    <w:p>
      <w:pPr>
        <w:pStyle w:val="Bibliography"/>
        <w:rPr/>
      </w:pPr>
      <w:r>
        <w:rPr/>
        <w:t xml:space="preserve">Corbett, Julian. 1911. </w:t>
      </w:r>
      <w:r>
        <w:rPr>
          <w:i/>
          <w:iCs/>
        </w:rPr>
        <w:t>Some Principles of Maritime Strategy</w:t>
      </w:r>
      <w:r>
        <w:rPr/>
        <w:t>. Longmans, Green and Co.</w:t>
      </w:r>
    </w:p>
    <w:p>
      <w:pPr>
        <w:pStyle w:val="Bibliography"/>
        <w:rPr/>
      </w:pPr>
      <w:r>
        <w:rPr/>
        <w:t xml:space="preserve">Danilovic, Vesna. 2001. “The Sources of Threat Credibility in Extended Deterrence.” </w:t>
      </w:r>
      <w:r>
        <w:rPr>
          <w:i/>
          <w:iCs/>
        </w:rPr>
        <w:t>Journal of Conflict Resolution</w:t>
      </w:r>
      <w:r>
        <w:rPr/>
        <w:t xml:space="preserve"> 45 (3): 341–69. https://doi.org/10.1177/0022002701045003005.</w:t>
      </w:r>
    </w:p>
    <w:p>
      <w:pPr>
        <w:pStyle w:val="Bibliography"/>
        <w:rPr/>
      </w:pPr>
      <w:r>
        <w:rPr/>
        <w:t xml:space="preserve">Deibert, Ronald, Rafal Rohozinski, and Masashi Crete-Nishihata. 2012. “Cyclones in Cyberspace: Information Shaping and Denial in the 2008 Russia–Georgia War.” </w:t>
      </w:r>
      <w:r>
        <w:rPr>
          <w:i/>
          <w:iCs/>
        </w:rPr>
        <w:t>Security Dialogue</w:t>
      </w:r>
      <w:r>
        <w:rPr/>
        <w:t xml:space="preserve"> 43 (1): 3–24. https://doi.org/10.1177/0967010611431079.</w:t>
      </w:r>
    </w:p>
    <w:p>
      <w:pPr>
        <w:pStyle w:val="Bibliography"/>
        <w:rPr/>
      </w:pPr>
      <w:r>
        <w:rPr/>
        <w:t xml:space="preserve">Driscoll, Jesse, and Daniel Maliniak. 2016. “With Friends Like These: Brinkmanship and Chain-Ganging in Russia’s Near Abroad.” </w:t>
      </w:r>
      <w:r>
        <w:rPr>
          <w:i/>
          <w:iCs/>
        </w:rPr>
        <w:t>Security Studies</w:t>
      </w:r>
      <w:r>
        <w:rPr/>
        <w:t xml:space="preserve"> 25 (4): 585–607. https://doi.org/10.1080/09636412.2016.1220208.</w:t>
      </w:r>
    </w:p>
    <w:p>
      <w:pPr>
        <w:pStyle w:val="Bibliography"/>
        <w:rPr/>
      </w:pPr>
      <w:r>
        <w:rPr/>
        <w:t>Driscoll, Jesse, and Zachary Steinert-Threlkeld. 2019. “Social Media and Russian Territorial Irredentism: Some Facts and a Conjecture.” Working Paper.</w:t>
      </w:r>
    </w:p>
    <w:p>
      <w:pPr>
        <w:pStyle w:val="Bibliography"/>
        <w:rPr/>
      </w:pPr>
      <w:r>
        <w:rPr/>
        <w:t>Dunford, Joseph. 2016. “Gen. Dunford’s Remarks and Q&amp;A.” Center for Strategic and International Studies, March 29. http://www.jcs.mil/Media/Speeches/Article/707418/gen-dunfords-remarks-and-qa-at-the-center-for-strategic-and-international-studi/.</w:t>
      </w:r>
    </w:p>
    <w:p>
      <w:pPr>
        <w:pStyle w:val="Bibliography"/>
        <w:rPr/>
      </w:pPr>
      <w:r>
        <w:rPr/>
        <w:t>Fallon, Michael. 2017. “Speech Delivered by Secretary of State for Defence Sir Michael Fallon at the RUSI Landwarfare Conference.” Speech presented at the RUSI Landwarfare Conference, June 28. https://www.gov.uk/government/speeches/rusi-landwarfare-conference.</w:t>
      </w:r>
    </w:p>
    <w:p>
      <w:pPr>
        <w:pStyle w:val="Bibliography"/>
        <w:rPr/>
      </w:pPr>
      <w:r>
        <w:rPr/>
        <w:t xml:space="preserve">Galula, David. 1964. </w:t>
      </w:r>
      <w:r>
        <w:rPr>
          <w:i/>
          <w:iCs/>
        </w:rPr>
        <w:t>Counterinsurgency Warfare: Theory and Practice</w:t>
      </w:r>
      <w:r>
        <w:rPr/>
        <w:t>. Hailer Publishing.</w:t>
      </w:r>
    </w:p>
    <w:p>
      <w:pPr>
        <w:pStyle w:val="Bibliography"/>
        <w:rPr/>
      </w:pPr>
      <w:r>
        <w:rPr/>
        <w:t xml:space="preserve">Ganguly, Sumit. 1995. “Indo‐Pakistani Nuclear Issues and the Stability/Instability Paradox.” </w:t>
      </w:r>
      <w:r>
        <w:rPr>
          <w:i/>
          <w:iCs/>
        </w:rPr>
        <w:t>Studies in Conflict &amp; Terrorism</w:t>
      </w:r>
      <w:r>
        <w:rPr/>
        <w:t xml:space="preserve"> 18 (4): 325–34. https://doi.org/10.1080/10576109508435989.</w:t>
      </w:r>
    </w:p>
    <w:p>
      <w:pPr>
        <w:pStyle w:val="Bibliography"/>
        <w:rPr/>
      </w:pPr>
      <w:r>
        <w:rPr/>
        <w:t xml:space="preserve">Gartzke, Erik, and Jon R. Lindsay. 2015. “Weaving Tangled Webs: Offense, Defense, and Deception in Cyberspace.” </w:t>
      </w:r>
      <w:r>
        <w:rPr>
          <w:i/>
          <w:iCs/>
        </w:rPr>
        <w:t>Security Studies</w:t>
      </w:r>
      <w:r>
        <w:rPr/>
        <w:t xml:space="preserve"> 24 (2): 316–48. https://doi.org/10.1080/09636412.2015.1038188.</w:t>
      </w:r>
    </w:p>
    <w:p>
      <w:pPr>
        <w:pStyle w:val="Bibliography"/>
        <w:rPr/>
      </w:pPr>
      <w:r>
        <w:rPr/>
        <w:t xml:space="preserve">Gelman, Andrew, and Julia Azari. 2017. “19 Things We Learned from the 2016 Election.” </w:t>
      </w:r>
      <w:r>
        <w:rPr>
          <w:i/>
          <w:iCs/>
        </w:rPr>
        <w:t>Statistics and Public Policy</w:t>
      </w:r>
      <w:r>
        <w:rPr/>
        <w:t xml:space="preserve"> 4 (1): 1–10. https://doi.org/10.1080/2330443X.2017.1356775.</w:t>
      </w:r>
    </w:p>
    <w:p>
      <w:pPr>
        <w:pStyle w:val="Bibliography"/>
        <w:rPr/>
      </w:pPr>
      <w:r>
        <w:rPr/>
        <w:t xml:space="preserve">George, Alexander, and Richard Smoke. 1989. “Deterrence and Foreign Policy.” </w:t>
      </w:r>
      <w:r>
        <w:rPr>
          <w:i/>
          <w:iCs/>
        </w:rPr>
        <w:t>World Politics</w:t>
      </w:r>
      <w:r>
        <w:rPr/>
        <w:t xml:space="preserve"> 41 (2): 170–82. https://doi.org/10.2307/2010406.</w:t>
      </w:r>
    </w:p>
    <w:p>
      <w:pPr>
        <w:pStyle w:val="Bibliography"/>
        <w:rPr/>
      </w:pPr>
      <w:r>
        <w:rPr/>
        <w:t xml:space="preserve">George, Justin, and Todd Sandler. 2018. “Demand for Military Spending in NATO, 1968–2015: A Spatial Panel Approach.” </w:t>
      </w:r>
      <w:r>
        <w:rPr>
          <w:i/>
          <w:iCs/>
        </w:rPr>
        <w:t>European Journal of Political Economy</w:t>
      </w:r>
      <w:r>
        <w:rPr/>
        <w:t xml:space="preserve"> 53 (July): 222–36. https://doi.org/10.1016/j.ejpoleco.2017.09.002.</w:t>
      </w:r>
    </w:p>
    <w:p>
      <w:pPr>
        <w:pStyle w:val="Bibliography"/>
        <w:rPr/>
      </w:pPr>
      <w:r>
        <w:rPr/>
        <w:t xml:space="preserve">Goldsmith, Jack, and Tim Wu. 2006. </w:t>
      </w:r>
      <w:r>
        <w:rPr>
          <w:i/>
          <w:iCs/>
        </w:rPr>
        <w:t>Who Controls the Internet?: Illusions of a Borderless World</w:t>
      </w:r>
      <w:r>
        <w:rPr/>
        <w:t>. Oxford University Press.</w:t>
      </w:r>
    </w:p>
    <w:p>
      <w:pPr>
        <w:pStyle w:val="Bibliography"/>
        <w:rPr/>
      </w:pPr>
      <w:r>
        <w:rPr/>
        <w:t xml:space="preserve">Gordon, Michael R., and Bernard E. Trainor. 2007. </w:t>
      </w:r>
      <w:r>
        <w:rPr>
          <w:i/>
          <w:iCs/>
        </w:rPr>
        <w:t>Cobra II: The Inside Story of the Invasion And Occupation of Iraq</w:t>
      </w:r>
      <w:r>
        <w:rPr/>
        <w:t>. New York: Vintage Books.</w:t>
      </w:r>
    </w:p>
    <w:p>
      <w:pPr>
        <w:pStyle w:val="Bibliography"/>
        <w:rPr/>
      </w:pPr>
      <w:r>
        <w:rPr/>
        <w:t xml:space="preserve">Götz, Elias. 2017. “Putin, the State, and War: The Causes of Russia’s Near Abroad Assertion Revisited.” </w:t>
      </w:r>
      <w:r>
        <w:rPr>
          <w:i/>
          <w:iCs/>
        </w:rPr>
        <w:t>International Studies Review</w:t>
      </w:r>
      <w:r>
        <w:rPr/>
        <w:t xml:space="preserve"> 19 (2): 228–53. https://doi.org/10.1093/isr/viw009.</w:t>
      </w:r>
    </w:p>
    <w:p>
      <w:pPr>
        <w:pStyle w:val="Bibliography"/>
        <w:rPr/>
      </w:pPr>
      <w:r>
        <w:rPr/>
        <w:t xml:space="preserve">Green, Michael, Kathleen Hicks, Zack Cooper, John Schaus, and Jake Douglas. 2017. </w:t>
      </w:r>
      <w:r>
        <w:rPr>
          <w:i/>
          <w:iCs/>
        </w:rPr>
        <w:t>Countering Coercion in Maritime Asia: The Theory and Practice of Gray Zone Deterrence</w:t>
      </w:r>
      <w:r>
        <w:rPr/>
        <w:t>. Rowman &amp; Littlefield.</w:t>
      </w:r>
    </w:p>
    <w:p>
      <w:pPr>
        <w:pStyle w:val="Bibliography"/>
        <w:rPr/>
      </w:pPr>
      <w:r>
        <w:rPr/>
        <w:t xml:space="preserve">Hammond, Grant T. 1990. “Low Intensity Conflict: War by Another Name.” </w:t>
      </w:r>
      <w:r>
        <w:rPr>
          <w:i/>
          <w:iCs/>
        </w:rPr>
        <w:t>Small Wars &amp; Insurgencies</w:t>
      </w:r>
      <w:r>
        <w:rPr/>
        <w:t xml:space="preserve"> 1 (3): 226–38. https://doi.org/10.1080/09592319008422957.</w:t>
      </w:r>
    </w:p>
    <w:p>
      <w:pPr>
        <w:pStyle w:val="Bibliography"/>
        <w:rPr/>
      </w:pPr>
      <w:r>
        <w:rPr/>
        <w:t xml:space="preserve">Hart, Sir Basil Henry Liddell. 1954. </w:t>
      </w:r>
      <w:r>
        <w:rPr>
          <w:i/>
          <w:iCs/>
        </w:rPr>
        <w:t>Strategy: The Indirect Approach</w:t>
      </w:r>
      <w:r>
        <w:rPr/>
        <w:t>. Faber &amp; Faber.</w:t>
      </w:r>
    </w:p>
    <w:p>
      <w:pPr>
        <w:pStyle w:val="Bibliography"/>
        <w:rPr/>
      </w:pPr>
      <w:r>
        <w:rPr/>
        <w:t xml:space="preserve">Hazelton, Jacqueline. 2017. “The ‘Hearts and Minds’ Fallacy: Violence, Coercion, and Success in Counterinsurgency Warfare.” </w:t>
      </w:r>
      <w:r>
        <w:rPr>
          <w:i/>
          <w:iCs/>
        </w:rPr>
        <w:t>International Security</w:t>
      </w:r>
      <w:r>
        <w:rPr/>
        <w:t xml:space="preserve"> 42 (1): 80–113. https://doi.org/10.1162/ISEC_a_00283.</w:t>
      </w:r>
    </w:p>
    <w:p>
      <w:pPr>
        <w:pStyle w:val="Bibliography"/>
        <w:rPr/>
      </w:pPr>
      <w:r>
        <w:rPr/>
        <w:t xml:space="preserve">Jensen, Benjamin, Brandon Valeriano, and Ryan Maness. 2019. “Fancy Bears and Digital Trolls: Cyber Strategy with a Russian Twist.” </w:t>
      </w:r>
      <w:r>
        <w:rPr>
          <w:i/>
          <w:iCs/>
        </w:rPr>
        <w:t>Journal of Strategic Studies</w:t>
      </w:r>
      <w:r>
        <w:rPr/>
        <w:t xml:space="preserve"> 42 (2): 212–34. https://doi.org/10.1080/01402390.2018.1559152.</w:t>
      </w:r>
    </w:p>
    <w:p>
      <w:pPr>
        <w:pStyle w:val="Bibliography"/>
        <w:rPr/>
      </w:pPr>
      <w:r>
        <w:rPr/>
        <w:t xml:space="preserve">Jervis, Robert. 1978. “Cooperation Under the Security Dilemma.” </w:t>
      </w:r>
      <w:r>
        <w:rPr>
          <w:i/>
          <w:iCs/>
        </w:rPr>
        <w:t>World Politics</w:t>
      </w:r>
      <w:r>
        <w:rPr/>
        <w:t xml:space="preserve"> 30 (2): 167–214.</w:t>
      </w:r>
    </w:p>
    <w:p>
      <w:pPr>
        <w:pStyle w:val="Bibliography"/>
        <w:rPr/>
      </w:pPr>
      <w:r>
        <w:rPr/>
        <w:t>———</w:t>
      </w:r>
      <w:r>
        <w:rPr/>
        <w:t xml:space="preserve">. 1984. </w:t>
      </w:r>
      <w:r>
        <w:rPr>
          <w:i/>
          <w:iCs/>
        </w:rPr>
        <w:t>The Illogic of American Nuclear Strategy</w:t>
      </w:r>
      <w:r>
        <w:rPr/>
        <w:t>. Cornell University Press.</w:t>
      </w:r>
    </w:p>
    <w:p>
      <w:pPr>
        <w:pStyle w:val="Bibliography"/>
        <w:rPr/>
      </w:pPr>
      <w:r>
        <w:rPr/>
        <w:t xml:space="preserve">Johnson, Loch. 2013. “The Myths of America’s Shadow War.” </w:t>
      </w:r>
      <w:r>
        <w:rPr>
          <w:i/>
          <w:iCs/>
        </w:rPr>
        <w:t>The Atlantic</w:t>
      </w:r>
      <w:r>
        <w:rPr/>
        <w:t>, January 31, 2013. https://www.theatlantic.com/international/archive/2013/01/the-myths-of-americas-shadow-war/272712/.</w:t>
      </w:r>
    </w:p>
    <w:p>
      <w:pPr>
        <w:pStyle w:val="Bibliography"/>
        <w:rPr/>
      </w:pPr>
      <w:r>
        <w:rPr/>
        <w:t>Joubert, Vincent. 2012. “Five Years after Estonia’s Cyber Attacks: Lessons Learned for NATO?” 76. Rome, Italy: NATO Defense College.</w:t>
      </w:r>
    </w:p>
    <w:p>
      <w:pPr>
        <w:pStyle w:val="Bibliography"/>
        <w:rPr/>
      </w:pPr>
      <w:r>
        <w:rPr/>
        <w:t>Kennan, George. 1948. “269. Policy Planning Staff Memorandum.” Records of the National Security Council NSC 10/2 RG 273. Washington: National Archives and Records Administration. http://academic.brooklyn.cuny.edu/history/johnson/65ciafounding3.htm.</w:t>
      </w:r>
    </w:p>
    <w:p>
      <w:pPr>
        <w:pStyle w:val="Bibliography"/>
        <w:rPr/>
      </w:pPr>
      <w:r>
        <w:rPr/>
        <w:t xml:space="preserve">Kilcullen, David. 2010. </w:t>
      </w:r>
      <w:r>
        <w:rPr>
          <w:i/>
          <w:iCs/>
        </w:rPr>
        <w:t>Counterinsurgency</w:t>
      </w:r>
      <w:r>
        <w:rPr/>
        <w:t>. Hurst.</w:t>
      </w:r>
    </w:p>
    <w:p>
      <w:pPr>
        <w:pStyle w:val="Bibliography"/>
        <w:rPr/>
      </w:pPr>
      <w:r>
        <w:rPr/>
        <w:t xml:space="preserve">Kinross, Stuart. 2004. “Clausewitz and Low-Intensity Conflict.” </w:t>
      </w:r>
      <w:r>
        <w:rPr>
          <w:i/>
          <w:iCs/>
        </w:rPr>
        <w:t>Journal of Strategic Studies</w:t>
      </w:r>
      <w:r>
        <w:rPr/>
        <w:t xml:space="preserve"> 27 (1): 35–58. https://doi.org/10.1080/0140239042000232765.</w:t>
      </w:r>
    </w:p>
    <w:p>
      <w:pPr>
        <w:pStyle w:val="Bibliography"/>
        <w:rPr/>
      </w:pPr>
      <w:r>
        <w:rPr/>
        <w:t xml:space="preserve">Kissinger, Henry. 1955. “Military Policy and Defense of the ‘Grey Areas.’” </w:t>
      </w:r>
      <w:r>
        <w:rPr>
          <w:i/>
          <w:iCs/>
        </w:rPr>
        <w:t>Foreign Affairs</w:t>
      </w:r>
      <w:r>
        <w:rPr/>
        <w:t xml:space="preserve"> 33 (3): 416–28. https://doi.org/10.2307/20031108.</w:t>
      </w:r>
    </w:p>
    <w:p>
      <w:pPr>
        <w:pStyle w:val="Bibliography"/>
        <w:rPr/>
      </w:pPr>
      <w:r>
        <w:rPr/>
        <w:t>———</w:t>
      </w:r>
      <w:r>
        <w:rPr/>
        <w:t xml:space="preserve">. 1957. “Strategy and Organization.” </w:t>
      </w:r>
      <w:r>
        <w:rPr>
          <w:i/>
          <w:iCs/>
        </w:rPr>
        <w:t>Foreign Affairs</w:t>
      </w:r>
      <w:r>
        <w:rPr/>
        <w:t xml:space="preserve"> 35 (3): 379–94. https://doi.org/10.2307/20031235.</w:t>
      </w:r>
    </w:p>
    <w:p>
      <w:pPr>
        <w:pStyle w:val="Bibliography"/>
        <w:rPr/>
      </w:pPr>
      <w:r>
        <w:rPr/>
        <w:t xml:space="preserve">Kornbluh, Peter, and Joy Hackel. 1986. “Low-Intensity Conflict Is It Live or Is It Memorex?” </w:t>
      </w:r>
      <w:r>
        <w:rPr>
          <w:i/>
          <w:iCs/>
        </w:rPr>
        <w:t>NACLA Report on the Americas</w:t>
      </w:r>
      <w:r>
        <w:rPr/>
        <w:t xml:space="preserve"> 20 (3): 8–11. https://doi.org/10.1080/10714839.1986.11723411.</w:t>
      </w:r>
    </w:p>
    <w:p>
      <w:pPr>
        <w:pStyle w:val="Bibliography"/>
        <w:rPr/>
      </w:pPr>
      <w:r>
        <w:rPr/>
        <w:t xml:space="preserve">Kostyuk, Nadiya, and Yuri Zhukov. 2019. “Invisible Digital Front: Can Cyber Attacks Shape Battlefield Events?” </w:t>
      </w:r>
      <w:r>
        <w:rPr>
          <w:i/>
          <w:iCs/>
        </w:rPr>
        <w:t>Journal of Conflict Resolution</w:t>
      </w:r>
      <w:r>
        <w:rPr/>
        <w:t xml:space="preserve"> 63 (2): 317–47. https://doi.org/10.1177/0022002717737138.</w:t>
      </w:r>
    </w:p>
    <w:p>
      <w:pPr>
        <w:pStyle w:val="Bibliography"/>
        <w:rPr/>
      </w:pPr>
      <w:r>
        <w:rPr/>
        <w:t xml:space="preserve">Lanoszka, Alexander. 2016. “Russian Hybrid Warfare and Extended Deterrence in Eastern Europe.” </w:t>
      </w:r>
      <w:r>
        <w:rPr>
          <w:i/>
          <w:iCs/>
        </w:rPr>
        <w:t>International Affairs</w:t>
      </w:r>
      <w:r>
        <w:rPr/>
        <w:t xml:space="preserve"> 92 (1): 175–95. https://doi.org/10.1111/1468-2346.12509.</w:t>
      </w:r>
    </w:p>
    <w:p>
      <w:pPr>
        <w:pStyle w:val="Bibliography"/>
        <w:rPr/>
      </w:pPr>
      <w:r>
        <w:rPr/>
        <w:t xml:space="preserve">Lebow, Richard Ned. 2010. “The Past and Future of War.” </w:t>
      </w:r>
      <w:r>
        <w:rPr>
          <w:i/>
          <w:iCs/>
        </w:rPr>
        <w:t>International Relations</w:t>
      </w:r>
      <w:r>
        <w:rPr/>
        <w:t xml:space="preserve"> 24 (3): 243–70. https://doi.org/10.1177/0047117810377277.</w:t>
      </w:r>
    </w:p>
    <w:p>
      <w:pPr>
        <w:pStyle w:val="Bibliography"/>
        <w:rPr/>
      </w:pPr>
      <w:r>
        <w:rPr/>
        <w:t xml:space="preserve">Lieberman, Elli. 2012. </w:t>
      </w:r>
      <w:r>
        <w:rPr>
          <w:i/>
          <w:iCs/>
        </w:rPr>
        <w:t>Reconceptualizing Deterrence: Nudging Toward Rationality in Middle Eastern Rivalries</w:t>
      </w:r>
      <w:r>
        <w:rPr/>
        <w:t>. Routledge.</w:t>
      </w:r>
    </w:p>
    <w:p>
      <w:pPr>
        <w:pStyle w:val="Bibliography"/>
        <w:rPr/>
      </w:pPr>
      <w:r>
        <w:rPr/>
        <w:t xml:space="preserve">Lindsay, Jon R. 2013. “Reinventing the Revolution: Technological Visions, Counterinsurgent Criticism, and the Rise of Special Operations.” </w:t>
      </w:r>
      <w:r>
        <w:rPr>
          <w:i/>
          <w:iCs/>
        </w:rPr>
        <w:t>Journal of Strategic Studies</w:t>
      </w:r>
      <w:r>
        <w:rPr/>
        <w:t xml:space="preserve"> 36 (3): 422–53. https://doi.org/10.1080/01402390.2012.734252.</w:t>
      </w:r>
    </w:p>
    <w:p>
      <w:pPr>
        <w:pStyle w:val="Bibliography"/>
        <w:rPr/>
      </w:pPr>
      <w:r>
        <w:rPr/>
        <w:t xml:space="preserve">Lindsay, Jon R., and Erik Gartzke. 2018. “Coercion through Cyberspace: The Stability-Instability Paradox Revisited.” In </w:t>
      </w:r>
      <w:r>
        <w:rPr>
          <w:i/>
          <w:iCs/>
        </w:rPr>
        <w:t>Coercion: The Power to Hurt in International Politics</w:t>
      </w:r>
      <w:r>
        <w:rPr/>
        <w:t>, edited by Kelly M. Greenhill and Peter Krause. New York, NY: Oxford University Press.</w:t>
      </w:r>
    </w:p>
    <w:p>
      <w:pPr>
        <w:pStyle w:val="Bibliography"/>
        <w:rPr/>
      </w:pPr>
      <w:r>
        <w:rPr/>
        <w:t>Lindsay, Jon R., and Roger Petersen. 2012. “Varieties of Insurgency and Counterinsurgency in Iraq, 2003-2009.” Center for Irregular Warfare and Armed Groups Case Study Series. Newport, RI: Naval War College.</w:t>
      </w:r>
    </w:p>
    <w:p>
      <w:pPr>
        <w:pStyle w:val="Bibliography"/>
        <w:rPr/>
      </w:pPr>
      <w:r>
        <w:rPr/>
        <w:t xml:space="preserve">Marten, Kimberly. 2015. “Putin’s Choices: Explaining Russian Foreign Policy and Intervention in Ukraine.” </w:t>
      </w:r>
      <w:r>
        <w:rPr>
          <w:i/>
          <w:iCs/>
        </w:rPr>
        <w:t>The Washington Quarterly</w:t>
      </w:r>
      <w:r>
        <w:rPr/>
        <w:t xml:space="preserve"> 38 (2): 189–204. https://doi.org/10.1080/0163660X.2015.1064717.</w:t>
      </w:r>
    </w:p>
    <w:p>
      <w:pPr>
        <w:pStyle w:val="Bibliography"/>
        <w:rPr/>
      </w:pPr>
      <w:r>
        <w:rPr/>
        <w:t xml:space="preserve">Matisek, Jahara W. 2017. “Shades of Gray Deterrence: Issues of Fighting in the Gray Zone.” </w:t>
      </w:r>
      <w:r>
        <w:rPr>
          <w:i/>
          <w:iCs/>
        </w:rPr>
        <w:t>Journal of Strategic Security</w:t>
      </w:r>
      <w:r>
        <w:rPr/>
        <w:t xml:space="preserve"> 10 (3): 1–26.</w:t>
      </w:r>
    </w:p>
    <w:p>
      <w:pPr>
        <w:pStyle w:val="Bibliography"/>
        <w:rPr/>
      </w:pPr>
      <w:r>
        <w:rPr/>
        <w:t xml:space="preserve">Matláry, Janne Haaland. 2014. “Partners versus Members? NATO as an Arena for Coalitions.” In </w:t>
      </w:r>
      <w:r>
        <w:rPr>
          <w:i/>
          <w:iCs/>
        </w:rPr>
        <w:t>NATO’s Post-Cold War Politics: The Changing Provision of Security</w:t>
      </w:r>
      <w:r>
        <w:rPr/>
        <w:t>, edited by Sebastian Mayer, 251–66. New Security Challenges Series. London: Palgrave Macmillan UK. https://doi.org/10.1057/9781137330307_14.</w:t>
      </w:r>
    </w:p>
    <w:p>
      <w:pPr>
        <w:pStyle w:val="Bibliography"/>
        <w:rPr/>
      </w:pPr>
      <w:r>
        <w:rPr/>
        <w:t>Mazarr, Michael. 2015. “Mastering the Gray Zone: Understanding a Changing Era of Conflict.” Research Report. Strategic Studies Institute: US Army War College.</w:t>
      </w:r>
    </w:p>
    <w:p>
      <w:pPr>
        <w:pStyle w:val="Bibliography"/>
        <w:rPr/>
      </w:pPr>
      <w:r>
        <w:rPr/>
        <w:t xml:space="preserve">McFaul, Michael, Stephen Sestanovich, and John J. Mearsheimer. 2014. “Faulty Powers: Who Started the Ukraine Crisis?” </w:t>
      </w:r>
      <w:r>
        <w:rPr>
          <w:i/>
          <w:iCs/>
        </w:rPr>
        <w:t>Foreign Affairs</w:t>
      </w:r>
      <w:r>
        <w:rPr/>
        <w:t>, December 2014. http://www.foreignaffairs.com/articles/142260/michael-mcfaul-stephen-sestanovich-john-j-mearsheimer/faulty-powers.</w:t>
      </w:r>
    </w:p>
    <w:p>
      <w:pPr>
        <w:pStyle w:val="Bibliography"/>
        <w:rPr/>
      </w:pPr>
      <w:r>
        <w:rPr/>
        <w:t xml:space="preserve">Mearsheimer, John J. 2014. “Why the Ukraine Crisis Is the West’s Fault: The Liberal Delusions That Provoked Putin.” </w:t>
      </w:r>
      <w:r>
        <w:rPr>
          <w:i/>
          <w:iCs/>
        </w:rPr>
        <w:t>Foreign Affairs</w:t>
      </w:r>
      <w:r>
        <w:rPr/>
        <w:t>, October 2014. http://www.foreignaffairs.com/articles/141769/john-j-mearsheimer/why-the-ukraine-crisis-is-the-wests-fault.</w:t>
      </w:r>
    </w:p>
    <w:p>
      <w:pPr>
        <w:pStyle w:val="Bibliography"/>
        <w:rPr/>
      </w:pPr>
      <w:r>
        <w:rPr/>
        <w:t xml:space="preserve">Nagl, John. 2005. </w:t>
      </w:r>
      <w:r>
        <w:rPr>
          <w:i/>
          <w:iCs/>
        </w:rPr>
        <w:t>Learning to Eat Soup with a Knife: Counterinsurgency Lessons from Malaya and Vietnam</w:t>
      </w:r>
      <w:r>
        <w:rPr/>
        <w:t>. University of Chicago Press.</w:t>
      </w:r>
    </w:p>
    <w:p>
      <w:pPr>
        <w:pStyle w:val="Bibliography"/>
        <w:rPr/>
      </w:pPr>
      <w:r>
        <w:rPr/>
        <w:t>Office of the Director of National Intelligence. 2017. “Assessing Russian Activities and Intentions in Recent US Elections.” Intelligence Community Assessment ICA 2017-01D. Washington, DC: National Intelligence Council. https://www.dni.gov/files/documents/ICA_2017_01.pdf.</w:t>
      </w:r>
    </w:p>
    <w:p>
      <w:pPr>
        <w:pStyle w:val="Bibliography"/>
        <w:rPr/>
      </w:pPr>
      <w:r>
        <w:rPr/>
        <w:t xml:space="preserve">Olson, William. 1990. “The Concept of Small Wars.” </w:t>
      </w:r>
      <w:r>
        <w:rPr>
          <w:i/>
          <w:iCs/>
        </w:rPr>
        <w:t>Small Wars &amp; Insurgencies</w:t>
      </w:r>
      <w:r>
        <w:rPr/>
        <w:t xml:space="preserve"> 1 (1): 39–46. https://doi.org/10.1080/09592319008422940.</w:t>
      </w:r>
    </w:p>
    <w:p>
      <w:pPr>
        <w:pStyle w:val="Bibliography"/>
        <w:rPr/>
      </w:pPr>
      <w:r>
        <w:rPr/>
        <w:t xml:space="preserve">O’Rourke, Lindsey. 2018. </w:t>
      </w:r>
      <w:r>
        <w:rPr>
          <w:i/>
          <w:iCs/>
        </w:rPr>
        <w:t>Covert Regime Change: America’s Secret Cold War</w:t>
      </w:r>
      <w:r>
        <w:rPr/>
        <w:t>. Cornell Studies in Security Affairs. Ithaca, NY: Cornell University Press.</w:t>
      </w:r>
    </w:p>
    <w:p>
      <w:pPr>
        <w:pStyle w:val="Bibliography"/>
        <w:rPr/>
      </w:pPr>
      <w:r>
        <w:rPr/>
        <w:t xml:space="preserve">Osgood, Robert. 1969. “The Reappraisal of Limited War.” </w:t>
      </w:r>
      <w:r>
        <w:rPr>
          <w:i/>
          <w:iCs/>
        </w:rPr>
        <w:t>The Adelphi Papers</w:t>
      </w:r>
      <w:r>
        <w:rPr/>
        <w:t xml:space="preserve"> 9 (54): 41–54. https://doi.org/10.1080/05679326908448127.</w:t>
      </w:r>
    </w:p>
    <w:p>
      <w:pPr>
        <w:pStyle w:val="Bibliography"/>
        <w:rPr/>
      </w:pPr>
      <w:r>
        <w:rPr/>
        <w:t>Paul, Christopher, and Miriam Matthews. 2016. “The Russian ‘Firehose of Falsehood’ Propaganda Model: Why It Might Work and Options to Counter It.” Santa Monica, CA: Rand Corporation.</w:t>
      </w:r>
    </w:p>
    <w:p>
      <w:pPr>
        <w:pStyle w:val="Bibliography"/>
        <w:rPr/>
      </w:pPr>
      <w:r>
        <w:rPr/>
        <w:t xml:space="preserve">Pearlman, Wendy, and Boaz Atzili. 2018. </w:t>
      </w:r>
      <w:r>
        <w:rPr>
          <w:i/>
          <w:iCs/>
        </w:rPr>
        <w:t>Triadic Coercion: Israel’s Targeting of States That Host Nonstate Actors</w:t>
      </w:r>
      <w:r>
        <w:rPr/>
        <w:t>. New York: Columbia University Press.</w:t>
      </w:r>
    </w:p>
    <w:p>
      <w:pPr>
        <w:pStyle w:val="Bibliography"/>
        <w:rPr/>
      </w:pPr>
      <w:r>
        <w:rPr/>
        <w:t xml:space="preserve">Petersen, Roger. 2001. </w:t>
      </w:r>
      <w:r>
        <w:rPr>
          <w:i/>
          <w:iCs/>
        </w:rPr>
        <w:t>Resistance and Rebellion: Lessons From Eastern Europe</w:t>
      </w:r>
      <w:r>
        <w:rPr/>
        <w:t>. Cambridge: Cambridge University Press. https://doi.org/10.1017/CBO9780511612725.</w:t>
      </w:r>
    </w:p>
    <w:p>
      <w:pPr>
        <w:pStyle w:val="Bibliography"/>
        <w:rPr/>
      </w:pPr>
      <w:r>
        <w:rPr/>
        <w:t xml:space="preserve">Posen, Barry. 2003. “Command of the Commons: The Military Foundation of U.S. Hegemony.” </w:t>
      </w:r>
      <w:r>
        <w:rPr>
          <w:i/>
          <w:iCs/>
        </w:rPr>
        <w:t>International Security</w:t>
      </w:r>
      <w:r>
        <w:rPr/>
        <w:t xml:space="preserve"> 28 (1): 5–46. https://doi.org/10.1162/016228803322427965.</w:t>
      </w:r>
    </w:p>
    <w:p>
      <w:pPr>
        <w:pStyle w:val="Bibliography"/>
        <w:rPr/>
      </w:pPr>
      <w:r>
        <w:rPr/>
        <w:t xml:space="preserve">Powell, Robert. 2015. “Nuclear Brinkmanship, Limited War, and Military Power.” </w:t>
      </w:r>
      <w:r>
        <w:rPr>
          <w:i/>
          <w:iCs/>
        </w:rPr>
        <w:t>International Organization</w:t>
      </w:r>
      <w:r>
        <w:rPr/>
        <w:t xml:space="preserve"> 69 (3): 589–626. https://doi.org/10.1017/S0020818315000028.</w:t>
      </w:r>
    </w:p>
    <w:p>
      <w:pPr>
        <w:pStyle w:val="Bibliography"/>
        <w:rPr/>
      </w:pPr>
      <w:r>
        <w:rPr/>
        <w:t xml:space="preserve">Rauchhaus, Robert. 2009. “Evaluating the Nuclear Peace Hypothesis: A Quantitative Approach.” </w:t>
      </w:r>
      <w:r>
        <w:rPr>
          <w:i/>
          <w:iCs/>
        </w:rPr>
        <w:t>Journal of Conflict Resolution</w:t>
      </w:r>
      <w:r>
        <w:rPr/>
        <w:t xml:space="preserve"> 53 (2): 258–77. https://doi.org/10.1177/0022002708330387.</w:t>
      </w:r>
    </w:p>
    <w:p>
      <w:pPr>
        <w:pStyle w:val="Bibliography"/>
        <w:rPr/>
      </w:pPr>
      <w:r>
        <w:rPr/>
        <w:t xml:space="preserve">Rid, Thomas. 2013. “Cyberwar and Peace.” </w:t>
      </w:r>
      <w:r>
        <w:rPr>
          <w:i/>
          <w:iCs/>
        </w:rPr>
        <w:t>Foreign Affairs</w:t>
      </w:r>
      <w:r>
        <w:rPr/>
        <w:t>, 2013. https://www.foreignaffairs.com/articles/2013-10-15/cyberwar-and-peace.</w:t>
      </w:r>
    </w:p>
    <w:p>
      <w:pPr>
        <w:pStyle w:val="Bibliography"/>
        <w:rPr/>
      </w:pPr>
      <w:r>
        <w:rPr/>
        <w:t xml:space="preserve">Rovner, Joshua. 2011. </w:t>
      </w:r>
      <w:r>
        <w:rPr>
          <w:i/>
          <w:iCs/>
        </w:rPr>
        <w:t>Fixing the Facts: National Security and the Politics of Intelligence</w:t>
      </w:r>
      <w:r>
        <w:rPr/>
        <w:t>. Ithaca, NY: Cornell University Press.</w:t>
      </w:r>
    </w:p>
    <w:p>
      <w:pPr>
        <w:pStyle w:val="Bibliography"/>
        <w:rPr/>
      </w:pPr>
      <w:r>
        <w:rPr/>
        <w:t xml:space="preserve">Sagan, Scott, and Kenneth Waltz. 2003. </w:t>
      </w:r>
      <w:r>
        <w:rPr>
          <w:i/>
          <w:iCs/>
        </w:rPr>
        <w:t>The Spread of Nuclear Weapons: A Debate Renewed</w:t>
      </w:r>
      <w:r>
        <w:rPr/>
        <w:t>. Norton.</w:t>
      </w:r>
    </w:p>
    <w:p>
      <w:pPr>
        <w:pStyle w:val="Bibliography"/>
        <w:rPr/>
      </w:pPr>
      <w:r>
        <w:rPr/>
        <w:t xml:space="preserve">Schelling, Thomas. 1966. </w:t>
      </w:r>
      <w:r>
        <w:rPr>
          <w:i/>
          <w:iCs/>
        </w:rPr>
        <w:t>Arms and Influence</w:t>
      </w:r>
      <w:r>
        <w:rPr/>
        <w:t>. Yale University Press.</w:t>
      </w:r>
    </w:p>
    <w:p>
      <w:pPr>
        <w:pStyle w:val="Bibliography"/>
        <w:rPr/>
      </w:pPr>
      <w:r>
        <w:rPr/>
        <w:t xml:space="preserve">Schmidt, Andreas. 2013. “The Estonian Cyberattacks.” In </w:t>
      </w:r>
      <w:r>
        <w:rPr>
          <w:i/>
          <w:iCs/>
        </w:rPr>
        <w:t>A Fierce Domain: Conflict in Cyberspace, 1986 to 2012</w:t>
      </w:r>
      <w:r>
        <w:rPr/>
        <w:t>, edited by Jason Healey, 174–93. Cyber Conflict Studies Association.</w:t>
      </w:r>
    </w:p>
    <w:p>
      <w:pPr>
        <w:pStyle w:val="Bibliography"/>
        <w:rPr/>
      </w:pPr>
      <w:r>
        <w:rPr/>
        <w:t>Schneider, Jacquelyn. 2017. “The Information Revolution and International Stability: A Multi-Article Exploration of Computing, Cyber, and Incentives for Conflict.” Dissertation, Washington, D.C.: George Washington University.</w:t>
      </w:r>
    </w:p>
    <w:p>
      <w:pPr>
        <w:pStyle w:val="Bibliography"/>
        <w:rPr/>
      </w:pPr>
      <w:r>
        <w:rPr/>
        <w:t>Schram, Peter. 2019. “Better Living Through Hassling: How to Prevent a Preventative War.” Working Paper.</w:t>
      </w:r>
    </w:p>
    <w:p>
      <w:pPr>
        <w:pStyle w:val="Bibliography"/>
        <w:rPr/>
      </w:pPr>
      <w:r>
        <w:rPr/>
        <w:t>Schultz, George. 1986. “Low-Intensity Warfare: The Challenge of Ambiguity.” Conference Address presented at the Low-Intensity Warfare Conference, National Defense University, Washington, DC, January 15. https://www.jstor.org/stable/pdf/20692938.pdf.</w:t>
      </w:r>
    </w:p>
    <w:p>
      <w:pPr>
        <w:pStyle w:val="Bibliography"/>
        <w:rPr/>
      </w:pPr>
      <w:r>
        <w:rPr/>
        <w:t xml:space="preserve">Schweller, Randall L. 1996. “Neorealism’s Status‐quo Bias: What Security Dilemma?” </w:t>
      </w:r>
      <w:r>
        <w:rPr>
          <w:i/>
          <w:iCs/>
        </w:rPr>
        <w:t>Security Studies</w:t>
      </w:r>
      <w:r>
        <w:rPr/>
        <w:t xml:space="preserve"> 5 (3): 90–121. https://doi.org/10.1080/09636419608429277.</w:t>
      </w:r>
    </w:p>
    <w:p>
      <w:pPr>
        <w:pStyle w:val="Bibliography"/>
        <w:rPr/>
      </w:pPr>
      <w:r>
        <w:rPr/>
        <w:t xml:space="preserve">Shifrinson, Joshua R. Itzkowitz. 2016. “Deal or No Deal? The End of the Cold War and the U.S. Offer to Limit NATO Expansion.” </w:t>
      </w:r>
      <w:r>
        <w:rPr>
          <w:i/>
          <w:iCs/>
        </w:rPr>
        <w:t>International Security</w:t>
      </w:r>
      <w:r>
        <w:rPr/>
        <w:t xml:space="preserve"> 40 (4): 7–44. https://doi.org/10.1162/ISEC_a_00236.</w:t>
      </w:r>
    </w:p>
    <w:p>
      <w:pPr>
        <w:pStyle w:val="Bibliography"/>
        <w:rPr/>
      </w:pPr>
      <w:r>
        <w:rPr/>
        <w:t xml:space="preserve">Shy, John, and Thomas Collier. 1986. “Revolutionary War.” In </w:t>
      </w:r>
      <w:r>
        <w:rPr>
          <w:i/>
          <w:iCs/>
        </w:rPr>
        <w:t>Makers of Modern Strategy from Machiavelli to the Nuclear Age</w:t>
      </w:r>
      <w:r>
        <w:rPr/>
        <w:t>, edited by Peter Paret, Gordon Craig, and Felix Gilbert, 815–62. New Jersey: Princeton University Press.</w:t>
      </w:r>
    </w:p>
    <w:p>
      <w:pPr>
        <w:pStyle w:val="Bibliography"/>
        <w:rPr/>
      </w:pPr>
      <w:r>
        <w:rPr/>
        <w:t xml:space="preserve">Singer, David, Stuart Bremer, and John Stuckey. 1972. “Capability Distribution, Uncertainty, and Major Power War, 1820-1965.” In </w:t>
      </w:r>
      <w:r>
        <w:rPr>
          <w:i/>
          <w:iCs/>
        </w:rPr>
        <w:t>Peace, War, and Numbers</w:t>
      </w:r>
      <w:r>
        <w:rPr/>
        <w:t>, by Bruce Russett, 19–48. Sage Publications.</w:t>
      </w:r>
    </w:p>
    <w:p>
      <w:pPr>
        <w:pStyle w:val="Bibliography"/>
        <w:rPr/>
      </w:pPr>
      <w:r>
        <w:rPr/>
        <w:t xml:space="preserve">Slayton, Rebecca. 2017. “What Is the Cyber Offense-Defense Balance? Conceptions, Causes, and Assessment.” </w:t>
      </w:r>
      <w:r>
        <w:rPr>
          <w:i/>
          <w:iCs/>
        </w:rPr>
        <w:t>International Security</w:t>
      </w:r>
      <w:r>
        <w:rPr/>
        <w:t xml:space="preserve"> 41 (3): 72–109. https://doi.org/10.1162/ISEC_a_00267.</w:t>
      </w:r>
    </w:p>
    <w:p>
      <w:pPr>
        <w:pStyle w:val="Bibliography"/>
        <w:rPr/>
      </w:pPr>
      <w:r>
        <w:rPr/>
        <w:t xml:space="preserve">Smith-Spark, Laura, and James Masters. 2018. “Missile That Downed MH17 from ‘Russian Brigade.’” </w:t>
      </w:r>
      <w:r>
        <w:rPr>
          <w:i/>
          <w:iCs/>
        </w:rPr>
        <w:t>CNN</w:t>
      </w:r>
      <w:r>
        <w:rPr/>
        <w:t>, May 24, 2018. https://edition.cnn.com/2018/05/24/europe/mh17-plane-netherlands-russia-intl/index.html.</w:t>
      </w:r>
    </w:p>
    <w:p>
      <w:pPr>
        <w:pStyle w:val="Bibliography"/>
        <w:rPr/>
      </w:pPr>
      <w:r>
        <w:rPr/>
        <w:t xml:space="preserve">Snyder, Glenn. 1965. “The Balance of Power and the Balance of Terror.” In </w:t>
      </w:r>
      <w:r>
        <w:rPr>
          <w:i/>
          <w:iCs/>
        </w:rPr>
        <w:t>World in Crisis: Readings in International Relations</w:t>
      </w:r>
      <w:r>
        <w:rPr/>
        <w:t>, edited by Frederick Hartmann, 180–91. New York: The Macmillan Company.</w:t>
      </w:r>
    </w:p>
    <w:p>
      <w:pPr>
        <w:pStyle w:val="Bibliography"/>
        <w:rPr/>
      </w:pPr>
      <w:r>
        <w:rPr/>
        <w:t xml:space="preserve">Sobek, David, and Joe Clare. 2013. “Me, Myself, and Allies: Understanding the External Sources of Power.” </w:t>
      </w:r>
      <w:r>
        <w:rPr>
          <w:i/>
          <w:iCs/>
        </w:rPr>
        <w:t>Journal of Peace Research</w:t>
      </w:r>
      <w:r>
        <w:rPr/>
        <w:t xml:space="preserve"> 50 (4): 469–78. https://doi.org/10.1177/0022343313484047.</w:t>
      </w:r>
    </w:p>
    <w:p>
      <w:pPr>
        <w:pStyle w:val="Bibliography"/>
        <w:rPr/>
      </w:pPr>
      <w:r>
        <w:rPr/>
        <w:t xml:space="preserve">Staniland, Paul. 2012. “States, Insurgents, and Wartime Political Orders.” </w:t>
      </w:r>
      <w:r>
        <w:rPr>
          <w:i/>
          <w:iCs/>
        </w:rPr>
        <w:t>Perspectives on Politics</w:t>
      </w:r>
      <w:r>
        <w:rPr/>
        <w:t xml:space="preserve"> 10 (2): 243–64.</w:t>
      </w:r>
    </w:p>
    <w:p>
      <w:pPr>
        <w:pStyle w:val="Bibliography"/>
        <w:rPr/>
      </w:pPr>
      <w:r>
        <w:rPr/>
        <w:t xml:space="preserve">Stein, Janice Gross. 1989. “Calculation, Miscalculation, and Conventional Deterrence.” In </w:t>
      </w:r>
      <w:r>
        <w:rPr>
          <w:i/>
          <w:iCs/>
        </w:rPr>
        <w:t>Psychology and Deterrence</w:t>
      </w:r>
      <w:r>
        <w:rPr/>
        <w:t>, by Richard Ned Lebow and Robert Jervis. JHU Press.</w:t>
      </w:r>
    </w:p>
    <w:p>
      <w:pPr>
        <w:pStyle w:val="Bibliography"/>
        <w:rPr/>
      </w:pPr>
      <w:r>
        <w:rPr/>
        <w:t xml:space="preserve">Taber, Robert. 1965. </w:t>
      </w:r>
      <w:r>
        <w:rPr>
          <w:i/>
          <w:iCs/>
        </w:rPr>
        <w:t>War of the Flea: The Classic Study of Guerrilla Warfare</w:t>
      </w:r>
      <w:r>
        <w:rPr/>
        <w:t>. L. Stewart.</w:t>
      </w:r>
    </w:p>
    <w:p>
      <w:pPr>
        <w:pStyle w:val="Bibliography"/>
        <w:rPr/>
      </w:pPr>
      <w:r>
        <w:rPr/>
        <w:t xml:space="preserve">Traynor, Ian. 2007. “Russia Accused of Unleashing Cyberwar to Disable Estonia.” </w:t>
      </w:r>
      <w:r>
        <w:rPr>
          <w:i/>
          <w:iCs/>
        </w:rPr>
        <w:t>The Guardian</w:t>
      </w:r>
      <w:r>
        <w:rPr/>
        <w:t>, May 17, 2007, sec. World news. https://www.theguardian.com/world/2007/may/17/topstories3.russia.</w:t>
      </w:r>
    </w:p>
    <w:p>
      <w:pPr>
        <w:pStyle w:val="Bibliography"/>
        <w:rPr/>
      </w:pPr>
      <w:r>
        <w:rPr/>
        <w:t xml:space="preserve">Turbiville, Graham. 2002. “Preface: Future Trends in Low Intensity Conflict.” </w:t>
      </w:r>
      <w:r>
        <w:rPr>
          <w:i/>
          <w:iCs/>
        </w:rPr>
        <w:t>Low Intensity Conflict &amp; Law Enforcement</w:t>
      </w:r>
      <w:r>
        <w:rPr/>
        <w:t xml:space="preserve"> 11 (2–3): 155–63. https://doi.org/10.1080/0966284042000279957.</w:t>
      </w:r>
    </w:p>
    <w:p>
      <w:pPr>
        <w:pStyle w:val="Bibliography"/>
        <w:rPr/>
      </w:pPr>
      <w:r>
        <w:rPr/>
        <w:t xml:space="preserve">Valeriano, Brandon, and Ryan Maness. 2014. “The Dynamics of Cyber Conflict between Rival Antagonists, 2001-2011.” </w:t>
      </w:r>
      <w:r>
        <w:rPr>
          <w:i/>
          <w:iCs/>
        </w:rPr>
        <w:t>Journal of Peace Research</w:t>
      </w:r>
      <w:r>
        <w:rPr/>
        <w:t xml:space="preserve"> 51 (3): 347–60.</w:t>
      </w:r>
    </w:p>
    <w:p>
      <w:pPr>
        <w:pStyle w:val="Bibliography"/>
        <w:rPr/>
      </w:pPr>
      <w:r>
        <w:rPr/>
        <w:t xml:space="preserve">Votel, Joseph, Charles Cleveland, Charles Connett, and Will Irwin. 2016. “Unconventional Warfare in the Gray Zone.” </w:t>
      </w:r>
      <w:r>
        <w:rPr>
          <w:i/>
          <w:iCs/>
        </w:rPr>
        <w:t>Joint Force Quarterly</w:t>
      </w:r>
      <w:r>
        <w:rPr/>
        <w:t xml:space="preserve"> 80 (January). http://ndupress.ndu.edu/Portals/68/Documents/jfq/jfq-80/jfq-80_101-109_Votel-et-al.pdf.</w:t>
      </w:r>
    </w:p>
    <w:p>
      <w:pPr>
        <w:pStyle w:val="Bibliography"/>
        <w:rPr/>
      </w:pPr>
      <w:r>
        <w:rPr/>
        <w:t xml:space="preserve">Wirtz, James J. 2017. “Life in the ‘Gray Zone’: Observations for Contemporary Strategists.” </w:t>
      </w:r>
      <w:r>
        <w:rPr>
          <w:i/>
          <w:iCs/>
        </w:rPr>
        <w:t>Defense &amp; Security Analysis</w:t>
      </w:r>
      <w:r>
        <w:rPr/>
        <w:t xml:space="preserve"> 33 (2): 106–14. https://doi.org/10.1080/14751798.2017.1310702.</w:t>
      </w:r>
    </w:p>
    <w:p>
      <w:pPr>
        <w:pStyle w:val="Bibliography"/>
        <w:rPr/>
      </w:pPr>
      <w:r>
        <w:rPr/>
        <w:t xml:space="preserve">Wood, Elisabeth Jean. 2003. </w:t>
      </w:r>
      <w:r>
        <w:rPr>
          <w:i/>
          <w:iCs/>
        </w:rPr>
        <w:t>Insurgent Collective Action and Civil War in El Salvador</w:t>
      </w:r>
      <w:r>
        <w:rPr/>
        <w:t>. Cambridge University Press.</w:t>
      </w:r>
    </w:p>
    <w:p>
      <w:pPr>
        <w:pStyle w:val="Bibliography"/>
        <w:rPr/>
      </w:pPr>
      <w:r>
        <w:rPr/>
        <w:t xml:space="preserve">Woodman, Stewart. 1991. “Defining Limited Conflict: A Case of Mistaken Identity.” </w:t>
      </w:r>
      <w:r>
        <w:rPr>
          <w:i/>
          <w:iCs/>
        </w:rPr>
        <w:t>Small Wars &amp; Insurgencies</w:t>
      </w:r>
      <w:r>
        <w:rPr/>
        <w:t xml:space="preserve"> 2 (3): 24–43. https://doi.org/10.1080/09592319108422992.</w:t>
      </w:r>
    </w:p>
    <w:p>
      <w:pPr>
        <w:pStyle w:val="Bibliography"/>
        <w:spacing w:lineRule="auto" w:line="240" w:before="0" w:after="200"/>
        <w:ind w:left="720" w:hanging="720"/>
        <w:rPr/>
      </w:pPr>
      <w:r>
        <w:rPr/>
        <w:t xml:space="preserve">Zhang, Ketian. 2019. “Cautious Bully: Reputation, Resolve, and Beijing’s Use of Coercion in the South China Sea.” </w:t>
      </w:r>
      <w:r>
        <w:rPr>
          <w:i/>
          <w:iCs/>
        </w:rPr>
        <w:t>International Security</w:t>
      </w:r>
      <w:r>
        <w:rPr/>
        <w:t xml:space="preserve"> 44 (1): 117–59. https://doi.org/10.1162/isec_a_00354.</w:t>
      </w:r>
    </w:p>
    <w:sectPr>
      <w:footerReference w:type="default" r:id="rId4"/>
      <w:footnotePr>
        <w:numFmt w:val="decimal"/>
      </w:footnotePr>
      <w:type w:val="nextPage"/>
      <w:pgSz w:w="12240" w:h="15840"/>
      <w:pgMar w:left="1440" w:right="1440" w:header="0" w:top="1440" w:footer="796" w:bottom="13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200"/>
      <w:jc w:val="center"/>
      <w:rPr/>
    </w:pPr>
    <w:r>
      <w:rPr/>
      <w:fldChar w:fldCharType="begin"/>
    </w:r>
    <w:r>
      <w:rPr/>
      <w:instrText> PAGE </w:instrText>
    </w:r>
    <w:r>
      <w:rPr/>
      <w:fldChar w:fldCharType="separate"/>
    </w:r>
    <w:r>
      <w:rPr/>
      <w:t>42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s"/>
        <w:spacing w:before="120" w:after="200"/>
        <w:contextualSpacing/>
        <w:rPr/>
      </w:pPr>
      <w:r>
        <w:rPr>
          <w:rStyle w:val="FootnoteCharacters"/>
        </w:rPr>
        <w:footnoteRef/>
      </w:r>
      <w:r>
        <w:rPr>
          <w:rStyle w:val="FootnoteCharacters"/>
        </w:rPr>
        <w:tab/>
      </w:r>
      <w:r>
        <w:rPr/>
        <w:t xml:space="preserve">NATO is not formally bound to assist Ukraine, but neither are they precluded from doing so.  The issue for the Kremlin was ensuring that Brussels remained passive, and any measure that might help was worth taking.  </w:t>
      </w:r>
    </w:p>
  </w:footnote>
  <w:footnote w:id="3">
    <w:p>
      <w:pPr>
        <w:pStyle w:val="Footnotes"/>
        <w:spacing w:before="120" w:after="200"/>
        <w:contextualSpacing/>
        <w:rPr/>
      </w:pPr>
      <w:r>
        <w:rPr>
          <w:rStyle w:val="FootnoteCharacters"/>
        </w:rPr>
        <w:footnoteRef/>
      </w:r>
      <w:r>
        <w:rPr>
          <w:rStyle w:val="FootnoteCharacters"/>
        </w:rPr>
        <w:tab/>
      </w:r>
      <w:bookmarkStart w:id="211" w:name="__Fieldmark__186_673422073"/>
      <w:bookmarkEnd w:id="211"/>
      <w:r>
        <w:rPr/>
        <w:t xml:space="preserve">Intelligence assessment and rational decision making, both defective in this case, are important for assessing the parameters of deterrence </w:t>
      </w:r>
      <w:r>
        <w:fldChar w:fldCharType="begin"/>
      </w:r>
      <w:r>
        <w:rPr/>
        <w:instrText>ADDIN ZOTERO_ITEM CSL_CITATION {"citationID":"a2gm6ghvnsu","properties":{"formattedCitation":"(Brooks 2008; Rovner 2011)","plainCitation":"(Brooks 2008; Rovner 2011)","noteIndex":2},"citationItems":[{"id":"5I7vyisu/SrXg7atU","uris":["http://zotero.org/users/471208/items/43AD9G32"],"uri":["http://zotero.org/users/471208/items/43AD9G32"],"itemData":{"id":"XB4YeRPs/RU511JdE","type":"book","title":"Shaping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5I7vyisu/01NVlrap","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w:instrText>
      </w:r>
      <w:r>
        <w:rPr/>
        <w:fldChar w:fldCharType="separate"/>
      </w:r>
      <w:bookmarkStart w:id="212" w:name="__Fieldmark__543_4284355980"/>
      <w:r>
        <w:rPr/>
      </w:r>
      <w:r>
        <w:rPr/>
      </w:r>
      <w:r>
        <w:rPr/>
        <w:fldChar w:fldCharType="end"/>
      </w:r>
      <w:bookmarkStart w:id="213" w:name="__Fieldmark__663_1735709817"/>
      <w:bookmarkEnd w:id="212"/>
      <w:bookmarkEnd w:id="213"/>
      <w:r>
        <w:rPr/>
        <w:t>(Brooks 2008; Rovner 2011)</w:t>
      </w:r>
      <w:r>
        <w:rPr>
          <w:lang w:val="en-CA"/>
        </w:rPr>
        <w:t>.</w:t>
      </w:r>
    </w:p>
  </w:footnote>
  <w:footnote w:id="4">
    <w:p>
      <w:pPr>
        <w:pStyle w:val="Footnotes"/>
        <w:spacing w:before="120" w:after="200"/>
        <w:contextualSpacing/>
        <w:rPr/>
      </w:pPr>
      <w:r>
        <w:rPr>
          <w:rStyle w:val="FootnoteCharacters"/>
        </w:rPr>
        <w:footnoteRef/>
      </w:r>
      <w:r>
        <w:rPr>
          <w:rStyle w:val="FootnoteCharacters"/>
        </w:rPr>
        <w:tab/>
      </w:r>
      <w:r>
        <w:rPr>
          <w:lang w:val="en-CA"/>
        </w:rPr>
        <w:t xml:space="preserve">Conversely, as costliness of the Iraq war suggests, “gray zone” may be a poor description of cases where actors fail to exercise restraint because they do not understand their own deterrence sensitivities. </w:t>
      </w:r>
    </w:p>
  </w:footnote>
  <w:footnote w:id="5">
    <w:p>
      <w:pPr>
        <w:pStyle w:val="Footnotes"/>
        <w:spacing w:before="120" w:after="200"/>
        <w:contextualSpacing/>
        <w:rPr/>
      </w:pPr>
      <w:r>
        <w:rPr>
          <w:rStyle w:val="FootnoteCharacters"/>
        </w:rPr>
        <w:footnoteRef/>
      </w:r>
      <w:r>
        <w:rPr>
          <w:rStyle w:val="FootnoteCharacters"/>
        </w:rPr>
        <w:tab/>
      </w:r>
      <w:r>
        <w:rPr/>
        <w:t>It is noteworthy that the United States relied on a regional partner (Israel) for the Stuxnet operation.</w:t>
      </w:r>
    </w:p>
  </w:footnote>
  <w:footnote w:id="6">
    <w:p>
      <w:pPr>
        <w:pStyle w:val="Footnotes"/>
        <w:spacing w:before="120" w:after="200"/>
        <w:contextualSpacing/>
        <w:rPr/>
      </w:pPr>
      <w:r>
        <w:rPr>
          <w:rStyle w:val="FootnoteCharacters"/>
        </w:rPr>
        <w:footnoteRef/>
      </w:r>
      <w:r>
        <w:rPr>
          <w:rStyle w:val="FootnoteCharacters"/>
        </w:rPr>
        <w:tab/>
      </w:r>
      <w:r>
        <w:rPr/>
        <w:t xml:space="preserve">At least initially. For complications, see </w:t>
      </w:r>
      <w:r>
        <w:fldChar w:fldCharType="begin"/>
      </w:r>
      <w:r>
        <w:rPr/>
        <w:instrText>ADDIN ZOTERO_ITEM CSL_CITATION {"citationID":"a2afm6tp8bf","properties":{"formattedCitation":"(Pearlman and Atzili 2018)","plainCitation":"(Pearlman and Atzili 2018)","noteIndex":5},"citationItems":[{"id":"5I7vyisu/mAlHvMks","uris":["http://zotero.org/users/471208/items/I6TP73ZX"],"uri":["http://zotero.org/users/471208/items/I6TP73ZX"],"itemData":{"id":"XB4YeRPs/wWbbENjq","type":"book","title":"Triadic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w:instrText>
      </w:r>
      <w:r>
        <w:rPr/>
        <w:fldChar w:fldCharType="separate"/>
      </w:r>
      <w:bookmarkStart w:id="214" w:name="__Fieldmark__735_4284355980"/>
      <w:r>
        <w:rPr/>
      </w:r>
      <w:r>
        <w:rPr/>
      </w:r>
      <w:r>
        <w:rPr/>
        <w:fldChar w:fldCharType="end"/>
      </w:r>
      <w:bookmarkStart w:id="215" w:name="__Fieldmark__894_1735709817"/>
      <w:bookmarkEnd w:id="214"/>
      <w:bookmarkEnd w:id="215"/>
      <w:r>
        <w:rPr/>
        <w:t>(Pearlman and Atzili 2018).</w:t>
      </w:r>
    </w:p>
  </w:footnote>
  <w:footnote w:id="7">
    <w:p>
      <w:pPr>
        <w:pStyle w:val="Footnotes"/>
        <w:spacing w:before="120" w:after="200"/>
        <w:contextualSpacing/>
        <w:rPr/>
      </w:pPr>
      <w:r>
        <w:rPr>
          <w:rStyle w:val="FootnoteCharacters"/>
        </w:rPr>
        <w:footnoteRef/>
      </w:r>
      <w:r>
        <w:rPr>
          <w:rStyle w:val="FootnoteCharacters"/>
        </w:rPr>
        <w:tab/>
      </w:r>
      <w:r>
        <w:rPr/>
        <w:t xml:space="preserve"> </w:t>
      </w:r>
      <w:r>
        <w:rPr/>
        <w:t xml:space="preserve">Our unit of analysis is country-year. </w:t>
      </w:r>
      <w:r>
        <w:rPr>
          <w:lang w:val="en-CA"/>
        </w:rPr>
        <w:t>See the data appendix for description of coding procedures, documentation of primary sources, and dataset comparison.</w:t>
      </w:r>
    </w:p>
  </w:footnote>
  <w:footnote w:id="8">
    <w:p>
      <w:pPr>
        <w:pStyle w:val="Footnotes"/>
        <w:spacing w:before="120" w:after="200"/>
        <w:contextualSpacing/>
        <w:rPr/>
      </w:pPr>
      <w:r>
        <w:rPr>
          <w:rStyle w:val="FootnoteCharacters"/>
        </w:rPr>
        <w:footnoteRef/>
      </w:r>
      <w:r>
        <w:rPr>
          <w:rStyle w:val="FootnoteCharacters"/>
        </w:rPr>
        <w:tab/>
      </w:r>
      <w:r>
        <w:rPr/>
        <w:t xml:space="preserve"> </w:t>
      </w:r>
      <w:r>
        <w:rPr/>
        <w:t>We code intensity as the highest level of intervention rather than the average since the types represent categorical, not ordinal variables.</w:t>
      </w:r>
    </w:p>
  </w:footnote>
  <w:footnote w:id="9">
    <w:p>
      <w:pPr>
        <w:pStyle w:val="Footnotes"/>
        <w:spacing w:before="120" w:after="200"/>
        <w:contextualSpacing/>
        <w:rPr/>
      </w:pPr>
      <w:r>
        <w:rPr>
          <w:rStyle w:val="FootnoteCharacters"/>
        </w:rPr>
        <w:footnoteRef/>
      </w:r>
      <w:r>
        <w:rPr>
          <w:rStyle w:val="FootnoteCharacters"/>
        </w:rPr>
        <w:tab/>
      </w:r>
      <w:r>
        <w:rP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rPr/>
        <w:t xml:space="preserve">the United States is also more in keeping with the loss of strength gradient for retaliations initiated by the United States. </w:t>
      </w:r>
    </w:p>
  </w:footnote>
  <w:footnote w:id="10">
    <w:p>
      <w:pPr>
        <w:pStyle w:val="Footnotes"/>
        <w:spacing w:before="120" w:after="200"/>
        <w:contextualSpacing/>
        <w:rPr/>
      </w:pPr>
      <w:r>
        <w:rPr>
          <w:rStyle w:val="FootnoteCharacters"/>
        </w:rPr>
        <w:footnoteRef/>
      </w:r>
      <w:r>
        <w:rPr>
          <w:rStyle w:val="FootnoteCharacters"/>
        </w:rPr>
        <w:tab/>
      </w:r>
      <w:r>
        <w:rPr/>
        <w:t>Although not considered in detail here, Russian operations in outside cases like Kosovo and Chechnya are also consistent with the observed deterrence gradient.</w:t>
      </w:r>
    </w:p>
  </w:footnote>
  <w:footnote w:id="11">
    <w:p>
      <w:pPr>
        <w:pStyle w:val="Footnotes"/>
        <w:spacing w:before="120" w:after="200"/>
        <w:contextualSpacing/>
        <w:rPr/>
      </w:pPr>
      <w:r>
        <w:rPr>
          <w:rStyle w:val="FootnoteCharacters"/>
        </w:rPr>
        <w:footnoteRef/>
      </w:r>
      <w:r>
        <w:rPr>
          <w:rStyle w:val="FootnoteCharacters"/>
        </w:rPr>
        <w:tab/>
      </w:r>
      <w:r>
        <w:rPr/>
        <w:t xml:space="preserve"> </w:t>
      </w:r>
      <w:r>
        <w:rPr>
          <w:lang w:val="en-CA"/>
        </w:rPr>
        <w:t xml:space="preserve"> </w:t>
      </w:r>
      <w:r>
        <w:rPr>
          <w:lang w:val="en-CA"/>
        </w:rPr>
        <w:t xml:space="preserve">Mixed messages of resolve and restraint are common in covert action </w:t>
      </w:r>
      <w:r>
        <w:fldChar w:fldCharType="begin"/>
      </w:r>
      <w:r>
        <w:rPr/>
        <w:instrText>ADDIN ZOTERO_ITEM CSL_CITATION {"citationID":"a13srnluncb","properties":{"formattedCitation":"(Carson 2018)","plainCitation":"(Carson 2018)","noteIndex":10},"citationItems":[{"id":17470,"uris":["http://zotero.org/users/2506258/items/PEFPVY5I"],"uri":["http://zotero.org/users/2506258/items/PEFPVY5I"],"itemData":{"id":17470,"type":"book","title":"Secret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Pr/>
        <w:fldChar w:fldCharType="separate"/>
      </w:r>
      <w:bookmarkStart w:id="216" w:name="__Fieldmark__1042_4284355980"/>
      <w:r>
        <w:rPr/>
      </w:r>
      <w:r>
        <w:rPr/>
      </w:r>
      <w:r>
        <w:rPr/>
        <w:fldChar w:fldCharType="end"/>
      </w:r>
      <w:bookmarkStart w:id="217" w:name="__Fieldmark__1357_1735709817"/>
      <w:bookmarkEnd w:id="216"/>
      <w:bookmarkEnd w:id="217"/>
      <w:r>
        <w:rPr/>
        <w:t>(Carson 2018)</w:t>
      </w:r>
      <w:r>
        <w:rPr>
          <w:lang w:val="en-CA"/>
        </w:rPr>
        <w:t>.</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a595d"/>
    <w:pPr>
      <w:widowControl/>
      <w:bidi w:val="0"/>
      <w:spacing w:lineRule="auto" w:line="480" w:before="0" w:after="20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link w:val="Heading1Char"/>
    <w:qFormat/>
    <w:rsid w:val="007a595d"/>
    <w:pPr>
      <w:keepNext w:val="true"/>
      <w:spacing w:lineRule="auto" w:line="360" w:before="360" w:after="60"/>
      <w:ind w:right="567" w:hanging="0"/>
      <w:contextualSpacing/>
      <w:outlineLvl w:val="0"/>
    </w:pPr>
    <w:rPr>
      <w:rFonts w:cs="Arial"/>
      <w:b/>
      <w:bCs/>
      <w:kern w:val="2"/>
      <w:szCs w:val="32"/>
    </w:rPr>
  </w:style>
  <w:style w:type="paragraph" w:styleId="Heading2">
    <w:name w:val="Heading 2"/>
    <w:basedOn w:val="Normal"/>
    <w:link w:val="Heading2Char"/>
    <w:qFormat/>
    <w:rsid w:val="007a595d"/>
    <w:pPr>
      <w:keepNext w:val="true"/>
      <w:spacing w:lineRule="auto" w:line="360" w:before="360" w:after="60"/>
      <w:ind w:right="567" w:hanging="0"/>
      <w:contextualSpacing/>
      <w:outlineLvl w:val="1"/>
    </w:pPr>
    <w:rPr>
      <w:rFonts w:cs="Arial"/>
      <w:b/>
      <w:bCs/>
      <w:i/>
      <w:iCs/>
      <w:szCs w:val="28"/>
    </w:rPr>
  </w:style>
  <w:style w:type="paragraph" w:styleId="Heading3">
    <w:name w:val="Heading 3"/>
    <w:basedOn w:val="Normal"/>
    <w:link w:val="Heading3Char"/>
    <w:qFormat/>
    <w:rsid w:val="007a595d"/>
    <w:pPr>
      <w:keepNext w:val="true"/>
      <w:spacing w:lineRule="auto" w:line="360" w:before="360" w:after="60"/>
      <w:ind w:right="567" w:hanging="0"/>
      <w:contextualSpacing/>
      <w:outlineLvl w:val="2"/>
    </w:pPr>
    <w:rPr>
      <w:rFonts w:cs="Arial"/>
      <w:bCs/>
      <w:i/>
      <w:szCs w:val="26"/>
    </w:rPr>
  </w:style>
  <w:style w:type="paragraph" w:styleId="Heading4">
    <w:name w:val="Heading 4"/>
    <w:basedOn w:val="Normal"/>
    <w:link w:val="Heading4Char"/>
    <w:qFormat/>
    <w:rsid w:val="007a595d"/>
    <w:pPr>
      <w:widowControl w:val="false"/>
      <w:bidi w:val="0"/>
      <w:spacing w:lineRule="auto" w:line="276" w:before="360" w:after="200"/>
      <w:jc w:val="left"/>
      <w:outlineLvl w:val="3"/>
    </w:pPr>
    <w:rPr>
      <w:rFonts w:ascii="Cambria" w:hAnsi="Cambria" w:eastAsia="Cambria" w:cs="Cambria"/>
      <w:bCs/>
      <w:color w:val="auto"/>
      <w:kern w:val="0"/>
      <w:sz w:val="24"/>
      <w:szCs w:val="28"/>
      <w:lang w:val="en-US" w:eastAsia="en-US" w:bidi="ar-SA"/>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sid w:val="007a595d"/>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7801a5"/>
    <w:rPr>
      <w:rFonts w:ascii="Times New Roman" w:hAnsi="Times New Roman" w:cs="Times New Roman"/>
      <w:sz w:val="18"/>
      <w:szCs w:val="18"/>
    </w:rPr>
  </w:style>
  <w:style w:type="character" w:styleId="FootnoteTextChar" w:customStyle="1">
    <w:name w:val="Footnote Text Char"/>
    <w:basedOn w:val="DefaultParagraphFont"/>
    <w:link w:val="FootnoteText"/>
    <w:qFormat/>
    <w:rsid w:val="007a595d"/>
    <w:rPr>
      <w:rFonts w:ascii="Times New Roman" w:hAnsi="Times New Roman" w:eastAsia="Times New Roman" w:cs="Times New Roman"/>
      <w:sz w:val="22"/>
      <w:szCs w:val="20"/>
      <w:lang w:val="en-GB" w:eastAsia="en-GB"/>
    </w:rPr>
  </w:style>
  <w:style w:type="character" w:styleId="FootnoteCharacters">
    <w:name w:val="Footnote Characters"/>
    <w:basedOn w:val="DefaultParagraphFont"/>
    <w:qFormat/>
    <w:rsid w:val="007a595d"/>
    <w:rPr>
      <w:vertAlign w:val="superscript"/>
    </w:rPr>
  </w:style>
  <w:style w:type="character" w:styleId="FootnoteAnchor" w:customStyle="1">
    <w:name w:val="Footnote Anchor"/>
    <w:rPr>
      <w:vertAlign w:val="superscript"/>
    </w:rPr>
  </w:style>
  <w:style w:type="character" w:styleId="CommentSubjectChar" w:customStyle="1">
    <w:name w:val="Comment Subject Char"/>
    <w:basedOn w:val="CommentTextChar"/>
    <w:link w:val="CommentSubject"/>
    <w:uiPriority w:val="99"/>
    <w:semiHidden/>
    <w:qFormat/>
    <w:rsid w:val="00ed238d"/>
    <w:rPr>
      <w:b/>
      <w:bCs/>
      <w:sz w:val="20"/>
      <w:szCs w:val="20"/>
    </w:rPr>
  </w:style>
  <w:style w:type="character" w:styleId="InternetLink">
    <w:name w:val="Internet Link"/>
    <w:basedOn w:val="DefaultParagraphFont"/>
    <w:uiPriority w:val="99"/>
    <w:unhideWhenUsed/>
    <w:rsid w:val="00be3839"/>
    <w:rPr>
      <w:color w:val="0000FF" w:themeColor="hyperlink"/>
      <w:u w:val="single"/>
    </w:rPr>
  </w:style>
  <w:style w:type="character" w:styleId="HeaderChar" w:customStyle="1">
    <w:name w:val="Header Char"/>
    <w:basedOn w:val="DefaultParagraphFont"/>
    <w:link w:val="Header"/>
    <w:qFormat/>
    <w:rsid w:val="007a595d"/>
    <w:rPr>
      <w:rFonts w:ascii="Times New Roman" w:hAnsi="Times New Roman" w:eastAsia="Times New Roman" w:cs="Times New Roman"/>
      <w:lang w:val="en-GB" w:eastAsia="en-GB"/>
    </w:rPr>
  </w:style>
  <w:style w:type="character" w:styleId="EndnoteCharacters">
    <w:name w:val="Endnote Characters"/>
    <w:basedOn w:val="DefaultParagraphFont"/>
    <w:qFormat/>
    <w:rsid w:val="007a595d"/>
    <w:rPr>
      <w:vertAlign w:val="superscript"/>
    </w:rPr>
  </w:style>
  <w:style w:type="character" w:styleId="EndnoteAnchor" w:customStyle="1">
    <w:name w:val="Endnote Anchor"/>
    <w:rPr>
      <w:vertAlign w:val="superscript"/>
    </w:rPr>
  </w:style>
  <w:style w:type="character" w:styleId="Heading2Char" w:customStyle="1">
    <w:name w:val="Heading 2 Char"/>
    <w:basedOn w:val="DefaultParagraphFont"/>
    <w:link w:val="Heading2"/>
    <w:qFormat/>
    <w:rsid w:val="007a595d"/>
    <w:rPr>
      <w:rFonts w:ascii="Times New Roman" w:hAnsi="Times New Roman" w:eastAsia="Times New Roman" w:cs="Arial"/>
      <w:b/>
      <w:bCs/>
      <w:i/>
      <w:iCs/>
      <w:szCs w:val="28"/>
      <w:lang w:val="en-GB" w:eastAsia="en-GB"/>
    </w:rPr>
  </w:style>
  <w:style w:type="character" w:styleId="Heading1Char" w:customStyle="1">
    <w:name w:val="Heading 1 Char"/>
    <w:basedOn w:val="DefaultParagraphFont"/>
    <w:link w:val="Heading1"/>
    <w:qFormat/>
    <w:rsid w:val="007a595d"/>
    <w:rPr>
      <w:rFonts w:ascii="Times New Roman" w:hAnsi="Times New Roman" w:eastAsia="Times New Roman" w:cs="Arial"/>
      <w:b/>
      <w:bCs/>
      <w:kern w:val="2"/>
      <w:szCs w:val="32"/>
      <w:lang w:val="en-GB" w:eastAsia="en-GB"/>
    </w:rPr>
  </w:style>
  <w:style w:type="character" w:styleId="Heading3Char" w:customStyle="1">
    <w:name w:val="Heading 3 Char"/>
    <w:basedOn w:val="DefaultParagraphFont"/>
    <w:link w:val="Heading3"/>
    <w:qFormat/>
    <w:rsid w:val="007a595d"/>
    <w:rPr>
      <w:rFonts w:ascii="Times New Roman" w:hAnsi="Times New Roman" w:eastAsia="Times New Roman" w:cs="Arial"/>
      <w:bCs/>
      <w:i/>
      <w:szCs w:val="26"/>
      <w:lang w:val="en-GB" w:eastAsia="en-GB"/>
    </w:rPr>
  </w:style>
  <w:style w:type="character" w:styleId="EndnoteTextChar" w:customStyle="1">
    <w:name w:val="Endnote Text Char"/>
    <w:basedOn w:val="DefaultParagraphFont"/>
    <w:link w:val="EndnoteText"/>
    <w:qFormat/>
    <w:rsid w:val="007a595d"/>
    <w:rPr>
      <w:rFonts w:ascii="Times New Roman" w:hAnsi="Times New Roman" w:eastAsia="Times New Roman" w:cs="Times New Roman"/>
      <w:sz w:val="22"/>
      <w:szCs w:val="20"/>
      <w:lang w:val="en-GB" w:eastAsia="en-GB"/>
    </w:rPr>
  </w:style>
  <w:style w:type="character" w:styleId="Heading4Char" w:customStyle="1">
    <w:name w:val="Heading 4 Char"/>
    <w:basedOn w:val="DefaultParagraphFont"/>
    <w:link w:val="Heading4"/>
    <w:qFormat/>
    <w:rsid w:val="007a595d"/>
    <w:rPr>
      <w:rFonts w:ascii="Times New Roman" w:hAnsi="Times New Roman" w:eastAsia="Times New Roman" w:cs="Times New Roman"/>
      <w:bCs/>
      <w:szCs w:val="28"/>
      <w:lang w:val="en-GB" w:eastAsia="en-GB"/>
    </w:rPr>
  </w:style>
  <w:style w:type="character" w:styleId="FooterChar" w:customStyle="1">
    <w:name w:val="Footer Char"/>
    <w:basedOn w:val="DefaultParagraphFont"/>
    <w:link w:val="Footer"/>
    <w:qFormat/>
    <w:rsid w:val="007a595d"/>
    <w:rPr>
      <w:rFonts w:ascii="Times New Roman" w:hAnsi="Times New Roman" w:eastAsia="Times New Roman" w:cs="Times New Roman"/>
      <w:lang w:val="en-GB" w:eastAsia="en-GB"/>
    </w:rPr>
  </w:style>
  <w:style w:type="character" w:styleId="UnresolvedMention">
    <w:name w:val="Unresolved Mention"/>
    <w:basedOn w:val="DefaultParagraphFont"/>
    <w:uiPriority w:val="99"/>
    <w:semiHidden/>
    <w:unhideWhenUsed/>
    <w:qFormat/>
    <w:rsid w:val="00be3839"/>
    <w:rPr>
      <w:color w:val="605E5C"/>
      <w:shd w:fill="E1DFDD" w:val="clear"/>
    </w:rPr>
  </w:style>
  <w:style w:type="character" w:styleId="TitleChar" w:customStyle="1">
    <w:name w:val="Title Char"/>
    <w:basedOn w:val="DefaultParagraphFont"/>
    <w:link w:val="Title"/>
    <w:qFormat/>
    <w:rsid w:val="00a84d56"/>
    <w:rPr>
      <w:rFonts w:ascii="Times New Roman" w:hAnsi="Times New Roman" w:eastAsia="Times New Roman" w:cs="Times New Roman"/>
      <w:b/>
      <w:sz w:val="72"/>
      <w:szCs w:val="72"/>
      <w:lang w:val="en-GB" w:eastAsia="en-GB"/>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Symbol"/>
    </w:rPr>
  </w:style>
  <w:style w:type="character" w:styleId="ListLabel8">
    <w:name w:val="ListLabel 8"/>
    <w:qFormat/>
    <w:rPr>
      <w:rFonts w:cs="Arial"/>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Arial"/>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Arial"/>
    </w:rPr>
  </w:style>
  <w:style w:type="character" w:styleId="ListLabel15">
    <w:name w:val="ListLabel 1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6c2bc2"/>
    <w:pPr>
      <w:spacing w:lineRule="auto" w:line="240" w:before="0" w:after="200"/>
    </w:pPr>
    <w:rPr>
      <w:i/>
      <w:iCs/>
      <w:color w:val="1F497D" w:themeColor="text2"/>
      <w:sz w:val="18"/>
      <w:szCs w:val="18"/>
    </w:rPr>
  </w:style>
  <w:style w:type="paragraph" w:styleId="Title">
    <w:name w:val="Title"/>
    <w:basedOn w:val="Normal"/>
    <w:next w:val="Normal"/>
    <w:link w:val="TitleChar"/>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7801a5"/>
    <w:pPr>
      <w:spacing w:lineRule="auto" w:line="240"/>
    </w:pPr>
    <w:rPr>
      <w:sz w:val="18"/>
      <w:szCs w:val="18"/>
    </w:rPr>
  </w:style>
  <w:style w:type="paragraph" w:styleId="Footnote">
    <w:name w:val="Footnote Text"/>
    <w:basedOn w:val="Normal"/>
    <w:link w:val="FootnoteTextChar"/>
    <w:autoRedefine/>
    <w:rsid w:val="007a595d"/>
    <w:pPr>
      <w:ind w:left="284" w:hanging="284"/>
    </w:pPr>
    <w:rPr>
      <w:sz w:val="22"/>
      <w:szCs w:val="20"/>
    </w:rPr>
  </w:style>
  <w:style w:type="paragraph" w:styleId="Annotationsubject">
    <w:name w:val="annotation subject"/>
    <w:basedOn w:val="Annotationtext"/>
    <w:link w:val="CommentSubjectChar"/>
    <w:uiPriority w:val="99"/>
    <w:semiHidden/>
    <w:unhideWhenUsed/>
    <w:qFormat/>
    <w:rsid w:val="00ed238d"/>
    <w:pPr/>
    <w:rPr>
      <w:b/>
      <w:bCs/>
    </w:rPr>
  </w:style>
  <w:style w:type="paragraph" w:styleId="Header">
    <w:name w:val="Header"/>
    <w:basedOn w:val="Normal"/>
    <w:link w:val="HeaderChar"/>
    <w:rsid w:val="007a595d"/>
    <w:pPr>
      <w:tabs>
        <w:tab w:val="center" w:pos="4320" w:leader="none"/>
        <w:tab w:val="right" w:pos="8640" w:leader="none"/>
      </w:tabs>
      <w:spacing w:lineRule="auto" w:line="240" w:before="0" w:after="120"/>
      <w:contextualSpacing/>
    </w:pPr>
    <w:rPr/>
  </w:style>
  <w:style w:type="paragraph" w:styleId="Bibliography">
    <w:name w:val="Bibliography"/>
    <w:basedOn w:val="Normal"/>
    <w:next w:val="Normal"/>
    <w:uiPriority w:val="37"/>
    <w:unhideWhenUsed/>
    <w:qFormat/>
    <w:rsid w:val="00f837aa"/>
    <w:pPr>
      <w:spacing w:lineRule="auto" w:line="240"/>
      <w:ind w:left="720" w:hanging="720"/>
    </w:pPr>
    <w:rPr/>
  </w:style>
  <w:style w:type="paragraph" w:styleId="Footer">
    <w:name w:val="Footer"/>
    <w:basedOn w:val="Normal"/>
    <w:link w:val="FooterChar"/>
    <w:rsid w:val="007a595d"/>
    <w:pPr>
      <w:tabs>
        <w:tab w:val="center" w:pos="4320" w:leader="none"/>
        <w:tab w:val="right" w:pos="8640" w:leader="none"/>
      </w:tabs>
      <w:spacing w:lineRule="auto" w:line="240" w:before="240" w:after="200"/>
      <w:contextualSpacing/>
    </w:pPr>
    <w:rPr/>
  </w:style>
  <w:style w:type="paragraph" w:styleId="Articletitle" w:customStyle="1">
    <w:name w:val="Article title"/>
    <w:basedOn w:val="Normal"/>
    <w:next w:val="Normal"/>
    <w:qFormat/>
    <w:rsid w:val="007a595d"/>
    <w:pPr>
      <w:spacing w:lineRule="auto" w:line="360" w:before="0" w:after="120"/>
    </w:pPr>
    <w:rPr>
      <w:b/>
      <w:sz w:val="28"/>
    </w:rPr>
  </w:style>
  <w:style w:type="paragraph" w:styleId="Authornames" w:customStyle="1">
    <w:name w:val="Author names"/>
    <w:basedOn w:val="Normal"/>
    <w:next w:val="Normal"/>
    <w:qFormat/>
    <w:rsid w:val="007a595d"/>
    <w:pPr>
      <w:spacing w:lineRule="auto" w:line="360" w:before="240" w:after="200"/>
    </w:pPr>
    <w:rPr>
      <w:sz w:val="28"/>
    </w:rPr>
  </w:style>
  <w:style w:type="paragraph" w:styleId="Affiliation" w:customStyle="1">
    <w:name w:val="Affiliation"/>
    <w:basedOn w:val="Normal"/>
    <w:qFormat/>
    <w:rsid w:val="007a595d"/>
    <w:pPr>
      <w:spacing w:lineRule="auto" w:line="360" w:before="240" w:after="200"/>
    </w:pPr>
    <w:rPr>
      <w:i/>
    </w:rPr>
  </w:style>
  <w:style w:type="paragraph" w:styleId="Receiveddates" w:customStyle="1">
    <w:name w:val="Received dates"/>
    <w:basedOn w:val="Affiliation"/>
    <w:next w:val="Normal"/>
    <w:qFormat/>
    <w:rsid w:val="007a595d"/>
    <w:pPr/>
    <w:rPr/>
  </w:style>
  <w:style w:type="paragraph" w:styleId="Abstract" w:customStyle="1">
    <w:name w:val="Abstract"/>
    <w:basedOn w:val="Normal"/>
    <w:qFormat/>
    <w:rsid w:val="007a595d"/>
    <w:pPr>
      <w:spacing w:lineRule="auto" w:line="360" w:before="360" w:after="300"/>
      <w:ind w:left="720" w:right="567" w:hanging="0"/>
    </w:pPr>
    <w:rPr>
      <w:sz w:val="22"/>
    </w:rPr>
  </w:style>
  <w:style w:type="paragraph" w:styleId="Keywords" w:customStyle="1">
    <w:name w:val="Keywords"/>
    <w:basedOn w:val="Normal"/>
    <w:qFormat/>
    <w:rsid w:val="007a595d"/>
    <w:pPr>
      <w:spacing w:lineRule="auto" w:line="360" w:before="240" w:after="240"/>
      <w:ind w:left="720" w:right="567" w:hanging="0"/>
    </w:pPr>
    <w:rPr>
      <w:sz w:val="22"/>
    </w:rPr>
  </w:style>
  <w:style w:type="paragraph" w:styleId="Correspondencedetails" w:customStyle="1">
    <w:name w:val="Correspondence details"/>
    <w:basedOn w:val="Normal"/>
    <w:qFormat/>
    <w:rsid w:val="007a595d"/>
    <w:pPr>
      <w:spacing w:lineRule="auto" w:line="360" w:before="240" w:after="200"/>
    </w:pPr>
    <w:rPr/>
  </w:style>
  <w:style w:type="paragraph" w:styleId="Displayedquotation" w:customStyle="1">
    <w:name w:val="Displayed quotation"/>
    <w:basedOn w:val="Normal"/>
    <w:qFormat/>
    <w:rsid w:val="007a595d"/>
    <w:pPr>
      <w:tabs>
        <w:tab w:val="left" w:pos="1077" w:leader="none"/>
        <w:tab w:val="left" w:pos="1440" w:leader="none"/>
        <w:tab w:val="left" w:pos="1797" w:leader="none"/>
        <w:tab w:val="left" w:pos="2155" w:leader="none"/>
        <w:tab w:val="left" w:pos="2512" w:leader="none"/>
      </w:tabs>
      <w:spacing w:lineRule="auto" w:line="360" w:before="240" w:after="360"/>
      <w:ind w:left="709" w:right="425" w:hanging="0"/>
      <w:contextualSpacing/>
    </w:pPr>
    <w:rPr>
      <w:sz w:val="22"/>
    </w:rPr>
  </w:style>
  <w:style w:type="paragraph" w:styleId="Numberedlist" w:customStyle="1">
    <w:name w:val="Numbered list"/>
    <w:basedOn w:val="Paragraph"/>
    <w:qFormat/>
    <w:rsid w:val="007a595d"/>
    <w:pPr>
      <w:widowControl/>
      <w:spacing w:before="0" w:after="240"/>
      <w:contextualSpacing/>
    </w:pPr>
    <w:rPr/>
  </w:style>
  <w:style w:type="paragraph" w:styleId="Displayedequation" w:customStyle="1">
    <w:name w:val="Displayed equation"/>
    <w:basedOn w:val="Normal"/>
    <w:qFormat/>
    <w:rsid w:val="007a595d"/>
    <w:pPr>
      <w:tabs>
        <w:tab w:val="center" w:pos="4253" w:leader="none"/>
        <w:tab w:val="right" w:pos="8222" w:leader="none"/>
      </w:tabs>
      <w:spacing w:before="240" w:after="240"/>
      <w:jc w:val="center"/>
    </w:pPr>
    <w:rPr/>
  </w:style>
  <w:style w:type="paragraph" w:styleId="Acknowledgements" w:customStyle="1">
    <w:name w:val="Acknowledgements"/>
    <w:basedOn w:val="Normal"/>
    <w:next w:val="Normal"/>
    <w:qFormat/>
    <w:rsid w:val="007a595d"/>
    <w:pPr>
      <w:spacing w:lineRule="auto" w:line="360" w:before="120" w:after="200"/>
    </w:pPr>
    <w:rPr>
      <w:sz w:val="22"/>
    </w:rPr>
  </w:style>
  <w:style w:type="paragraph" w:styleId="Tabletitle" w:customStyle="1">
    <w:name w:val="Table title"/>
    <w:basedOn w:val="Normal"/>
    <w:next w:val="Normal"/>
    <w:qFormat/>
    <w:rsid w:val="007a595d"/>
    <w:pPr>
      <w:spacing w:lineRule="auto" w:line="360" w:before="240" w:after="200"/>
    </w:pPr>
    <w:rPr/>
  </w:style>
  <w:style w:type="paragraph" w:styleId="Figurecaption" w:customStyle="1">
    <w:name w:val="Figure caption"/>
    <w:basedOn w:val="Normal"/>
    <w:next w:val="Normal"/>
    <w:qFormat/>
    <w:rsid w:val="007a595d"/>
    <w:pPr>
      <w:spacing w:lineRule="auto" w:line="360" w:before="240" w:after="200"/>
    </w:pPr>
    <w:rPr/>
  </w:style>
  <w:style w:type="paragraph" w:styleId="Footnotes" w:customStyle="1">
    <w:name w:val="Footnotes"/>
    <w:basedOn w:val="Normal"/>
    <w:qFormat/>
    <w:rsid w:val="007a595d"/>
    <w:pPr>
      <w:spacing w:lineRule="auto" w:line="360" w:before="120" w:after="200"/>
      <w:ind w:left="482" w:hanging="482"/>
      <w:contextualSpacing/>
    </w:pPr>
    <w:rPr>
      <w:sz w:val="22"/>
    </w:rPr>
  </w:style>
  <w:style w:type="paragraph" w:styleId="Notesoncontributors" w:customStyle="1">
    <w:name w:val="Notes on contributors"/>
    <w:basedOn w:val="Normal"/>
    <w:qFormat/>
    <w:rsid w:val="007a595d"/>
    <w:pPr>
      <w:spacing w:lineRule="auto" w:line="360" w:before="240" w:after="200"/>
    </w:pPr>
    <w:rPr>
      <w:sz w:val="22"/>
    </w:rPr>
  </w:style>
  <w:style w:type="paragraph" w:styleId="Normalparagraphstyle" w:customStyle="1">
    <w:name w:val="Normal paragraph style"/>
    <w:basedOn w:val="Normal"/>
    <w:next w:val="Normal"/>
    <w:qFormat/>
    <w:rsid w:val="007a595d"/>
    <w:pPr/>
    <w:rPr/>
  </w:style>
  <w:style w:type="paragraph" w:styleId="Paragraph" w:customStyle="1">
    <w:name w:val="Paragraph"/>
    <w:basedOn w:val="Normal"/>
    <w:qFormat/>
    <w:rsid w:val="007a595d"/>
    <w:pPr>
      <w:widowControl w:val="false"/>
      <w:spacing w:before="240" w:after="200"/>
    </w:pPr>
    <w:rPr/>
  </w:style>
  <w:style w:type="paragraph" w:styleId="Newparagraph" w:customStyle="1">
    <w:name w:val="New paragraph"/>
    <w:basedOn w:val="Normal"/>
    <w:qFormat/>
    <w:rsid w:val="007a595d"/>
    <w:pPr>
      <w:ind w:firstLine="720"/>
    </w:pPr>
    <w:rPr/>
  </w:style>
  <w:style w:type="paragraph" w:styleId="NormalIndent">
    <w:name w:val="Normal Indent"/>
    <w:basedOn w:val="Normal"/>
    <w:qFormat/>
    <w:rsid w:val="007a595d"/>
    <w:pPr>
      <w:ind w:left="720" w:hanging="0"/>
    </w:pPr>
    <w:rPr/>
  </w:style>
  <w:style w:type="paragraph" w:styleId="References" w:customStyle="1">
    <w:name w:val="References"/>
    <w:basedOn w:val="Normal"/>
    <w:qFormat/>
    <w:rsid w:val="007a595d"/>
    <w:pPr>
      <w:spacing w:lineRule="auto" w:line="360" w:before="120" w:after="200"/>
      <w:ind w:left="720" w:hanging="720"/>
      <w:contextualSpacing/>
    </w:pPr>
    <w:rPr/>
  </w:style>
  <w:style w:type="paragraph" w:styleId="Subjectcodes" w:customStyle="1">
    <w:name w:val="Subject codes"/>
    <w:basedOn w:val="Keywords"/>
    <w:next w:val="Paragraph"/>
    <w:qFormat/>
    <w:rsid w:val="007a595d"/>
    <w:pPr/>
    <w:rPr/>
  </w:style>
  <w:style w:type="paragraph" w:styleId="Bulletedlist" w:customStyle="1">
    <w:name w:val="Bulleted list"/>
    <w:basedOn w:val="Paragraph"/>
    <w:next w:val="Paragraph"/>
    <w:qFormat/>
    <w:rsid w:val="007a595d"/>
    <w:pPr>
      <w:widowControl/>
      <w:spacing w:before="240" w:after="240"/>
      <w:contextualSpacing/>
    </w:pPr>
    <w:rPr/>
  </w:style>
  <w:style w:type="paragraph" w:styleId="Endnote">
    <w:name w:val="Endnote Text"/>
    <w:basedOn w:val="Normal"/>
    <w:link w:val="EndnoteTextChar"/>
    <w:autoRedefine/>
    <w:rsid w:val="007a595d"/>
    <w:pPr>
      <w:ind w:left="284" w:hanging="284"/>
    </w:pPr>
    <w:rPr>
      <w:sz w:val="22"/>
      <w:szCs w:val="20"/>
    </w:rPr>
  </w:style>
  <w:style w:type="paragraph" w:styleId="Heading4Paragraph" w:customStyle="1">
    <w:name w:val="Heading 4 + Paragraph"/>
    <w:basedOn w:val="Paragraph"/>
    <w:qFormat/>
    <w:rsid w:val="007a595d"/>
    <w:pPr>
      <w:widowControl/>
      <w:spacing w:before="360" w:after="200"/>
    </w:pPr>
    <w:rPr/>
  </w:style>
  <w:style w:type="paragraph" w:styleId="FirstParagraph" w:customStyle="1">
    <w:name w:val="First Paragraph"/>
    <w:basedOn w:val="TextBody"/>
    <w:qFormat/>
    <w:rsid w:val="00a84d56"/>
    <w:pPr>
      <w:spacing w:lineRule="auto" w:line="240" w:before="180" w:after="180"/>
    </w:pPr>
    <w:rPr>
      <w:rFonts w:ascii="Cambria" w:hAnsi="Cambria" w:eastAsia="Cambria" w:cs="" w:asciiTheme="minorHAnsi" w:cstheme="minorBidi" w:eastAsiaTheme="minorHAnsi" w:hAnsiTheme="minorHAnsi"/>
      <w:lang w:val="en-US" w:eastAsia="en-US"/>
    </w:rPr>
  </w:style>
  <w:style w:type="paragraph" w:styleId="Compact" w:customStyle="1">
    <w:name w:val="Compact"/>
    <w:basedOn w:val="TextBody"/>
    <w:qFormat/>
    <w:rsid w:val="00a84d56"/>
    <w:pPr>
      <w:spacing w:lineRule="auto" w:line="240" w:before="36" w:after="36"/>
    </w:pPr>
    <w:rPr>
      <w:rFonts w:ascii="Cambria" w:hAnsi="Cambria" w:eastAsia="Cambria" w:cs="" w:asciiTheme="minorHAnsi" w:cstheme="minorBidi" w:eastAsiaTheme="minorHAnsi" w:hAnsiTheme="minorHAnsi"/>
      <w:lang w:val="en-US" w:eastAsia="en-US"/>
    </w:rPr>
  </w:style>
  <w:style w:type="numbering" w:styleId="NoList" w:default="1">
    <w:name w:val="No List"/>
    <w:uiPriority w:val="99"/>
    <w:semiHidden/>
    <w:unhideWhenUsed/>
    <w:qFormat/>
    <w:rsid w:val="007a59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qFormat/>
    <w:rsid w:val="00a84d56"/>
    <w:pPr>
      <w:spacing w:after="200"/>
    </w:pPr>
    <w:rPr>
      <w:rFonts w:asciiTheme="minorHAnsi" w:hAnsiTheme="minorHAnsi" w:eastAsiaTheme="minorHAnsi" w:cstheme="minorBidi"/>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702AC9-A2F0-4E6A-B6F7-9136DC1B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143</TotalTime>
  <Application>LibreOffice/6.0.7.3$Linux_X86_64 LibreOffice_project/00m0$Build-3</Application>
  <Pages>42</Pages>
  <Words>12298</Words>
  <Characters>70543</Characters>
  <CharactersWithSpaces>82278</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2019-09-09T14:28:00Z</dcterms:created>
  <dc:creator>Jon Lindsay</dc:creator>
  <dc:description/>
  <dc:language>en-US</dc:language>
  <cp:lastModifiedBy/>
  <dcterms:modified xsi:type="dcterms:W3CDTF">2020-01-07T11:19:20Z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zotero-version="5.0.74"&gt;&lt;session id="5I7vyisu"/&gt;&lt;style id="http://www.zotero.org/styles/chicago-author-date" locale="en-US" hasBibliography="1" bibliographyStyleHasBeenSet="1"/&gt;&lt;prefs&gt;&lt;pref name="fieldType" value="Field"/&gt;&lt;pref name</vt:lpwstr>
  </property>
  <property fmtid="{D5CDD505-2E9C-101B-9397-08002B2CF9AE}" pid="9" name="ZOTERO_PREF_2">
    <vt:lpwstr>="automaticJournalAbbreviations" value="true"/&gt;&lt;pref name="delayCitationUpdates" value="true"/&gt;&lt;pref name="dontAskDelayCitationUpdates" value="true"/&gt;&lt;/prefs&gt;&lt;/data&gt;</vt:lpwstr>
  </property>
</Properties>
</file>