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B47" w:rsidRDefault="005A20E3" w:rsidP="0032056B">
      <w:pPr>
        <w:jc w:val="center"/>
        <w:rPr>
          <w:rFonts w:asciiTheme="majorHAnsi" w:hAnsiTheme="majorHAnsi"/>
          <w:b/>
          <w:sz w:val="28"/>
          <w:u w:val="single"/>
        </w:rPr>
      </w:pPr>
      <w:r>
        <w:rPr>
          <w:rFonts w:asciiTheme="majorHAnsi" w:hAnsiTheme="majorHAnsi"/>
          <w:b/>
          <w:sz w:val="28"/>
          <w:u w:val="single"/>
        </w:rPr>
        <w:t xml:space="preserve">SOCOM SMA </w:t>
      </w:r>
      <w:r w:rsidR="004460B5" w:rsidRPr="00BC271C">
        <w:rPr>
          <w:rFonts w:asciiTheme="majorHAnsi" w:hAnsiTheme="majorHAnsi"/>
          <w:b/>
          <w:sz w:val="28"/>
          <w:u w:val="single"/>
        </w:rPr>
        <w:t>Gr</w:t>
      </w:r>
      <w:r w:rsidR="00545346">
        <w:rPr>
          <w:rFonts w:asciiTheme="majorHAnsi" w:hAnsiTheme="majorHAnsi"/>
          <w:b/>
          <w:sz w:val="28"/>
          <w:u w:val="single"/>
        </w:rPr>
        <w:t>a</w:t>
      </w:r>
      <w:r w:rsidR="004460B5" w:rsidRPr="00BC271C">
        <w:rPr>
          <w:rFonts w:asciiTheme="majorHAnsi" w:hAnsiTheme="majorHAnsi"/>
          <w:b/>
          <w:sz w:val="28"/>
          <w:u w:val="single"/>
        </w:rPr>
        <w:t xml:space="preserve">y Zone Follow-on </w:t>
      </w:r>
      <w:r w:rsidR="00AB7233">
        <w:rPr>
          <w:rFonts w:asciiTheme="majorHAnsi" w:hAnsiTheme="majorHAnsi"/>
          <w:b/>
          <w:sz w:val="28"/>
          <w:u w:val="single"/>
        </w:rPr>
        <w:t xml:space="preserve">Virtual </w:t>
      </w:r>
      <w:r w:rsidR="00BC271C">
        <w:rPr>
          <w:rFonts w:asciiTheme="majorHAnsi" w:hAnsiTheme="majorHAnsi"/>
          <w:b/>
          <w:sz w:val="28"/>
          <w:u w:val="single"/>
        </w:rPr>
        <w:t>Conver</w:t>
      </w:r>
      <w:r w:rsidR="001521FE">
        <w:rPr>
          <w:rFonts w:asciiTheme="majorHAnsi" w:hAnsiTheme="majorHAnsi"/>
          <w:b/>
          <w:sz w:val="28"/>
          <w:u w:val="single"/>
        </w:rPr>
        <w:t>s</w:t>
      </w:r>
      <w:r w:rsidR="00BC271C">
        <w:rPr>
          <w:rFonts w:asciiTheme="majorHAnsi" w:hAnsiTheme="majorHAnsi"/>
          <w:b/>
          <w:sz w:val="28"/>
          <w:u w:val="single"/>
        </w:rPr>
        <w:t xml:space="preserve">ation </w:t>
      </w:r>
      <w:r w:rsidR="004460B5" w:rsidRPr="00BC271C">
        <w:rPr>
          <w:rFonts w:asciiTheme="majorHAnsi" w:hAnsiTheme="majorHAnsi"/>
          <w:b/>
          <w:sz w:val="28"/>
          <w:u w:val="single"/>
        </w:rPr>
        <w:t>I</w:t>
      </w:r>
      <w:r w:rsidR="00C67E5F">
        <w:rPr>
          <w:rFonts w:asciiTheme="majorHAnsi" w:hAnsiTheme="majorHAnsi"/>
          <w:b/>
          <w:sz w:val="28"/>
          <w:u w:val="single"/>
        </w:rPr>
        <w:t>V</w:t>
      </w:r>
    </w:p>
    <w:p w:rsidR="00141B38" w:rsidRDefault="00141B38" w:rsidP="00141B38">
      <w:pPr>
        <w:jc w:val="center"/>
        <w:rPr>
          <w:rFonts w:asciiTheme="majorHAnsi" w:hAnsiTheme="majorHAnsi"/>
          <w:b/>
          <w:sz w:val="24"/>
        </w:rPr>
      </w:pPr>
      <w:r>
        <w:rPr>
          <w:rFonts w:asciiTheme="majorHAnsi" w:hAnsiTheme="majorHAnsi"/>
          <w:b/>
          <w:sz w:val="24"/>
        </w:rPr>
        <w:t xml:space="preserve">12 </w:t>
      </w:r>
      <w:r w:rsidR="00D00E40">
        <w:rPr>
          <w:rFonts w:asciiTheme="majorHAnsi" w:hAnsiTheme="majorHAnsi"/>
          <w:b/>
          <w:sz w:val="24"/>
        </w:rPr>
        <w:t>August</w:t>
      </w:r>
      <w:r>
        <w:rPr>
          <w:rFonts w:asciiTheme="majorHAnsi" w:hAnsiTheme="majorHAnsi"/>
          <w:b/>
          <w:sz w:val="24"/>
        </w:rPr>
        <w:t xml:space="preserve"> 1000-1130 ET</w:t>
      </w:r>
    </w:p>
    <w:p w:rsidR="00141B38" w:rsidRPr="00E15503" w:rsidRDefault="00141B38" w:rsidP="00E15503">
      <w:pPr>
        <w:jc w:val="center"/>
        <w:rPr>
          <w:b/>
        </w:rPr>
      </w:pPr>
      <w:r w:rsidRPr="00141B38">
        <w:rPr>
          <w:rFonts w:asciiTheme="majorHAnsi" w:hAnsiTheme="majorHAnsi"/>
          <w:b/>
          <w:sz w:val="24"/>
        </w:rPr>
        <w:t>You can attend in person or dial in (</w:t>
      </w:r>
      <w:r w:rsidRPr="00141B38">
        <w:rPr>
          <w:b/>
        </w:rPr>
        <w:t>866-712-4038; 60114984#)</w:t>
      </w:r>
    </w:p>
    <w:p w:rsidR="00463443" w:rsidRPr="00085016" w:rsidRDefault="00463443" w:rsidP="00131112">
      <w:pPr>
        <w:rPr>
          <w:b/>
          <w:bCs/>
          <w:color w:val="365F91" w:themeColor="accent1" w:themeShade="BF"/>
          <w:u w:val="single"/>
        </w:rPr>
      </w:pPr>
      <w:r w:rsidRPr="00085016">
        <w:rPr>
          <w:b/>
          <w:bCs/>
          <w:color w:val="365F91" w:themeColor="accent1" w:themeShade="BF"/>
          <w:u w:val="single"/>
        </w:rPr>
        <w:t>Topic 1: Gray Zone Working Definition</w:t>
      </w: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xml:space="preserve">"The Gray Zone is a conceptual space between peace and war, occurring when actors purposefully use multiple elements of power to achieve political-security objectives with activities that </w:t>
      </w:r>
      <w:r w:rsidR="004C54D6" w:rsidRPr="00085016">
        <w:rPr>
          <w:rFonts w:asciiTheme="minorHAnsi" w:hAnsiTheme="minorHAnsi"/>
          <w:szCs w:val="22"/>
        </w:rPr>
        <w:t xml:space="preserve">are ambiguous or </w:t>
      </w:r>
      <w:r w:rsidRPr="00085016">
        <w:rPr>
          <w:rFonts w:asciiTheme="minorHAnsi" w:hAnsiTheme="minorHAnsi"/>
          <w:szCs w:val="22"/>
        </w:rPr>
        <w:t>cloud attribution and exceed the threshold of ordinary competition, yet fall below the level of large-scale direct military conflict, and threaten US and allied interests by challenging, undermining, or violating international customs, norms, or laws."</w:t>
      </w:r>
    </w:p>
    <w:p w:rsidR="004310B4" w:rsidRPr="00085016" w:rsidRDefault="004310B4" w:rsidP="004310B4">
      <w:pPr>
        <w:pStyle w:val="PlainText"/>
        <w:rPr>
          <w:rFonts w:asciiTheme="minorHAnsi" w:hAnsiTheme="minorHAnsi"/>
          <w:szCs w:val="22"/>
        </w:rPr>
      </w:pP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Gray Zone activity:</w:t>
      </w:r>
    </w:p>
    <w:p w:rsidR="004310B4" w:rsidRPr="00085016" w:rsidRDefault="004310B4" w:rsidP="004310B4">
      <w:pPr>
        <w:pStyle w:val="PlainText"/>
        <w:rPr>
          <w:rFonts w:asciiTheme="minorHAnsi" w:hAnsiTheme="minorHAnsi"/>
          <w:szCs w:val="22"/>
        </w:rPr>
      </w:pP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xml:space="preserve">An adversary's purposeful use of single or multiple elements of power to achieve security objectives by way of activities that </w:t>
      </w:r>
      <w:r w:rsidR="004C54D6" w:rsidRPr="00085016">
        <w:rPr>
          <w:rFonts w:asciiTheme="minorHAnsi" w:hAnsiTheme="minorHAnsi"/>
          <w:szCs w:val="22"/>
        </w:rPr>
        <w:t xml:space="preserve">are ambiguous or </w:t>
      </w:r>
      <w:r w:rsidRPr="00085016">
        <w:rPr>
          <w:rFonts w:asciiTheme="minorHAnsi" w:hAnsiTheme="minorHAnsi"/>
          <w:szCs w:val="22"/>
        </w:rPr>
        <w:t>cloud attribution, and exceed the threshold of ordinary competition, yet apparently fall below the level of open warfare.</w:t>
      </w: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In most cases once significant, attributable coercive force has been used, the activities are no longer considered to be in the Gray Zone but have transitioned into the realm of traditional warfare.</w:t>
      </w: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xml:space="preserve">*       While Gray Zone activities may involve non-security domains and elements of national power they are activities taken by an actor for the purpose of gaining some broadly-defined security advantage over another.  </w:t>
      </w:r>
    </w:p>
    <w:p w:rsidR="004310B4" w:rsidRPr="00085016" w:rsidRDefault="004310B4" w:rsidP="004310B4">
      <w:pPr>
        <w:pStyle w:val="PlainText"/>
        <w:rPr>
          <w:rFonts w:asciiTheme="minorHAnsi" w:hAnsiTheme="minorHAnsi"/>
          <w:szCs w:val="22"/>
        </w:rPr>
      </w:pP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Gray Zone Threat</w:t>
      </w:r>
    </w:p>
    <w:p w:rsidR="004310B4" w:rsidRPr="00085016" w:rsidRDefault="004310B4" w:rsidP="004310B4">
      <w:pPr>
        <w:pStyle w:val="PlainText"/>
        <w:rPr>
          <w:rFonts w:asciiTheme="minorHAnsi" w:hAnsiTheme="minorHAnsi"/>
          <w:szCs w:val="22"/>
        </w:rPr>
      </w:pP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Actions of a state or non-state actor that challenge or violate international customs, norms and laws for the purpose of pursuing one or more broadly-defined national security interests without provoking direct military response.</w:t>
      </w:r>
    </w:p>
    <w:p w:rsidR="004310B4" w:rsidRPr="00085016" w:rsidRDefault="004310B4" w:rsidP="004310B4">
      <w:pPr>
        <w:pStyle w:val="PlainText"/>
        <w:rPr>
          <w:rFonts w:asciiTheme="minorHAnsi" w:hAnsiTheme="minorHAnsi"/>
          <w:szCs w:val="22"/>
        </w:rPr>
      </w:pP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xml:space="preserve">*       Gray zone threats can occur in three ways relative to international rules and norms, they can: </w:t>
      </w: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1) challenge common understandings, conventions and international norms while stopping short of clear violations of international law (e.g., much of China's use of the "Little Blue Men");</w:t>
      </w:r>
    </w:p>
    <w:p w:rsidR="004310B4" w:rsidRPr="00085016" w:rsidRDefault="004310B4" w:rsidP="004310B4">
      <w:pPr>
        <w:pStyle w:val="PlainText"/>
        <w:rPr>
          <w:rFonts w:asciiTheme="minorHAnsi" w:hAnsiTheme="minorHAnsi"/>
          <w:szCs w:val="22"/>
        </w:rPr>
      </w:pPr>
      <w:r w:rsidRPr="00085016">
        <w:rPr>
          <w:rFonts w:asciiTheme="minorHAnsi" w:hAnsiTheme="minorHAnsi"/>
          <w:szCs w:val="22"/>
        </w:rPr>
        <w:t xml:space="preserve">2) </w:t>
      </w:r>
      <w:proofErr w:type="gramStart"/>
      <w:r w:rsidRPr="00085016">
        <w:rPr>
          <w:rFonts w:asciiTheme="minorHAnsi" w:hAnsiTheme="minorHAnsi"/>
          <w:szCs w:val="22"/>
        </w:rPr>
        <w:t>employ</w:t>
      </w:r>
      <w:proofErr w:type="gramEnd"/>
      <w:r w:rsidRPr="00085016">
        <w:rPr>
          <w:rFonts w:asciiTheme="minorHAnsi" w:hAnsiTheme="minorHAnsi"/>
          <w:szCs w:val="22"/>
        </w:rPr>
        <w:t xml:space="preserve"> violations of both international norms and laws in ways intended to avoid the penalties associated with legal violations (e.g., Russian activities in Crimea); or </w:t>
      </w:r>
    </w:p>
    <w:p w:rsidR="003E73ED" w:rsidRDefault="004310B4" w:rsidP="004310B4">
      <w:pPr>
        <w:pStyle w:val="PlainText"/>
        <w:rPr>
          <w:rFonts w:asciiTheme="minorHAnsi" w:hAnsiTheme="minorHAnsi"/>
          <w:szCs w:val="22"/>
        </w:rPr>
      </w:pPr>
      <w:r w:rsidRPr="00085016">
        <w:rPr>
          <w:rFonts w:asciiTheme="minorHAnsi" w:hAnsiTheme="minorHAnsi"/>
          <w:szCs w:val="22"/>
        </w:rPr>
        <w:t xml:space="preserve">3) </w:t>
      </w:r>
      <w:r w:rsidR="00B669A9" w:rsidRPr="00085016">
        <w:rPr>
          <w:rFonts w:asciiTheme="minorHAnsi" w:hAnsiTheme="minorHAnsi"/>
          <w:szCs w:val="22"/>
        </w:rPr>
        <w:t>VEOs and Non-State Actors integrating elements of power to advance particular security interests</w:t>
      </w:r>
    </w:p>
    <w:p w:rsidR="00424F00" w:rsidRPr="00085016" w:rsidRDefault="00424F00" w:rsidP="004310B4">
      <w:pPr>
        <w:pStyle w:val="PlainText"/>
        <w:rPr>
          <w:rFonts w:asciiTheme="minorHAnsi" w:hAnsiTheme="minorHAnsi"/>
          <w:szCs w:val="22"/>
        </w:rPr>
      </w:pPr>
    </w:p>
    <w:p w:rsidR="003F1603" w:rsidRPr="007E1272" w:rsidRDefault="00F23806" w:rsidP="00424F00">
      <w:pPr>
        <w:pStyle w:val="PlainText"/>
        <w:rPr>
          <w:rFonts w:asciiTheme="minorHAnsi" w:hAnsiTheme="minorHAnsi"/>
          <w:b/>
          <w:color w:val="4F81BD" w:themeColor="accent1"/>
          <w:szCs w:val="22"/>
        </w:rPr>
      </w:pPr>
      <w:r>
        <w:rPr>
          <w:rFonts w:asciiTheme="minorHAnsi" w:hAnsiTheme="minorHAnsi"/>
          <w:b/>
          <w:color w:val="4F81BD" w:themeColor="accent1"/>
          <w:szCs w:val="22"/>
        </w:rPr>
        <w:t xml:space="preserve">CAPT Phil Kapusta, </w:t>
      </w:r>
      <w:r w:rsidR="003E73ED" w:rsidRPr="007E1272">
        <w:rPr>
          <w:rFonts w:asciiTheme="minorHAnsi" w:hAnsiTheme="minorHAnsi"/>
          <w:b/>
          <w:color w:val="4F81BD" w:themeColor="accent1"/>
          <w:szCs w:val="22"/>
        </w:rPr>
        <w:t>Mr. Jay Rouse</w:t>
      </w:r>
      <w:r>
        <w:rPr>
          <w:rFonts w:asciiTheme="minorHAnsi" w:hAnsiTheme="minorHAnsi"/>
          <w:b/>
          <w:color w:val="4F81BD" w:themeColor="accent1"/>
          <w:szCs w:val="22"/>
        </w:rPr>
        <w:t>, Dr. Allison Astorino-Courtois, and Mr. Gary Phillips</w:t>
      </w:r>
      <w:bookmarkStart w:id="0" w:name="_GoBack"/>
      <w:bookmarkEnd w:id="0"/>
    </w:p>
    <w:p w:rsidR="00424F00" w:rsidRPr="00424F00" w:rsidRDefault="00424F00" w:rsidP="00424F00">
      <w:pPr>
        <w:pStyle w:val="PlainText"/>
        <w:rPr>
          <w:rFonts w:asciiTheme="minorHAnsi" w:hAnsiTheme="minorHAnsi"/>
          <w:szCs w:val="22"/>
        </w:rPr>
      </w:pPr>
    </w:p>
    <w:p w:rsidR="00EC7FC6" w:rsidRPr="00085016" w:rsidRDefault="00EC7FC6" w:rsidP="00EC7FC6">
      <w:pPr>
        <w:rPr>
          <w:b/>
          <w:color w:val="365F91" w:themeColor="accent1" w:themeShade="BF"/>
          <w:u w:val="single"/>
        </w:rPr>
      </w:pPr>
      <w:r w:rsidRPr="00085016">
        <w:rPr>
          <w:b/>
          <w:color w:val="365F91" w:themeColor="accent1" w:themeShade="BF"/>
          <w:u w:val="single"/>
        </w:rPr>
        <w:t xml:space="preserve">Topic </w:t>
      </w:r>
      <w:r w:rsidR="00795E22" w:rsidRPr="00085016">
        <w:rPr>
          <w:b/>
          <w:color w:val="365F91" w:themeColor="accent1" w:themeShade="BF"/>
          <w:u w:val="single"/>
        </w:rPr>
        <w:t>2</w:t>
      </w:r>
      <w:r w:rsidRPr="00085016">
        <w:rPr>
          <w:b/>
          <w:color w:val="365F91" w:themeColor="accent1" w:themeShade="BF"/>
          <w:u w:val="single"/>
        </w:rPr>
        <w:t>:  Historical Precedents</w:t>
      </w:r>
    </w:p>
    <w:p w:rsidR="003C1AB4" w:rsidRPr="00085016" w:rsidRDefault="00086306" w:rsidP="003C1AB4">
      <w:pPr>
        <w:pStyle w:val="ListParagraph"/>
        <w:ind w:left="0"/>
      </w:pPr>
      <w:r w:rsidRPr="00085016">
        <w:t xml:space="preserve">Using </w:t>
      </w:r>
      <w:r w:rsidR="00D00E40" w:rsidRPr="00085016">
        <w:t xml:space="preserve">Crimea </w:t>
      </w:r>
      <w:r w:rsidRPr="00085016">
        <w:t>and South China Sea as recent and ongoing Gray Zone Conflicts, present a couple slides that use the SMA’s definitions to describe and bound the security dilemma – taking Gray Zone discussions from the academic to the operational.</w:t>
      </w:r>
    </w:p>
    <w:p w:rsidR="00463443" w:rsidRPr="007E1272" w:rsidRDefault="003F1603" w:rsidP="00463443">
      <w:pPr>
        <w:rPr>
          <w:b/>
          <w:bCs/>
          <w:color w:val="4F81BD" w:themeColor="accent1"/>
        </w:rPr>
      </w:pPr>
      <w:r w:rsidRPr="007E1272">
        <w:rPr>
          <w:b/>
          <w:bCs/>
          <w:color w:val="4F81BD" w:themeColor="accent1"/>
        </w:rPr>
        <w:t>Mr. Jay Rouse</w:t>
      </w:r>
    </w:p>
    <w:p w:rsidR="00085016" w:rsidRDefault="00085016" w:rsidP="00315D09">
      <w:pPr>
        <w:rPr>
          <w:b/>
          <w:bCs/>
          <w:color w:val="365F91" w:themeColor="accent1" w:themeShade="BF"/>
          <w:u w:val="single"/>
        </w:rPr>
      </w:pPr>
    </w:p>
    <w:p w:rsidR="00795E22" w:rsidRPr="00085016" w:rsidRDefault="00795E22" w:rsidP="00315D09">
      <w:pPr>
        <w:rPr>
          <w:b/>
          <w:bCs/>
          <w:color w:val="365F91" w:themeColor="accent1" w:themeShade="BF"/>
          <w:u w:val="single"/>
        </w:rPr>
      </w:pPr>
      <w:r w:rsidRPr="00085016">
        <w:rPr>
          <w:b/>
          <w:bCs/>
          <w:color w:val="365F91" w:themeColor="accent1" w:themeShade="BF"/>
          <w:u w:val="single"/>
        </w:rPr>
        <w:t>Topic 3: “Indicators” and “Watch Center Concepts” in the Gray Zone</w:t>
      </w:r>
    </w:p>
    <w:p w:rsidR="00424F00" w:rsidRDefault="00DC631E" w:rsidP="00DC631E">
      <w:pPr>
        <w:pStyle w:val="PlainText"/>
        <w:rPr>
          <w:rFonts w:asciiTheme="minorHAnsi" w:hAnsiTheme="minorHAnsi"/>
          <w:szCs w:val="22"/>
        </w:rPr>
      </w:pPr>
      <w:r w:rsidRPr="00085016">
        <w:rPr>
          <w:rFonts w:asciiTheme="minorHAnsi" w:hAnsiTheme="minorHAnsi"/>
          <w:szCs w:val="22"/>
        </w:rPr>
        <w:t>What dimensions of data/tracking/indicators/analysis should be included in a Watch Center concept?</w:t>
      </w:r>
    </w:p>
    <w:p w:rsidR="00424F00" w:rsidRDefault="00424F00" w:rsidP="00DC631E">
      <w:pPr>
        <w:pStyle w:val="PlainText"/>
        <w:rPr>
          <w:rFonts w:asciiTheme="minorHAnsi" w:hAnsiTheme="minorHAnsi"/>
          <w:szCs w:val="22"/>
        </w:rPr>
      </w:pPr>
    </w:p>
    <w:p w:rsidR="00424F00" w:rsidRDefault="00DC631E" w:rsidP="00DC631E">
      <w:pPr>
        <w:pStyle w:val="PlainText"/>
        <w:numPr>
          <w:ilvl w:val="0"/>
          <w:numId w:val="31"/>
        </w:numPr>
        <w:rPr>
          <w:rFonts w:asciiTheme="minorHAnsi" w:hAnsiTheme="minorHAnsi"/>
          <w:szCs w:val="22"/>
        </w:rPr>
      </w:pPr>
      <w:r w:rsidRPr="00085016">
        <w:rPr>
          <w:rFonts w:asciiTheme="minorHAnsi" w:hAnsiTheme="minorHAnsi"/>
          <w:szCs w:val="22"/>
        </w:rPr>
        <w:t>PMESII spectrum indicators?</w:t>
      </w:r>
    </w:p>
    <w:p w:rsid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Other dimensions?</w:t>
      </w:r>
    </w:p>
    <w:p w:rsidR="00DC631E" w:rsidRP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Cross-domain indicators?  Is some sort of standard taxonomy needed for linking/relating indicators?</w:t>
      </w:r>
    </w:p>
    <w:p w:rsidR="00DC631E" w:rsidRPr="00085016" w:rsidRDefault="00DC631E" w:rsidP="00DC631E">
      <w:pPr>
        <w:pStyle w:val="PlainText"/>
        <w:rPr>
          <w:rFonts w:asciiTheme="minorHAnsi" w:hAnsiTheme="minorHAnsi"/>
          <w:szCs w:val="22"/>
        </w:rPr>
      </w:pPr>
      <w:r w:rsidRPr="00085016">
        <w:rPr>
          <w:rFonts w:asciiTheme="minorHAnsi" w:hAnsiTheme="minorHAnsi"/>
          <w:szCs w:val="22"/>
        </w:rPr>
        <w:t xml:space="preserve"> </w:t>
      </w:r>
    </w:p>
    <w:p w:rsidR="00DC631E" w:rsidRPr="00085016" w:rsidRDefault="00DC631E" w:rsidP="00DC631E">
      <w:pPr>
        <w:pStyle w:val="PlainText"/>
        <w:rPr>
          <w:rFonts w:asciiTheme="minorHAnsi" w:hAnsiTheme="minorHAnsi"/>
          <w:szCs w:val="22"/>
        </w:rPr>
      </w:pPr>
      <w:r w:rsidRPr="00085016">
        <w:rPr>
          <w:rFonts w:asciiTheme="minorHAnsi" w:hAnsiTheme="minorHAnsi"/>
          <w:szCs w:val="22"/>
        </w:rPr>
        <w:t>What should be the role of causal reasoning/modeling in a watch center concept?</w:t>
      </w:r>
    </w:p>
    <w:p w:rsidR="00DC631E" w:rsidRPr="00085016" w:rsidRDefault="00DC631E" w:rsidP="00DC631E">
      <w:pPr>
        <w:pStyle w:val="PlainText"/>
        <w:rPr>
          <w:rFonts w:asciiTheme="minorHAnsi" w:hAnsiTheme="minorHAnsi"/>
          <w:szCs w:val="22"/>
        </w:rPr>
      </w:pPr>
    </w:p>
    <w:p w:rsidR="00424F00" w:rsidRDefault="00DC631E" w:rsidP="00DC631E">
      <w:pPr>
        <w:pStyle w:val="PlainText"/>
        <w:rPr>
          <w:rFonts w:asciiTheme="minorHAnsi" w:hAnsiTheme="minorHAnsi"/>
          <w:szCs w:val="22"/>
        </w:rPr>
      </w:pPr>
      <w:r w:rsidRPr="00085016">
        <w:rPr>
          <w:rFonts w:asciiTheme="minorHAnsi" w:hAnsiTheme="minorHAnsi"/>
          <w:szCs w:val="22"/>
        </w:rPr>
        <w:t xml:space="preserve">What Phenomena should </w:t>
      </w:r>
      <w:r w:rsidR="00424F00">
        <w:rPr>
          <w:rFonts w:asciiTheme="minorHAnsi" w:hAnsiTheme="minorHAnsi"/>
          <w:szCs w:val="22"/>
        </w:rPr>
        <w:t>be covered/raised for attention?</w:t>
      </w:r>
    </w:p>
    <w:p w:rsidR="00424F00" w:rsidRDefault="00424F00" w:rsidP="00DC631E">
      <w:pPr>
        <w:pStyle w:val="PlainText"/>
        <w:rPr>
          <w:rFonts w:asciiTheme="minorHAnsi" w:hAnsiTheme="minorHAnsi"/>
          <w:szCs w:val="22"/>
        </w:rPr>
      </w:pPr>
    </w:p>
    <w:p w:rsidR="00424F00" w:rsidRDefault="00DC631E" w:rsidP="00DC631E">
      <w:pPr>
        <w:pStyle w:val="PlainText"/>
        <w:numPr>
          <w:ilvl w:val="0"/>
          <w:numId w:val="31"/>
        </w:numPr>
        <w:rPr>
          <w:rFonts w:asciiTheme="minorHAnsi" w:hAnsiTheme="minorHAnsi"/>
          <w:szCs w:val="22"/>
        </w:rPr>
      </w:pPr>
      <w:r w:rsidRPr="00085016">
        <w:rPr>
          <w:rFonts w:asciiTheme="minorHAnsi" w:hAnsiTheme="minorHAnsi"/>
          <w:szCs w:val="22"/>
        </w:rPr>
        <w:t>Changes in behavior (2-3 sigma) along various dimensions of activity {bottom up}</w:t>
      </w:r>
    </w:p>
    <w:p w:rsid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Changes/challenges to internation</w:t>
      </w:r>
      <w:r w:rsidR="00424F00">
        <w:rPr>
          <w:rFonts w:asciiTheme="minorHAnsi" w:hAnsiTheme="minorHAnsi"/>
          <w:szCs w:val="22"/>
        </w:rPr>
        <w:t>al norms of behavior (bottom up)</w:t>
      </w:r>
    </w:p>
    <w:p w:rsid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Established patterns of Gray Zone activities {top down}</w:t>
      </w:r>
    </w:p>
    <w:p w:rsid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World events aligned with country master narratives {top down}</w:t>
      </w:r>
    </w:p>
    <w:p w:rsid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User Defined patterns of concern {top down}</w:t>
      </w:r>
    </w:p>
    <w:p w:rsidR="00DC631E" w:rsidRPr="00424F00" w:rsidRDefault="00DC631E" w:rsidP="00DC631E">
      <w:pPr>
        <w:pStyle w:val="PlainText"/>
        <w:numPr>
          <w:ilvl w:val="0"/>
          <w:numId w:val="31"/>
        </w:numPr>
        <w:rPr>
          <w:rFonts w:asciiTheme="minorHAnsi" w:hAnsiTheme="minorHAnsi"/>
          <w:szCs w:val="22"/>
        </w:rPr>
      </w:pPr>
      <w:r w:rsidRPr="00424F00">
        <w:rPr>
          <w:rFonts w:asciiTheme="minorHAnsi" w:hAnsiTheme="minorHAnsi"/>
          <w:szCs w:val="22"/>
        </w:rPr>
        <w:t>Others?</w:t>
      </w:r>
    </w:p>
    <w:p w:rsidR="00DC631E" w:rsidRPr="00085016" w:rsidRDefault="00DC631E" w:rsidP="00DC631E">
      <w:pPr>
        <w:pStyle w:val="PlainText"/>
        <w:rPr>
          <w:rFonts w:asciiTheme="minorHAnsi" w:hAnsiTheme="minorHAnsi"/>
          <w:szCs w:val="22"/>
        </w:rPr>
      </w:pPr>
    </w:p>
    <w:p w:rsidR="00DC631E" w:rsidRPr="00085016" w:rsidRDefault="00DC631E" w:rsidP="00DC631E">
      <w:pPr>
        <w:pStyle w:val="PlainText"/>
        <w:rPr>
          <w:rFonts w:asciiTheme="minorHAnsi" w:hAnsiTheme="minorHAnsi"/>
          <w:szCs w:val="22"/>
        </w:rPr>
      </w:pPr>
      <w:r w:rsidRPr="00085016">
        <w:rPr>
          <w:rFonts w:asciiTheme="minorHAnsi" w:hAnsiTheme="minorHAnsi"/>
          <w:szCs w:val="22"/>
        </w:rPr>
        <w:t xml:space="preserve">Where should a watch center be located and who should be involved in its management and operation?  </w:t>
      </w:r>
      <w:proofErr w:type="gramStart"/>
      <w:r w:rsidRPr="00085016">
        <w:rPr>
          <w:rFonts w:asciiTheme="minorHAnsi" w:hAnsiTheme="minorHAnsi"/>
          <w:szCs w:val="22"/>
        </w:rPr>
        <w:t>DoD</w:t>
      </w:r>
      <w:proofErr w:type="gramEnd"/>
      <w:r w:rsidRPr="00085016">
        <w:rPr>
          <w:rFonts w:asciiTheme="minorHAnsi" w:hAnsiTheme="minorHAnsi"/>
          <w:szCs w:val="22"/>
        </w:rPr>
        <w:t xml:space="preserve">?  IC?  </w:t>
      </w:r>
      <w:proofErr w:type="spellStart"/>
      <w:r w:rsidRPr="00085016">
        <w:rPr>
          <w:rFonts w:asciiTheme="minorHAnsi" w:hAnsiTheme="minorHAnsi"/>
          <w:szCs w:val="22"/>
        </w:rPr>
        <w:t>DoS</w:t>
      </w:r>
      <w:proofErr w:type="spellEnd"/>
      <w:r w:rsidRPr="00085016">
        <w:rPr>
          <w:rFonts w:asciiTheme="minorHAnsi" w:hAnsiTheme="minorHAnsi"/>
          <w:szCs w:val="22"/>
        </w:rPr>
        <w:t>?</w:t>
      </w:r>
    </w:p>
    <w:p w:rsidR="00DC631E" w:rsidRPr="00085016" w:rsidRDefault="00DC631E" w:rsidP="00DC631E">
      <w:pPr>
        <w:pStyle w:val="PlainText"/>
        <w:rPr>
          <w:rFonts w:asciiTheme="minorHAnsi" w:hAnsiTheme="minorHAnsi"/>
          <w:szCs w:val="22"/>
        </w:rPr>
      </w:pPr>
    </w:p>
    <w:p w:rsidR="00795E22" w:rsidRPr="00085016" w:rsidRDefault="00DC631E" w:rsidP="00DC631E">
      <w:pPr>
        <w:pStyle w:val="PlainText"/>
        <w:rPr>
          <w:rFonts w:asciiTheme="minorHAnsi" w:hAnsiTheme="minorHAnsi"/>
          <w:szCs w:val="22"/>
        </w:rPr>
      </w:pPr>
      <w:r w:rsidRPr="00085016">
        <w:rPr>
          <w:rFonts w:asciiTheme="minorHAnsi" w:hAnsiTheme="minorHAnsi"/>
          <w:szCs w:val="22"/>
        </w:rPr>
        <w:t>Who would be the primary consumers of GZ Campaign analysis/indicators?</w:t>
      </w:r>
    </w:p>
    <w:p w:rsidR="00DC631E" w:rsidRPr="00085016" w:rsidRDefault="00DC631E" w:rsidP="00DC631E">
      <w:pPr>
        <w:pStyle w:val="PlainText"/>
        <w:rPr>
          <w:rFonts w:asciiTheme="minorHAnsi" w:hAnsiTheme="minorHAnsi"/>
          <w:szCs w:val="22"/>
        </w:rPr>
      </w:pPr>
    </w:p>
    <w:p w:rsidR="00795E22" w:rsidRPr="007E1272" w:rsidRDefault="00D77830" w:rsidP="00315D09">
      <w:pPr>
        <w:rPr>
          <w:b/>
          <w:bCs/>
          <w:color w:val="4F81BD" w:themeColor="accent1"/>
        </w:rPr>
      </w:pPr>
      <w:r w:rsidRPr="007E1272">
        <w:rPr>
          <w:b/>
          <w:bCs/>
          <w:color w:val="4F81BD" w:themeColor="accent1"/>
        </w:rPr>
        <w:t>Mr. Mark</w:t>
      </w:r>
      <w:r w:rsidR="00795E22" w:rsidRPr="007E1272">
        <w:rPr>
          <w:b/>
          <w:bCs/>
          <w:color w:val="4F81BD" w:themeColor="accent1"/>
        </w:rPr>
        <w:t xml:space="preserve"> Hoffman</w:t>
      </w:r>
    </w:p>
    <w:p w:rsidR="00315D09" w:rsidRPr="00085016" w:rsidRDefault="00315D09" w:rsidP="00315D09">
      <w:pPr>
        <w:rPr>
          <w:b/>
          <w:color w:val="365F91" w:themeColor="accent1" w:themeShade="BF"/>
          <w:u w:val="single"/>
        </w:rPr>
      </w:pPr>
      <w:r w:rsidRPr="00085016">
        <w:rPr>
          <w:b/>
          <w:bCs/>
          <w:color w:val="365F91" w:themeColor="accent1" w:themeShade="BF"/>
          <w:u w:val="single"/>
        </w:rPr>
        <w:t xml:space="preserve">Topic 4:  Biological and Environmental factors in anticipating GZ behavior </w:t>
      </w:r>
    </w:p>
    <w:p w:rsidR="00315D09" w:rsidRPr="00085016" w:rsidRDefault="00315D09" w:rsidP="00315D09">
      <w:pPr>
        <w:spacing w:after="0" w:line="240" w:lineRule="auto"/>
      </w:pPr>
      <w:r w:rsidRPr="00085016">
        <w:t>1. How do risk and ambiguity affect repeated interactions between actors over time, e.g. leading to escalation or de-escalation?</w:t>
      </w:r>
    </w:p>
    <w:p w:rsidR="00315D09" w:rsidRPr="00085016" w:rsidRDefault="00315D09" w:rsidP="00315D09">
      <w:pPr>
        <w:spacing w:after="0" w:line="240" w:lineRule="auto"/>
      </w:pPr>
      <w:r w:rsidRPr="00085016">
        <w:t xml:space="preserve">2. How do risk and ambiguity lead to more or less </w:t>
      </w:r>
      <w:r w:rsidRPr="00085016">
        <w:rPr>
          <w:i/>
        </w:rPr>
        <w:t>stable</w:t>
      </w:r>
      <w:r w:rsidRPr="00085016">
        <w:t xml:space="preserve"> gray zone confrontations?</w:t>
      </w:r>
    </w:p>
    <w:p w:rsidR="00315D09" w:rsidRPr="00085016" w:rsidRDefault="00315D09" w:rsidP="00315D09">
      <w:pPr>
        <w:spacing w:after="0" w:line="240" w:lineRule="auto"/>
      </w:pPr>
      <w:r w:rsidRPr="00085016">
        <w:t xml:space="preserve">3. How do effects of risk and ambiguity differ in gray zone confrontations with </w:t>
      </w:r>
      <w:r w:rsidRPr="00085016">
        <w:rPr>
          <w:i/>
        </w:rPr>
        <w:t>multiple actors</w:t>
      </w:r>
      <w:r w:rsidRPr="00085016">
        <w:t>: allies, neutrals, adversaries and domestic audiences?</w:t>
      </w:r>
    </w:p>
    <w:p w:rsidR="00315D09" w:rsidRPr="00085016" w:rsidRDefault="00315D09" w:rsidP="00315D09">
      <w:pPr>
        <w:pStyle w:val="PlainText"/>
        <w:rPr>
          <w:rFonts w:asciiTheme="minorHAnsi" w:hAnsiTheme="minorHAnsi"/>
          <w:szCs w:val="22"/>
        </w:rPr>
      </w:pPr>
      <w:r w:rsidRPr="00085016">
        <w:rPr>
          <w:rFonts w:asciiTheme="minorHAnsi" w:hAnsiTheme="minorHAnsi"/>
          <w:szCs w:val="22"/>
        </w:rPr>
        <w:t xml:space="preserve">4. How can understanding the </w:t>
      </w:r>
      <w:r w:rsidRPr="00085016">
        <w:rPr>
          <w:rFonts w:asciiTheme="minorHAnsi" w:hAnsiTheme="minorHAnsi"/>
          <w:i/>
          <w:szCs w:val="22"/>
        </w:rPr>
        <w:t>neuroscience of social and political behavior</w:t>
      </w:r>
      <w:r w:rsidRPr="00085016">
        <w:rPr>
          <w:rFonts w:asciiTheme="minorHAnsi" w:hAnsiTheme="minorHAnsi"/>
          <w:szCs w:val="22"/>
        </w:rPr>
        <w:t xml:space="preserve"> impact on responses to gray zone challenges: both for understanding local populations and adversaries?</w:t>
      </w:r>
    </w:p>
    <w:p w:rsidR="00315D09" w:rsidRPr="00085016" w:rsidRDefault="00315D09" w:rsidP="00315D09">
      <w:pPr>
        <w:pStyle w:val="PlainText"/>
        <w:rPr>
          <w:rFonts w:asciiTheme="minorHAnsi" w:hAnsiTheme="minorHAnsi"/>
          <w:szCs w:val="22"/>
        </w:rPr>
      </w:pPr>
    </w:p>
    <w:p w:rsidR="00315D09" w:rsidRPr="007E1272" w:rsidRDefault="00315D09" w:rsidP="00315D09">
      <w:pPr>
        <w:pStyle w:val="PlainText"/>
        <w:rPr>
          <w:rFonts w:asciiTheme="minorHAnsi" w:hAnsiTheme="minorHAnsi"/>
          <w:b/>
          <w:color w:val="4F81BD" w:themeColor="accent1"/>
          <w:szCs w:val="22"/>
        </w:rPr>
      </w:pPr>
      <w:r w:rsidRPr="007E1272">
        <w:rPr>
          <w:rFonts w:asciiTheme="minorHAnsi" w:hAnsiTheme="minorHAnsi"/>
          <w:b/>
          <w:color w:val="4F81BD" w:themeColor="accent1"/>
          <w:szCs w:val="22"/>
        </w:rPr>
        <w:t>Dr. Nick Wright</w:t>
      </w:r>
    </w:p>
    <w:p w:rsidR="00345A90" w:rsidRPr="00085016" w:rsidRDefault="00345A90" w:rsidP="00345A90">
      <w:pPr>
        <w:pStyle w:val="PlainText"/>
        <w:ind w:left="720"/>
        <w:rPr>
          <w:rFonts w:asciiTheme="minorHAnsi" w:hAnsiTheme="minorHAnsi"/>
          <w:szCs w:val="22"/>
        </w:rPr>
      </w:pPr>
    </w:p>
    <w:p w:rsidR="00345A90" w:rsidRPr="00085016" w:rsidRDefault="00296FFB" w:rsidP="001638CD">
      <w:r w:rsidRPr="00085016">
        <w:rPr>
          <w:b/>
          <w:bCs/>
          <w:color w:val="365F91" w:themeColor="accent1" w:themeShade="BF"/>
          <w:u w:val="single"/>
        </w:rPr>
        <w:t xml:space="preserve">Topic </w:t>
      </w:r>
      <w:r w:rsidR="004A047B" w:rsidRPr="00085016">
        <w:rPr>
          <w:b/>
          <w:bCs/>
          <w:color w:val="365F91" w:themeColor="accent1" w:themeShade="BF"/>
          <w:u w:val="single"/>
        </w:rPr>
        <w:t>5</w:t>
      </w:r>
      <w:r w:rsidR="005A20E3" w:rsidRPr="00085016">
        <w:rPr>
          <w:b/>
          <w:bCs/>
          <w:color w:val="365F91" w:themeColor="accent1" w:themeShade="BF"/>
          <w:u w:val="single"/>
        </w:rPr>
        <w:t xml:space="preserve">: </w:t>
      </w:r>
      <w:r w:rsidR="00345A90" w:rsidRPr="00085016">
        <w:t>Social Movements and their impact on GZ conflicts. GZ conflicts exhibit fair amount of uncertainty and ambiguity. Dealing with such challenges requires fair amount of statecraft. Social movements with their tendencies for certainty, etc...</w:t>
      </w:r>
      <w:proofErr w:type="gramStart"/>
      <w:r w:rsidR="00345A90" w:rsidRPr="00085016">
        <w:t>may</w:t>
      </w:r>
      <w:proofErr w:type="gramEnd"/>
      <w:r w:rsidR="00345A90" w:rsidRPr="00085016">
        <w:t xml:space="preserve"> limit leadership latitudes.</w:t>
      </w:r>
    </w:p>
    <w:p w:rsidR="00396C81" w:rsidRPr="007E1272" w:rsidRDefault="00345A90" w:rsidP="00EC7FC6">
      <w:pPr>
        <w:rPr>
          <w:b/>
          <w:bCs/>
          <w:color w:val="4F81BD" w:themeColor="accent1"/>
          <w:u w:val="single"/>
        </w:rPr>
      </w:pPr>
      <w:r w:rsidRPr="007E1272">
        <w:rPr>
          <w:b/>
          <w:color w:val="4F81BD" w:themeColor="accent1"/>
        </w:rPr>
        <w:t>Mr. Bob Warburg and Dr. Dana Eyre</w:t>
      </w:r>
    </w:p>
    <w:p w:rsidR="00424F00" w:rsidRDefault="00424F00" w:rsidP="005A0B10">
      <w:pPr>
        <w:pStyle w:val="PlainText"/>
        <w:rPr>
          <w:rFonts w:asciiTheme="minorHAnsi" w:hAnsiTheme="minorHAnsi"/>
          <w:b/>
          <w:color w:val="1F497D" w:themeColor="text2"/>
          <w:szCs w:val="22"/>
          <w:u w:val="single"/>
        </w:rPr>
      </w:pPr>
    </w:p>
    <w:p w:rsidR="00424F00" w:rsidRDefault="00424F00" w:rsidP="005A0B10">
      <w:pPr>
        <w:pStyle w:val="PlainText"/>
        <w:rPr>
          <w:rFonts w:asciiTheme="minorHAnsi" w:hAnsiTheme="minorHAnsi"/>
          <w:b/>
          <w:color w:val="1F497D" w:themeColor="text2"/>
          <w:szCs w:val="22"/>
          <w:u w:val="single"/>
        </w:rPr>
      </w:pPr>
    </w:p>
    <w:p w:rsidR="00424F00" w:rsidRDefault="00424F00" w:rsidP="005A0B10">
      <w:pPr>
        <w:pStyle w:val="PlainText"/>
        <w:rPr>
          <w:rFonts w:asciiTheme="minorHAnsi" w:hAnsiTheme="minorHAnsi"/>
          <w:b/>
          <w:color w:val="1F497D" w:themeColor="text2"/>
          <w:szCs w:val="22"/>
          <w:u w:val="single"/>
        </w:rPr>
      </w:pPr>
    </w:p>
    <w:p w:rsidR="005A0B10" w:rsidRPr="00E15503" w:rsidRDefault="005A0B10" w:rsidP="005A0B10">
      <w:pPr>
        <w:pStyle w:val="PlainText"/>
        <w:rPr>
          <w:rFonts w:asciiTheme="minorHAnsi" w:hAnsiTheme="minorHAnsi"/>
          <w:b/>
          <w:color w:val="4F81BD" w:themeColor="accent1"/>
          <w:szCs w:val="22"/>
          <w:u w:val="single"/>
        </w:rPr>
      </w:pPr>
      <w:r w:rsidRPr="00E15503">
        <w:rPr>
          <w:rFonts w:asciiTheme="minorHAnsi" w:hAnsiTheme="minorHAnsi"/>
          <w:b/>
          <w:color w:val="4F81BD" w:themeColor="accent1"/>
          <w:szCs w:val="22"/>
          <w:u w:val="single"/>
        </w:rPr>
        <w:t>Topic 6: Tr</w:t>
      </w:r>
      <w:r w:rsidR="00334FDB" w:rsidRPr="00E15503">
        <w:rPr>
          <w:rFonts w:asciiTheme="minorHAnsi" w:hAnsiTheme="minorHAnsi"/>
          <w:b/>
          <w:color w:val="4F81BD" w:themeColor="accent1"/>
          <w:szCs w:val="22"/>
          <w:u w:val="single"/>
        </w:rPr>
        <w:t>aining, education and doctrine</w:t>
      </w:r>
    </w:p>
    <w:p w:rsidR="00424F00" w:rsidRDefault="00424F00" w:rsidP="005A0B10">
      <w:pPr>
        <w:pStyle w:val="PlainText"/>
        <w:rPr>
          <w:rFonts w:asciiTheme="minorHAnsi" w:hAnsiTheme="minorHAnsi"/>
          <w:szCs w:val="22"/>
        </w:rPr>
      </w:pPr>
    </w:p>
    <w:p w:rsidR="005A0B10" w:rsidRPr="00085016" w:rsidRDefault="005A0B10" w:rsidP="005A0B10">
      <w:pPr>
        <w:pStyle w:val="PlainText"/>
        <w:rPr>
          <w:rFonts w:asciiTheme="minorHAnsi" w:hAnsiTheme="minorHAnsi"/>
          <w:szCs w:val="22"/>
        </w:rPr>
      </w:pPr>
      <w:r w:rsidRPr="00085016">
        <w:rPr>
          <w:rFonts w:asciiTheme="minorHAnsi" w:hAnsiTheme="minorHAnsi"/>
          <w:szCs w:val="22"/>
        </w:rPr>
        <w:t>1.  Does the institution (training, education, doctrine) need to change in order to satisfy new, non-conventional warfare analysis?</w:t>
      </w:r>
    </w:p>
    <w:p w:rsidR="005A0B10" w:rsidRPr="00085016" w:rsidRDefault="005A0B10" w:rsidP="005A0B10">
      <w:pPr>
        <w:pStyle w:val="PlainText"/>
        <w:rPr>
          <w:rFonts w:asciiTheme="minorHAnsi" w:hAnsiTheme="minorHAnsi"/>
          <w:szCs w:val="22"/>
        </w:rPr>
      </w:pPr>
    </w:p>
    <w:p w:rsidR="005A0B10" w:rsidRPr="00085016" w:rsidRDefault="005A0B10" w:rsidP="005A0B10">
      <w:pPr>
        <w:pStyle w:val="PlainText"/>
        <w:rPr>
          <w:rFonts w:asciiTheme="minorHAnsi" w:hAnsiTheme="minorHAnsi"/>
          <w:szCs w:val="22"/>
        </w:rPr>
      </w:pPr>
      <w:r w:rsidRPr="00085016">
        <w:rPr>
          <w:rFonts w:asciiTheme="minorHAnsi" w:hAnsiTheme="minorHAnsi"/>
          <w:szCs w:val="22"/>
        </w:rPr>
        <w:t>2. Are Gray Zone activities and Gray Zone conflict adequately addressed in existing Professional Military Education curricula, even if under another name?</w:t>
      </w:r>
    </w:p>
    <w:p w:rsidR="005A0B10" w:rsidRPr="00085016" w:rsidRDefault="005A0B10" w:rsidP="005A0B10">
      <w:pPr>
        <w:pStyle w:val="PlainText"/>
        <w:rPr>
          <w:rFonts w:asciiTheme="minorHAnsi" w:hAnsiTheme="minorHAnsi"/>
          <w:szCs w:val="22"/>
        </w:rPr>
      </w:pPr>
    </w:p>
    <w:p w:rsidR="005A0B10" w:rsidRPr="00085016" w:rsidRDefault="005A0B10" w:rsidP="005A0B10">
      <w:pPr>
        <w:pStyle w:val="PlainText"/>
        <w:rPr>
          <w:rFonts w:asciiTheme="minorHAnsi" w:hAnsiTheme="minorHAnsi"/>
          <w:szCs w:val="22"/>
        </w:rPr>
      </w:pPr>
      <w:r w:rsidRPr="00085016">
        <w:rPr>
          <w:rFonts w:asciiTheme="minorHAnsi" w:hAnsiTheme="minorHAnsi"/>
          <w:szCs w:val="22"/>
        </w:rPr>
        <w:t xml:space="preserve">3. Does Joint Professional Military Education Policy adequately address GZ?  If not, should it? </w:t>
      </w:r>
    </w:p>
    <w:p w:rsidR="005A0B10" w:rsidRPr="00085016" w:rsidRDefault="005A0B10" w:rsidP="005A0B10">
      <w:pPr>
        <w:pStyle w:val="PlainText"/>
        <w:rPr>
          <w:rFonts w:asciiTheme="minorHAnsi" w:hAnsiTheme="minorHAnsi"/>
          <w:szCs w:val="22"/>
        </w:rPr>
      </w:pPr>
    </w:p>
    <w:p w:rsidR="008A3620" w:rsidRPr="00E15503" w:rsidRDefault="005A0B10" w:rsidP="00E57D49">
      <w:pPr>
        <w:pStyle w:val="PlainText"/>
        <w:rPr>
          <w:rFonts w:asciiTheme="minorHAnsi" w:hAnsiTheme="minorHAnsi"/>
          <w:b/>
          <w:color w:val="4F81BD" w:themeColor="accent1"/>
          <w:szCs w:val="22"/>
        </w:rPr>
      </w:pPr>
      <w:r w:rsidRPr="007E1272">
        <w:rPr>
          <w:rFonts w:asciiTheme="minorHAnsi" w:hAnsiTheme="minorHAnsi"/>
          <w:b/>
          <w:color w:val="4F81BD" w:themeColor="accent1"/>
          <w:szCs w:val="22"/>
        </w:rPr>
        <w:t>Lt Col Seitz (JS/J-7)</w:t>
      </w:r>
    </w:p>
    <w:p w:rsidR="008A3620" w:rsidRPr="00085016" w:rsidRDefault="008A3620" w:rsidP="00E57D49">
      <w:pPr>
        <w:pStyle w:val="PlainText"/>
        <w:rPr>
          <w:rFonts w:asciiTheme="minorHAnsi" w:hAnsiTheme="minorHAnsi"/>
          <w:szCs w:val="22"/>
        </w:rPr>
      </w:pPr>
    </w:p>
    <w:p w:rsidR="008A3620" w:rsidRPr="007E1272" w:rsidRDefault="008A3620" w:rsidP="008A3620">
      <w:pPr>
        <w:rPr>
          <w:b/>
          <w:color w:val="4F81BD" w:themeColor="accent1"/>
          <w:u w:val="single"/>
        </w:rPr>
      </w:pPr>
      <w:r w:rsidRPr="007E1272">
        <w:rPr>
          <w:b/>
          <w:color w:val="4F81BD" w:themeColor="accent1"/>
          <w:u w:val="single"/>
        </w:rPr>
        <w:t>Topic 7: Cyber in the Gray Zone</w:t>
      </w: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1. Given that cyber activity is very common below the threshold for gray zone activity (e.g. related to espionage) what can make cyber activity exceed the threshold of normal competition?</w:t>
      </w:r>
    </w:p>
    <w:p w:rsidR="008A3620" w:rsidRPr="00085016" w:rsidRDefault="008A3620" w:rsidP="008A3620">
      <w:pPr>
        <w:pStyle w:val="PlainText"/>
        <w:rPr>
          <w:rFonts w:asciiTheme="minorHAnsi" w:hAnsiTheme="minorHAnsi"/>
          <w:szCs w:val="22"/>
        </w:rPr>
      </w:pP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2. Can cyber activity in the gray zone exceed the upper bound of the gray zone activity to reach the level of large-scale direct military conflict and, if so, how?</w:t>
      </w:r>
    </w:p>
    <w:p w:rsidR="008A3620" w:rsidRPr="00085016" w:rsidRDefault="008A3620" w:rsidP="008A3620">
      <w:pPr>
        <w:pStyle w:val="PlainText"/>
        <w:rPr>
          <w:rFonts w:asciiTheme="minorHAnsi" w:hAnsiTheme="minorHAnsi"/>
          <w:szCs w:val="22"/>
        </w:rPr>
      </w:pP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3. Are there specific types of action that push cyber activity beyond normal competition into the gray zone or above the gray zone into war?</w:t>
      </w:r>
    </w:p>
    <w:p w:rsidR="008A3620" w:rsidRPr="00085016" w:rsidRDefault="008A3620" w:rsidP="008A3620">
      <w:pPr>
        <w:pStyle w:val="PlainText"/>
        <w:rPr>
          <w:rFonts w:asciiTheme="minorHAnsi" w:hAnsiTheme="minorHAnsi"/>
          <w:szCs w:val="22"/>
        </w:rPr>
      </w:pP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4. Can the quantity of actions rather than just their quality lead them to go beyond normal competition into the gray zone or into war?</w:t>
      </w:r>
    </w:p>
    <w:p w:rsidR="008A3620" w:rsidRPr="00085016" w:rsidRDefault="008A3620" w:rsidP="008A3620">
      <w:pPr>
        <w:pStyle w:val="PlainText"/>
        <w:rPr>
          <w:rFonts w:asciiTheme="minorHAnsi" w:hAnsiTheme="minorHAnsi"/>
          <w:szCs w:val="22"/>
        </w:rPr>
      </w:pP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5. Are the characteristics of these thresholds perceived differently by different international actors, e.g. US, China, Russia or Iran?</w:t>
      </w:r>
    </w:p>
    <w:p w:rsidR="008A3620" w:rsidRPr="00085016" w:rsidRDefault="008A3620" w:rsidP="008A3620">
      <w:pPr>
        <w:pStyle w:val="PlainText"/>
        <w:rPr>
          <w:rFonts w:asciiTheme="minorHAnsi" w:hAnsiTheme="minorHAnsi"/>
          <w:szCs w:val="22"/>
        </w:rPr>
      </w:pPr>
    </w:p>
    <w:p w:rsidR="008A3620" w:rsidRPr="00085016" w:rsidRDefault="008A3620" w:rsidP="008A3620">
      <w:pPr>
        <w:pStyle w:val="PlainText"/>
        <w:rPr>
          <w:rFonts w:asciiTheme="minorHAnsi" w:hAnsiTheme="minorHAnsi"/>
          <w:szCs w:val="22"/>
        </w:rPr>
      </w:pPr>
      <w:r w:rsidRPr="00085016">
        <w:rPr>
          <w:rFonts w:asciiTheme="minorHAnsi" w:hAnsiTheme="minorHAnsi"/>
          <w:szCs w:val="22"/>
        </w:rPr>
        <w:t>6. How is cyber used against different types of audience in the gray zone, e.g. states and populations?</w:t>
      </w:r>
    </w:p>
    <w:p w:rsidR="008A3620" w:rsidRPr="00085016" w:rsidRDefault="008A3620" w:rsidP="00E57D49">
      <w:pPr>
        <w:pStyle w:val="PlainText"/>
        <w:rPr>
          <w:rFonts w:asciiTheme="minorHAnsi" w:hAnsiTheme="minorHAnsi"/>
          <w:szCs w:val="22"/>
        </w:rPr>
      </w:pPr>
    </w:p>
    <w:p w:rsidR="00E46504" w:rsidRPr="007E1272" w:rsidRDefault="00334FDB" w:rsidP="00E46504">
      <w:pPr>
        <w:rPr>
          <w:b/>
          <w:color w:val="4F81BD" w:themeColor="accent1"/>
          <w:u w:val="single"/>
        </w:rPr>
      </w:pPr>
      <w:r w:rsidRPr="007E1272">
        <w:rPr>
          <w:b/>
          <w:color w:val="4F81BD" w:themeColor="accent1"/>
        </w:rPr>
        <w:t xml:space="preserve">Dr. </w:t>
      </w:r>
      <w:r w:rsidR="00107BD3" w:rsidRPr="007E1272">
        <w:rPr>
          <w:b/>
          <w:color w:val="4F81BD" w:themeColor="accent1"/>
        </w:rPr>
        <w:t>Martin Libicki (Rand)</w:t>
      </w:r>
    </w:p>
    <w:p w:rsidR="008D3C4A" w:rsidRPr="00085016" w:rsidRDefault="008D3C4A" w:rsidP="008D3C4A">
      <w:pPr>
        <w:spacing w:after="0" w:line="240" w:lineRule="auto"/>
        <w:rPr>
          <w:i/>
          <w:color w:val="808080" w:themeColor="background1" w:themeShade="80"/>
        </w:rPr>
      </w:pPr>
    </w:p>
    <w:p w:rsidR="00D77830" w:rsidRPr="007E1272" w:rsidRDefault="00D77830" w:rsidP="00795E22">
      <w:pPr>
        <w:rPr>
          <w:rFonts w:cs="Helvetica"/>
          <w:b/>
          <w:color w:val="4F81BD" w:themeColor="accent1"/>
          <w:u w:val="single"/>
          <w:shd w:val="clear" w:color="auto" w:fill="FFFFFF"/>
        </w:rPr>
      </w:pPr>
      <w:r w:rsidRPr="007E1272">
        <w:rPr>
          <w:b/>
          <w:color w:val="4F81BD" w:themeColor="accent1"/>
          <w:u w:val="single"/>
        </w:rPr>
        <w:t xml:space="preserve">Topic 8: </w:t>
      </w:r>
      <w:r w:rsidRPr="007E1272">
        <w:rPr>
          <w:rFonts w:cs="Helvetica"/>
          <w:b/>
          <w:color w:val="4F81BD" w:themeColor="accent1"/>
          <w:u w:val="single"/>
          <w:shd w:val="clear" w:color="auto" w:fill="FFFFFF"/>
        </w:rPr>
        <w:t xml:space="preserve">Potential Parallels and Lessons learned from the Public Health and Medical “Gray Zone” </w:t>
      </w:r>
    </w:p>
    <w:p w:rsidR="00D77830" w:rsidRPr="00085016" w:rsidRDefault="00D77830" w:rsidP="00D77830">
      <w:pPr>
        <w:pStyle w:val="PlainText"/>
        <w:rPr>
          <w:rFonts w:asciiTheme="minorHAnsi" w:hAnsiTheme="minorHAnsi"/>
          <w:szCs w:val="22"/>
        </w:rPr>
      </w:pPr>
      <w:r w:rsidRPr="00085016">
        <w:rPr>
          <w:rFonts w:asciiTheme="minorHAnsi" w:hAnsiTheme="minorHAnsi"/>
          <w:szCs w:val="22"/>
        </w:rPr>
        <w:t>Gray zones exist in other realms, and some of the approaches used in health could be (in VERY general terms) be applied to conflict gray zones.</w:t>
      </w:r>
    </w:p>
    <w:p w:rsidR="00ED0989" w:rsidRPr="00085016" w:rsidRDefault="00ED0989" w:rsidP="00ED0989">
      <w:pPr>
        <w:pStyle w:val="PlainText"/>
        <w:rPr>
          <w:rFonts w:asciiTheme="minorHAnsi" w:hAnsiTheme="minorHAnsi"/>
          <w:szCs w:val="22"/>
        </w:rPr>
      </w:pPr>
    </w:p>
    <w:p w:rsidR="00ED0989" w:rsidRPr="00085016" w:rsidRDefault="00ED0989" w:rsidP="00ED0989">
      <w:pPr>
        <w:pStyle w:val="PlainText"/>
        <w:numPr>
          <w:ilvl w:val="0"/>
          <w:numId w:val="29"/>
        </w:numPr>
        <w:rPr>
          <w:rFonts w:asciiTheme="minorHAnsi" w:hAnsiTheme="minorHAnsi"/>
          <w:szCs w:val="22"/>
        </w:rPr>
      </w:pPr>
      <w:r w:rsidRPr="00085016">
        <w:rPr>
          <w:rFonts w:asciiTheme="minorHAnsi" w:hAnsiTheme="minorHAnsi"/>
          <w:szCs w:val="22"/>
        </w:rPr>
        <w:t>How does decision making vary between ambiguity in the gray zone environment, vs ambiguity about the outcomes of particular actions/approaches?</w:t>
      </w:r>
    </w:p>
    <w:p w:rsidR="00ED0989" w:rsidRPr="00085016" w:rsidRDefault="00ED0989" w:rsidP="00ED0989">
      <w:pPr>
        <w:pStyle w:val="PlainText"/>
        <w:numPr>
          <w:ilvl w:val="0"/>
          <w:numId w:val="29"/>
        </w:numPr>
        <w:rPr>
          <w:rFonts w:asciiTheme="minorHAnsi" w:hAnsiTheme="minorHAnsi"/>
          <w:szCs w:val="22"/>
        </w:rPr>
      </w:pPr>
      <w:r w:rsidRPr="00085016">
        <w:rPr>
          <w:rFonts w:asciiTheme="minorHAnsi" w:hAnsiTheme="minorHAnsi"/>
          <w:szCs w:val="22"/>
        </w:rPr>
        <w:t xml:space="preserve">Can gray zone conflicts be “bounded”, i.e. can we define red lines, </w:t>
      </w:r>
      <w:proofErr w:type="gramStart"/>
      <w:r w:rsidRPr="00085016">
        <w:rPr>
          <w:rFonts w:asciiTheme="minorHAnsi" w:hAnsiTheme="minorHAnsi"/>
          <w:szCs w:val="22"/>
        </w:rPr>
        <w:t>beyond</w:t>
      </w:r>
      <w:proofErr w:type="gramEnd"/>
      <w:r w:rsidRPr="00085016">
        <w:rPr>
          <w:rFonts w:asciiTheme="minorHAnsi" w:hAnsiTheme="minorHAnsi"/>
          <w:szCs w:val="22"/>
        </w:rPr>
        <w:t xml:space="preserve"> which action must be taken vs. should never be taken?</w:t>
      </w:r>
    </w:p>
    <w:p w:rsidR="00ED0989" w:rsidRPr="00085016" w:rsidRDefault="00ED0989" w:rsidP="00ED0989">
      <w:pPr>
        <w:pStyle w:val="PlainText"/>
        <w:numPr>
          <w:ilvl w:val="0"/>
          <w:numId w:val="29"/>
        </w:numPr>
        <w:rPr>
          <w:rFonts w:asciiTheme="minorHAnsi" w:hAnsiTheme="minorHAnsi"/>
          <w:szCs w:val="22"/>
        </w:rPr>
      </w:pPr>
      <w:r w:rsidRPr="00085016">
        <w:rPr>
          <w:rFonts w:asciiTheme="minorHAnsi" w:hAnsiTheme="minorHAnsi"/>
          <w:szCs w:val="22"/>
        </w:rPr>
        <w:t>How does economics affect actors’ decisions/options in the gray zone?</w:t>
      </w:r>
    </w:p>
    <w:p w:rsidR="00D77830" w:rsidRPr="00085016" w:rsidRDefault="00D77830" w:rsidP="00D77830">
      <w:pPr>
        <w:pStyle w:val="PlainText"/>
        <w:rPr>
          <w:rFonts w:asciiTheme="minorHAnsi" w:hAnsiTheme="minorHAnsi"/>
          <w:szCs w:val="22"/>
        </w:rPr>
      </w:pPr>
    </w:p>
    <w:p w:rsidR="00D77830" w:rsidRPr="007E1272" w:rsidRDefault="00D77830" w:rsidP="00795E22">
      <w:pPr>
        <w:rPr>
          <w:b/>
          <w:color w:val="4F81BD" w:themeColor="accent1"/>
        </w:rPr>
      </w:pPr>
      <w:r w:rsidRPr="007E1272">
        <w:rPr>
          <w:rFonts w:cs="Helvetica"/>
          <w:b/>
          <w:color w:val="4F81BD" w:themeColor="accent1"/>
          <w:shd w:val="clear" w:color="auto" w:fill="FFFFFF"/>
        </w:rPr>
        <w:t>Dr.  Diane DiEuliis</w:t>
      </w:r>
    </w:p>
    <w:p w:rsidR="00D77830" w:rsidRPr="00085016" w:rsidRDefault="00D77830" w:rsidP="00795E22">
      <w:pPr>
        <w:rPr>
          <w:b/>
          <w:color w:val="365F91" w:themeColor="accent1" w:themeShade="BF"/>
          <w:u w:val="single"/>
        </w:rPr>
      </w:pPr>
    </w:p>
    <w:p w:rsidR="00795E22" w:rsidRPr="00085016" w:rsidRDefault="009A1A9F" w:rsidP="00795E22">
      <w:pPr>
        <w:rPr>
          <w:b/>
          <w:color w:val="365F91" w:themeColor="accent1" w:themeShade="BF"/>
          <w:u w:val="single"/>
        </w:rPr>
      </w:pPr>
      <w:r w:rsidRPr="00085016">
        <w:rPr>
          <w:b/>
          <w:color w:val="365F91" w:themeColor="accent1" w:themeShade="BF"/>
          <w:u w:val="single"/>
        </w:rPr>
        <w:t>Topic 9</w:t>
      </w:r>
      <w:r w:rsidR="00795E22" w:rsidRPr="00085016">
        <w:rPr>
          <w:b/>
          <w:color w:val="365F91" w:themeColor="accent1" w:themeShade="BF"/>
          <w:u w:val="single"/>
        </w:rPr>
        <w:t>:  The Role of Strategic Communication in the Gray Zone</w:t>
      </w:r>
    </w:p>
    <w:p w:rsidR="00334FDB" w:rsidRDefault="00334FDB" w:rsidP="00334FDB">
      <w:pPr>
        <w:pStyle w:val="ListParagraph"/>
        <w:numPr>
          <w:ilvl w:val="0"/>
          <w:numId w:val="30"/>
        </w:numPr>
      </w:pPr>
      <w:r>
        <w:t>If either ambiguity or uncertainty is necessary components of GZ capability, then denying an adversary ambiguity or uncertainty moves the activities out of the GZ allowing traditional responses.</w:t>
      </w:r>
    </w:p>
    <w:p w:rsidR="00795E22" w:rsidRPr="00334FDB" w:rsidRDefault="00334FDB" w:rsidP="00334FDB">
      <w:pPr>
        <w:pStyle w:val="ListParagraph"/>
        <w:numPr>
          <w:ilvl w:val="0"/>
          <w:numId w:val="30"/>
        </w:numPr>
      </w:pPr>
      <w:r>
        <w:t>Strategic communications can be used to rebut adversary frames obscuring intent and propagate information eliminating uncertainty. To deter and compel, we must deny the adversary the ability to create uncertainty. We must improve capabilities related to identifying adversary frames, themes, and messages and appropriate counter strategies. A demonstrated capability and will to release timely, compelling information decreases the equivocation space of hesitant allies and denies adversaries benefits from planned uncertainty.</w:t>
      </w:r>
      <w:r w:rsidRPr="00334FDB">
        <w:rPr>
          <w:b/>
          <w:color w:val="365F91" w:themeColor="accent1" w:themeShade="BF"/>
          <w:u w:val="single"/>
        </w:rPr>
        <w:t xml:space="preserve"> </w:t>
      </w:r>
    </w:p>
    <w:p w:rsidR="00795E22" w:rsidRPr="007E1272" w:rsidRDefault="00795E22" w:rsidP="00795E22">
      <w:pPr>
        <w:rPr>
          <w:b/>
          <w:color w:val="365F91" w:themeColor="accent1" w:themeShade="BF"/>
        </w:rPr>
      </w:pPr>
      <w:r w:rsidRPr="007E1272">
        <w:rPr>
          <w:b/>
          <w:color w:val="365F91" w:themeColor="accent1" w:themeShade="BF"/>
        </w:rPr>
        <w:t>Dr. Hunter Hustus</w:t>
      </w:r>
    </w:p>
    <w:p w:rsidR="00090376" w:rsidRPr="00085016" w:rsidRDefault="00090376" w:rsidP="00296FFB"/>
    <w:sectPr w:rsidR="00090376" w:rsidRPr="0008501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A7B" w:rsidRDefault="00745A7B" w:rsidP="00D7368D">
      <w:pPr>
        <w:spacing w:after="0" w:line="240" w:lineRule="auto"/>
      </w:pPr>
      <w:r>
        <w:separator/>
      </w:r>
    </w:p>
  </w:endnote>
  <w:endnote w:type="continuationSeparator" w:id="0">
    <w:p w:rsidR="00745A7B" w:rsidRDefault="00745A7B" w:rsidP="00D7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061" w:rsidRPr="00513B54" w:rsidRDefault="00412061" w:rsidP="00513B54">
    <w:pPr>
      <w:pStyle w:val="Footer"/>
      <w:jc w:val="center"/>
    </w:pPr>
    <w:r w:rsidRPr="00513B54">
      <w:rPr>
        <w:color w:val="00B05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A7B" w:rsidRDefault="00745A7B" w:rsidP="00D7368D">
      <w:pPr>
        <w:spacing w:after="0" w:line="240" w:lineRule="auto"/>
      </w:pPr>
      <w:r>
        <w:separator/>
      </w:r>
    </w:p>
  </w:footnote>
  <w:footnote w:type="continuationSeparator" w:id="0">
    <w:p w:rsidR="00745A7B" w:rsidRDefault="00745A7B" w:rsidP="00D73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061" w:rsidRPr="00737B93" w:rsidRDefault="00412061" w:rsidP="00737B93">
    <w:pPr>
      <w:pStyle w:val="Header"/>
      <w:jc w:val="center"/>
      <w:rPr>
        <w:color w:val="00B050"/>
      </w:rPr>
    </w:pPr>
    <w:r w:rsidRPr="00513B54">
      <w:rPr>
        <w:color w:val="00B050"/>
      </w:rPr>
      <w:t>UNCLASSIFIED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37D"/>
    <w:multiLevelType w:val="hybridMultilevel"/>
    <w:tmpl w:val="94C4CBBE"/>
    <w:lvl w:ilvl="0" w:tplc="2780CF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E638E"/>
    <w:multiLevelType w:val="hybridMultilevel"/>
    <w:tmpl w:val="854AEB9C"/>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C5D51"/>
    <w:multiLevelType w:val="hybridMultilevel"/>
    <w:tmpl w:val="944498C4"/>
    <w:lvl w:ilvl="0" w:tplc="21A2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B5A32"/>
    <w:multiLevelType w:val="hybridMultilevel"/>
    <w:tmpl w:val="D5CED3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B941E8"/>
    <w:multiLevelType w:val="hybridMultilevel"/>
    <w:tmpl w:val="21AE6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25AAC"/>
    <w:multiLevelType w:val="hybridMultilevel"/>
    <w:tmpl w:val="1CC64B2E"/>
    <w:lvl w:ilvl="0" w:tplc="48789E22">
      <w:start w:val="1"/>
      <w:numFmt w:val="decimal"/>
      <w:lvlText w:val="%1-"/>
      <w:lvlJc w:val="left"/>
      <w:pPr>
        <w:ind w:left="720" w:hanging="360"/>
      </w:pPr>
      <w:rPr>
        <w:rFonts w:hint="default"/>
        <w:b/>
        <w:color w:val="365F91" w:themeColor="accent1" w:themeShade="BF"/>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153A5"/>
    <w:multiLevelType w:val="hybridMultilevel"/>
    <w:tmpl w:val="A85A062E"/>
    <w:lvl w:ilvl="0" w:tplc="F53ED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078C9"/>
    <w:multiLevelType w:val="hybridMultilevel"/>
    <w:tmpl w:val="5A2005C6"/>
    <w:lvl w:ilvl="0" w:tplc="576AEA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83129"/>
    <w:multiLevelType w:val="hybridMultilevel"/>
    <w:tmpl w:val="525AA9D4"/>
    <w:lvl w:ilvl="0" w:tplc="067C2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80E4A"/>
    <w:multiLevelType w:val="hybridMultilevel"/>
    <w:tmpl w:val="944498C4"/>
    <w:lvl w:ilvl="0" w:tplc="21A2C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F3BF5"/>
    <w:multiLevelType w:val="hybridMultilevel"/>
    <w:tmpl w:val="051E9E1A"/>
    <w:lvl w:ilvl="0" w:tplc="B9DE3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45D10"/>
    <w:multiLevelType w:val="hybridMultilevel"/>
    <w:tmpl w:val="00E0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46891"/>
    <w:multiLevelType w:val="hybridMultilevel"/>
    <w:tmpl w:val="3B101D9E"/>
    <w:lvl w:ilvl="0" w:tplc="C9F07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D7834"/>
    <w:multiLevelType w:val="hybridMultilevel"/>
    <w:tmpl w:val="E8A82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833EB2"/>
    <w:multiLevelType w:val="hybridMultilevel"/>
    <w:tmpl w:val="01D220FC"/>
    <w:lvl w:ilvl="0" w:tplc="E006E43A">
      <w:start w:val="1"/>
      <w:numFmt w:val="decimal"/>
      <w:lvlText w:val="%1."/>
      <w:lvlJc w:val="left"/>
      <w:pPr>
        <w:ind w:left="720" w:hanging="360"/>
      </w:pPr>
      <w:rPr>
        <w:rFonts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094194"/>
    <w:multiLevelType w:val="hybridMultilevel"/>
    <w:tmpl w:val="D5F25AFA"/>
    <w:lvl w:ilvl="0" w:tplc="AB64D0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6E0ABF"/>
    <w:multiLevelType w:val="hybridMultilevel"/>
    <w:tmpl w:val="39E69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D099A"/>
    <w:multiLevelType w:val="hybridMultilevel"/>
    <w:tmpl w:val="41BE6AF6"/>
    <w:lvl w:ilvl="0" w:tplc="17E05B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34FA1"/>
    <w:multiLevelType w:val="hybridMultilevel"/>
    <w:tmpl w:val="08B09E5E"/>
    <w:lvl w:ilvl="0" w:tplc="5C70B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D6104F"/>
    <w:multiLevelType w:val="hybridMultilevel"/>
    <w:tmpl w:val="E8A82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3004C7"/>
    <w:multiLevelType w:val="hybridMultilevel"/>
    <w:tmpl w:val="EB04B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8C535E4"/>
    <w:multiLevelType w:val="hybridMultilevel"/>
    <w:tmpl w:val="13C6F544"/>
    <w:lvl w:ilvl="0" w:tplc="93BE6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36240F"/>
    <w:multiLevelType w:val="hybridMultilevel"/>
    <w:tmpl w:val="82EA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AE1661"/>
    <w:multiLevelType w:val="hybridMultilevel"/>
    <w:tmpl w:val="944498C4"/>
    <w:lvl w:ilvl="0" w:tplc="21A2C9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0F6FE2"/>
    <w:multiLevelType w:val="hybridMultilevel"/>
    <w:tmpl w:val="2032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A2E56"/>
    <w:multiLevelType w:val="hybridMultilevel"/>
    <w:tmpl w:val="3FE80442"/>
    <w:lvl w:ilvl="0" w:tplc="36305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444633"/>
    <w:multiLevelType w:val="hybridMultilevel"/>
    <w:tmpl w:val="67C8EF56"/>
    <w:lvl w:ilvl="0" w:tplc="F008276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2162B"/>
    <w:multiLevelType w:val="hybridMultilevel"/>
    <w:tmpl w:val="E66AFF94"/>
    <w:lvl w:ilvl="0" w:tplc="9BC07B2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460E1C"/>
    <w:multiLevelType w:val="hybridMultilevel"/>
    <w:tmpl w:val="66287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5"/>
  </w:num>
  <w:num w:numId="4">
    <w:abstractNumId w:val="12"/>
  </w:num>
  <w:num w:numId="5">
    <w:abstractNumId w:val="25"/>
  </w:num>
  <w:num w:numId="6">
    <w:abstractNumId w:val="27"/>
  </w:num>
  <w:num w:numId="7">
    <w:abstractNumId w:val="20"/>
  </w:num>
  <w:num w:numId="8">
    <w:abstractNumId w:val="5"/>
  </w:num>
  <w:num w:numId="9">
    <w:abstractNumId w:val="21"/>
  </w:num>
  <w:num w:numId="10">
    <w:abstractNumId w:val="23"/>
  </w:num>
  <w:num w:numId="11">
    <w:abstractNumId w:val="8"/>
  </w:num>
  <w:num w:numId="12">
    <w:abstractNumId w:val="9"/>
  </w:num>
  <w:num w:numId="13">
    <w:abstractNumId w:val="2"/>
  </w:num>
  <w:num w:numId="14">
    <w:abstractNumId w:val="17"/>
  </w:num>
  <w:num w:numId="15">
    <w:abstractNumId w:val="18"/>
  </w:num>
  <w:num w:numId="1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4"/>
  </w:num>
  <w:num w:numId="20">
    <w:abstractNumId w:val="14"/>
  </w:num>
  <w:num w:numId="21">
    <w:abstractNumId w:val="7"/>
  </w:num>
  <w:num w:numId="22">
    <w:abstractNumId w:val="11"/>
  </w:num>
  <w:num w:numId="23">
    <w:abstractNumId w:val="22"/>
  </w:num>
  <w:num w:numId="24">
    <w:abstractNumId w:val="19"/>
  </w:num>
  <w:num w:numId="25">
    <w:abstractNumId w:val="13"/>
  </w:num>
  <w:num w:numId="26">
    <w:abstractNumId w:val="3"/>
  </w:num>
  <w:num w:numId="27">
    <w:abstractNumId w:val="26"/>
  </w:num>
  <w:num w:numId="28">
    <w:abstractNumId w:val="4"/>
  </w:num>
  <w:num w:numId="29">
    <w:abstractNumId w:val="16"/>
  </w:num>
  <w:num w:numId="30">
    <w:abstractNumId w:val="2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B5"/>
    <w:rsid w:val="00011BB9"/>
    <w:rsid w:val="000278C7"/>
    <w:rsid w:val="00034C97"/>
    <w:rsid w:val="00050366"/>
    <w:rsid w:val="00085016"/>
    <w:rsid w:val="00086306"/>
    <w:rsid w:val="00090376"/>
    <w:rsid w:val="000A2A48"/>
    <w:rsid w:val="000B75D2"/>
    <w:rsid w:val="000C00CB"/>
    <w:rsid w:val="000D19A7"/>
    <w:rsid w:val="000D32BC"/>
    <w:rsid w:val="000E22F5"/>
    <w:rsid w:val="000F4329"/>
    <w:rsid w:val="000F5BF7"/>
    <w:rsid w:val="00102618"/>
    <w:rsid w:val="00107BD3"/>
    <w:rsid w:val="00131112"/>
    <w:rsid w:val="00137E24"/>
    <w:rsid w:val="00141B38"/>
    <w:rsid w:val="001521FE"/>
    <w:rsid w:val="001638CD"/>
    <w:rsid w:val="00163FDB"/>
    <w:rsid w:val="00167E27"/>
    <w:rsid w:val="001B5FA9"/>
    <w:rsid w:val="001D0040"/>
    <w:rsid w:val="001D54A9"/>
    <w:rsid w:val="001F08A4"/>
    <w:rsid w:val="00223EEE"/>
    <w:rsid w:val="00226F50"/>
    <w:rsid w:val="00263844"/>
    <w:rsid w:val="00272543"/>
    <w:rsid w:val="00296FFB"/>
    <w:rsid w:val="002B35BE"/>
    <w:rsid w:val="00315D09"/>
    <w:rsid w:val="0032056B"/>
    <w:rsid w:val="00334FDB"/>
    <w:rsid w:val="00345A90"/>
    <w:rsid w:val="00347BA2"/>
    <w:rsid w:val="00350058"/>
    <w:rsid w:val="003500B1"/>
    <w:rsid w:val="00350AAC"/>
    <w:rsid w:val="00355181"/>
    <w:rsid w:val="003719AD"/>
    <w:rsid w:val="003767D6"/>
    <w:rsid w:val="00392FEA"/>
    <w:rsid w:val="00394974"/>
    <w:rsid w:val="00396C81"/>
    <w:rsid w:val="003B0B53"/>
    <w:rsid w:val="003B1169"/>
    <w:rsid w:val="003C1AB4"/>
    <w:rsid w:val="003E73ED"/>
    <w:rsid w:val="003F1603"/>
    <w:rsid w:val="003F25D0"/>
    <w:rsid w:val="003F4844"/>
    <w:rsid w:val="00401D01"/>
    <w:rsid w:val="004071CC"/>
    <w:rsid w:val="00411B26"/>
    <w:rsid w:val="00412061"/>
    <w:rsid w:val="00421D5B"/>
    <w:rsid w:val="00424F00"/>
    <w:rsid w:val="00430D3A"/>
    <w:rsid w:val="004310B4"/>
    <w:rsid w:val="00442266"/>
    <w:rsid w:val="004460B5"/>
    <w:rsid w:val="00463443"/>
    <w:rsid w:val="004728EF"/>
    <w:rsid w:val="00480257"/>
    <w:rsid w:val="004A047B"/>
    <w:rsid w:val="004A6795"/>
    <w:rsid w:val="004B5CF8"/>
    <w:rsid w:val="004C54D6"/>
    <w:rsid w:val="004D5A34"/>
    <w:rsid w:val="004F55AF"/>
    <w:rsid w:val="00512CBB"/>
    <w:rsid w:val="00513B54"/>
    <w:rsid w:val="00517C38"/>
    <w:rsid w:val="00520513"/>
    <w:rsid w:val="00530C5C"/>
    <w:rsid w:val="00545346"/>
    <w:rsid w:val="005910E8"/>
    <w:rsid w:val="00593FEA"/>
    <w:rsid w:val="005965AD"/>
    <w:rsid w:val="005A0B10"/>
    <w:rsid w:val="005A20E3"/>
    <w:rsid w:val="005B31BB"/>
    <w:rsid w:val="005D6AB3"/>
    <w:rsid w:val="005F6B21"/>
    <w:rsid w:val="006149A5"/>
    <w:rsid w:val="00631A34"/>
    <w:rsid w:val="00631FBE"/>
    <w:rsid w:val="00634728"/>
    <w:rsid w:val="00640388"/>
    <w:rsid w:val="00643FE9"/>
    <w:rsid w:val="00650AC2"/>
    <w:rsid w:val="00656D80"/>
    <w:rsid w:val="0067526A"/>
    <w:rsid w:val="006810C1"/>
    <w:rsid w:val="00696805"/>
    <w:rsid w:val="006B061C"/>
    <w:rsid w:val="006D0E9B"/>
    <w:rsid w:val="006F17DE"/>
    <w:rsid w:val="00700B47"/>
    <w:rsid w:val="00705025"/>
    <w:rsid w:val="00705B8C"/>
    <w:rsid w:val="00737B93"/>
    <w:rsid w:val="00745A7B"/>
    <w:rsid w:val="00757F05"/>
    <w:rsid w:val="007622BD"/>
    <w:rsid w:val="007708BF"/>
    <w:rsid w:val="0078403C"/>
    <w:rsid w:val="00795E22"/>
    <w:rsid w:val="007B3F67"/>
    <w:rsid w:val="007E1272"/>
    <w:rsid w:val="007E6C16"/>
    <w:rsid w:val="00813DC1"/>
    <w:rsid w:val="00845B5F"/>
    <w:rsid w:val="008709EF"/>
    <w:rsid w:val="008A3620"/>
    <w:rsid w:val="008A6003"/>
    <w:rsid w:val="008C51C8"/>
    <w:rsid w:val="008C749A"/>
    <w:rsid w:val="008D3C4A"/>
    <w:rsid w:val="008E06CF"/>
    <w:rsid w:val="008E1047"/>
    <w:rsid w:val="008E671D"/>
    <w:rsid w:val="008F2B16"/>
    <w:rsid w:val="00906536"/>
    <w:rsid w:val="00913EAC"/>
    <w:rsid w:val="00915192"/>
    <w:rsid w:val="0092616C"/>
    <w:rsid w:val="009448A9"/>
    <w:rsid w:val="00945B25"/>
    <w:rsid w:val="00960558"/>
    <w:rsid w:val="00985313"/>
    <w:rsid w:val="00990BFB"/>
    <w:rsid w:val="009A1A9F"/>
    <w:rsid w:val="009A6723"/>
    <w:rsid w:val="009C3E2C"/>
    <w:rsid w:val="009D386B"/>
    <w:rsid w:val="009F3C8E"/>
    <w:rsid w:val="00A147AC"/>
    <w:rsid w:val="00A14F4B"/>
    <w:rsid w:val="00A23384"/>
    <w:rsid w:val="00A24699"/>
    <w:rsid w:val="00A47EED"/>
    <w:rsid w:val="00A52444"/>
    <w:rsid w:val="00A561DB"/>
    <w:rsid w:val="00A94D33"/>
    <w:rsid w:val="00AB12D3"/>
    <w:rsid w:val="00AB7233"/>
    <w:rsid w:val="00AC443A"/>
    <w:rsid w:val="00AE3FF0"/>
    <w:rsid w:val="00AE5FDD"/>
    <w:rsid w:val="00B102DC"/>
    <w:rsid w:val="00B63E06"/>
    <w:rsid w:val="00B669A9"/>
    <w:rsid w:val="00B7529B"/>
    <w:rsid w:val="00BA5DA8"/>
    <w:rsid w:val="00BC0BD4"/>
    <w:rsid w:val="00BC0C80"/>
    <w:rsid w:val="00BC271C"/>
    <w:rsid w:val="00BD511E"/>
    <w:rsid w:val="00C101C3"/>
    <w:rsid w:val="00C67E5F"/>
    <w:rsid w:val="00C83AC5"/>
    <w:rsid w:val="00CB43EE"/>
    <w:rsid w:val="00CB7745"/>
    <w:rsid w:val="00CB7E74"/>
    <w:rsid w:val="00CC190B"/>
    <w:rsid w:val="00CC1A21"/>
    <w:rsid w:val="00D00E40"/>
    <w:rsid w:val="00D16879"/>
    <w:rsid w:val="00D7368D"/>
    <w:rsid w:val="00D77830"/>
    <w:rsid w:val="00D94851"/>
    <w:rsid w:val="00D95F86"/>
    <w:rsid w:val="00DC631E"/>
    <w:rsid w:val="00DD5C72"/>
    <w:rsid w:val="00DE42B9"/>
    <w:rsid w:val="00DE56A5"/>
    <w:rsid w:val="00DE78EF"/>
    <w:rsid w:val="00E1474B"/>
    <w:rsid w:val="00E15503"/>
    <w:rsid w:val="00E15A50"/>
    <w:rsid w:val="00E23CE2"/>
    <w:rsid w:val="00E46504"/>
    <w:rsid w:val="00E57D49"/>
    <w:rsid w:val="00E65999"/>
    <w:rsid w:val="00E96020"/>
    <w:rsid w:val="00EA1ABD"/>
    <w:rsid w:val="00EC6CA7"/>
    <w:rsid w:val="00EC7FC6"/>
    <w:rsid w:val="00ED0989"/>
    <w:rsid w:val="00ED359D"/>
    <w:rsid w:val="00F11814"/>
    <w:rsid w:val="00F23806"/>
    <w:rsid w:val="00F35D6B"/>
    <w:rsid w:val="00F42C65"/>
    <w:rsid w:val="00FA15ED"/>
    <w:rsid w:val="00FA31AD"/>
    <w:rsid w:val="00FA4D8E"/>
    <w:rsid w:val="00FF0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E253F6C-F4E3-4A5D-8A85-824E7614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2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8A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E23CE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23CE2"/>
    <w:rPr>
      <w:rFonts w:ascii="Calibri" w:hAnsi="Calibri"/>
      <w:szCs w:val="21"/>
    </w:rPr>
  </w:style>
  <w:style w:type="paragraph" w:styleId="BalloonText">
    <w:name w:val="Balloon Text"/>
    <w:basedOn w:val="Normal"/>
    <w:link w:val="BalloonTextChar"/>
    <w:uiPriority w:val="99"/>
    <w:semiHidden/>
    <w:unhideWhenUsed/>
    <w:rsid w:val="00650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AC2"/>
    <w:rPr>
      <w:rFonts w:ascii="Tahoma" w:hAnsi="Tahoma" w:cs="Tahoma"/>
      <w:sz w:val="16"/>
      <w:szCs w:val="16"/>
    </w:rPr>
  </w:style>
  <w:style w:type="paragraph" w:styleId="ListParagraph">
    <w:name w:val="List Paragraph"/>
    <w:basedOn w:val="Normal"/>
    <w:uiPriority w:val="34"/>
    <w:qFormat/>
    <w:rsid w:val="006D0E9B"/>
    <w:pPr>
      <w:ind w:left="720"/>
      <w:contextualSpacing/>
    </w:pPr>
  </w:style>
  <w:style w:type="character" w:styleId="CommentReference">
    <w:name w:val="annotation reference"/>
    <w:basedOn w:val="DefaultParagraphFont"/>
    <w:uiPriority w:val="99"/>
    <w:semiHidden/>
    <w:unhideWhenUsed/>
    <w:rsid w:val="007B3F67"/>
    <w:rPr>
      <w:sz w:val="16"/>
      <w:szCs w:val="16"/>
    </w:rPr>
  </w:style>
  <w:style w:type="paragraph" w:styleId="CommentText">
    <w:name w:val="annotation text"/>
    <w:basedOn w:val="Normal"/>
    <w:link w:val="CommentTextChar"/>
    <w:uiPriority w:val="99"/>
    <w:semiHidden/>
    <w:unhideWhenUsed/>
    <w:rsid w:val="007B3F67"/>
    <w:pPr>
      <w:spacing w:line="240" w:lineRule="auto"/>
    </w:pPr>
    <w:rPr>
      <w:sz w:val="20"/>
      <w:szCs w:val="20"/>
    </w:rPr>
  </w:style>
  <w:style w:type="character" w:customStyle="1" w:styleId="CommentTextChar">
    <w:name w:val="Comment Text Char"/>
    <w:basedOn w:val="DefaultParagraphFont"/>
    <w:link w:val="CommentText"/>
    <w:uiPriority w:val="99"/>
    <w:semiHidden/>
    <w:rsid w:val="007B3F67"/>
    <w:rPr>
      <w:sz w:val="20"/>
      <w:szCs w:val="20"/>
    </w:rPr>
  </w:style>
  <w:style w:type="paragraph" w:styleId="CommentSubject">
    <w:name w:val="annotation subject"/>
    <w:basedOn w:val="CommentText"/>
    <w:next w:val="CommentText"/>
    <w:link w:val="CommentSubjectChar"/>
    <w:uiPriority w:val="99"/>
    <w:semiHidden/>
    <w:unhideWhenUsed/>
    <w:rsid w:val="007B3F67"/>
    <w:rPr>
      <w:b/>
      <w:bCs/>
    </w:rPr>
  </w:style>
  <w:style w:type="character" w:customStyle="1" w:styleId="CommentSubjectChar">
    <w:name w:val="Comment Subject Char"/>
    <w:basedOn w:val="CommentTextChar"/>
    <w:link w:val="CommentSubject"/>
    <w:uiPriority w:val="99"/>
    <w:semiHidden/>
    <w:rsid w:val="007B3F67"/>
    <w:rPr>
      <w:b/>
      <w:bCs/>
      <w:sz w:val="20"/>
      <w:szCs w:val="20"/>
    </w:rPr>
  </w:style>
  <w:style w:type="character" w:styleId="Hyperlink">
    <w:name w:val="Hyperlink"/>
    <w:basedOn w:val="DefaultParagraphFont"/>
    <w:uiPriority w:val="99"/>
    <w:unhideWhenUsed/>
    <w:rsid w:val="00D7368D"/>
    <w:rPr>
      <w:color w:val="0000FF"/>
      <w:u w:val="single"/>
    </w:rPr>
  </w:style>
  <w:style w:type="paragraph" w:styleId="FootnoteText">
    <w:name w:val="footnote text"/>
    <w:basedOn w:val="Normal"/>
    <w:link w:val="FootnoteTextChar"/>
    <w:uiPriority w:val="99"/>
    <w:semiHidden/>
    <w:unhideWhenUsed/>
    <w:rsid w:val="00D736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368D"/>
    <w:rPr>
      <w:sz w:val="20"/>
      <w:szCs w:val="20"/>
    </w:rPr>
  </w:style>
  <w:style w:type="character" w:styleId="FootnoteReference">
    <w:name w:val="footnote reference"/>
    <w:basedOn w:val="DefaultParagraphFont"/>
    <w:uiPriority w:val="99"/>
    <w:semiHidden/>
    <w:unhideWhenUsed/>
    <w:rsid w:val="00D7368D"/>
    <w:rPr>
      <w:vertAlign w:val="superscript"/>
    </w:rPr>
  </w:style>
  <w:style w:type="paragraph" w:styleId="Header">
    <w:name w:val="header"/>
    <w:basedOn w:val="Normal"/>
    <w:link w:val="HeaderChar"/>
    <w:uiPriority w:val="99"/>
    <w:unhideWhenUsed/>
    <w:rsid w:val="00513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54"/>
  </w:style>
  <w:style w:type="paragraph" w:styleId="Footer">
    <w:name w:val="footer"/>
    <w:basedOn w:val="Normal"/>
    <w:link w:val="FooterChar"/>
    <w:uiPriority w:val="99"/>
    <w:unhideWhenUsed/>
    <w:rsid w:val="00513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B54"/>
  </w:style>
  <w:style w:type="paragraph" w:styleId="NoSpacing">
    <w:name w:val="No Spacing"/>
    <w:uiPriority w:val="1"/>
    <w:qFormat/>
    <w:rsid w:val="00512CBB"/>
    <w:pPr>
      <w:spacing w:after="0" w:line="240" w:lineRule="auto"/>
    </w:pPr>
  </w:style>
  <w:style w:type="paragraph" w:customStyle="1" w:styleId="Default">
    <w:name w:val="Default"/>
    <w:rsid w:val="00E4650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752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0135">
      <w:bodyDiv w:val="1"/>
      <w:marLeft w:val="0"/>
      <w:marRight w:val="0"/>
      <w:marTop w:val="0"/>
      <w:marBottom w:val="0"/>
      <w:divBdr>
        <w:top w:val="none" w:sz="0" w:space="0" w:color="auto"/>
        <w:left w:val="none" w:sz="0" w:space="0" w:color="auto"/>
        <w:bottom w:val="none" w:sz="0" w:space="0" w:color="auto"/>
        <w:right w:val="none" w:sz="0" w:space="0" w:color="auto"/>
      </w:divBdr>
    </w:div>
    <w:div w:id="129247683">
      <w:bodyDiv w:val="1"/>
      <w:marLeft w:val="0"/>
      <w:marRight w:val="0"/>
      <w:marTop w:val="0"/>
      <w:marBottom w:val="0"/>
      <w:divBdr>
        <w:top w:val="none" w:sz="0" w:space="0" w:color="auto"/>
        <w:left w:val="none" w:sz="0" w:space="0" w:color="auto"/>
        <w:bottom w:val="none" w:sz="0" w:space="0" w:color="auto"/>
        <w:right w:val="none" w:sz="0" w:space="0" w:color="auto"/>
      </w:divBdr>
    </w:div>
    <w:div w:id="169609719">
      <w:bodyDiv w:val="1"/>
      <w:marLeft w:val="0"/>
      <w:marRight w:val="0"/>
      <w:marTop w:val="0"/>
      <w:marBottom w:val="0"/>
      <w:divBdr>
        <w:top w:val="none" w:sz="0" w:space="0" w:color="auto"/>
        <w:left w:val="none" w:sz="0" w:space="0" w:color="auto"/>
        <w:bottom w:val="none" w:sz="0" w:space="0" w:color="auto"/>
        <w:right w:val="none" w:sz="0" w:space="0" w:color="auto"/>
      </w:divBdr>
    </w:div>
    <w:div w:id="271325315">
      <w:bodyDiv w:val="1"/>
      <w:marLeft w:val="0"/>
      <w:marRight w:val="0"/>
      <w:marTop w:val="0"/>
      <w:marBottom w:val="0"/>
      <w:divBdr>
        <w:top w:val="none" w:sz="0" w:space="0" w:color="auto"/>
        <w:left w:val="none" w:sz="0" w:space="0" w:color="auto"/>
        <w:bottom w:val="none" w:sz="0" w:space="0" w:color="auto"/>
        <w:right w:val="none" w:sz="0" w:space="0" w:color="auto"/>
      </w:divBdr>
    </w:div>
    <w:div w:id="326903231">
      <w:bodyDiv w:val="1"/>
      <w:marLeft w:val="0"/>
      <w:marRight w:val="0"/>
      <w:marTop w:val="0"/>
      <w:marBottom w:val="0"/>
      <w:divBdr>
        <w:top w:val="none" w:sz="0" w:space="0" w:color="auto"/>
        <w:left w:val="none" w:sz="0" w:space="0" w:color="auto"/>
        <w:bottom w:val="none" w:sz="0" w:space="0" w:color="auto"/>
        <w:right w:val="none" w:sz="0" w:space="0" w:color="auto"/>
      </w:divBdr>
    </w:div>
    <w:div w:id="365788454">
      <w:bodyDiv w:val="1"/>
      <w:marLeft w:val="0"/>
      <w:marRight w:val="0"/>
      <w:marTop w:val="0"/>
      <w:marBottom w:val="0"/>
      <w:divBdr>
        <w:top w:val="none" w:sz="0" w:space="0" w:color="auto"/>
        <w:left w:val="none" w:sz="0" w:space="0" w:color="auto"/>
        <w:bottom w:val="none" w:sz="0" w:space="0" w:color="auto"/>
        <w:right w:val="none" w:sz="0" w:space="0" w:color="auto"/>
      </w:divBdr>
    </w:div>
    <w:div w:id="406463567">
      <w:bodyDiv w:val="1"/>
      <w:marLeft w:val="0"/>
      <w:marRight w:val="0"/>
      <w:marTop w:val="0"/>
      <w:marBottom w:val="0"/>
      <w:divBdr>
        <w:top w:val="none" w:sz="0" w:space="0" w:color="auto"/>
        <w:left w:val="none" w:sz="0" w:space="0" w:color="auto"/>
        <w:bottom w:val="none" w:sz="0" w:space="0" w:color="auto"/>
        <w:right w:val="none" w:sz="0" w:space="0" w:color="auto"/>
      </w:divBdr>
    </w:div>
    <w:div w:id="493303988">
      <w:bodyDiv w:val="1"/>
      <w:marLeft w:val="0"/>
      <w:marRight w:val="0"/>
      <w:marTop w:val="0"/>
      <w:marBottom w:val="0"/>
      <w:divBdr>
        <w:top w:val="none" w:sz="0" w:space="0" w:color="auto"/>
        <w:left w:val="none" w:sz="0" w:space="0" w:color="auto"/>
        <w:bottom w:val="none" w:sz="0" w:space="0" w:color="auto"/>
        <w:right w:val="none" w:sz="0" w:space="0" w:color="auto"/>
      </w:divBdr>
    </w:div>
    <w:div w:id="778136465">
      <w:bodyDiv w:val="1"/>
      <w:marLeft w:val="0"/>
      <w:marRight w:val="0"/>
      <w:marTop w:val="0"/>
      <w:marBottom w:val="0"/>
      <w:divBdr>
        <w:top w:val="none" w:sz="0" w:space="0" w:color="auto"/>
        <w:left w:val="none" w:sz="0" w:space="0" w:color="auto"/>
        <w:bottom w:val="none" w:sz="0" w:space="0" w:color="auto"/>
        <w:right w:val="none" w:sz="0" w:space="0" w:color="auto"/>
      </w:divBdr>
    </w:div>
    <w:div w:id="783498499">
      <w:bodyDiv w:val="1"/>
      <w:marLeft w:val="0"/>
      <w:marRight w:val="0"/>
      <w:marTop w:val="0"/>
      <w:marBottom w:val="0"/>
      <w:divBdr>
        <w:top w:val="none" w:sz="0" w:space="0" w:color="auto"/>
        <w:left w:val="none" w:sz="0" w:space="0" w:color="auto"/>
        <w:bottom w:val="none" w:sz="0" w:space="0" w:color="auto"/>
        <w:right w:val="none" w:sz="0" w:space="0" w:color="auto"/>
      </w:divBdr>
    </w:div>
    <w:div w:id="828594246">
      <w:bodyDiv w:val="1"/>
      <w:marLeft w:val="0"/>
      <w:marRight w:val="0"/>
      <w:marTop w:val="0"/>
      <w:marBottom w:val="0"/>
      <w:divBdr>
        <w:top w:val="none" w:sz="0" w:space="0" w:color="auto"/>
        <w:left w:val="none" w:sz="0" w:space="0" w:color="auto"/>
        <w:bottom w:val="none" w:sz="0" w:space="0" w:color="auto"/>
        <w:right w:val="none" w:sz="0" w:space="0" w:color="auto"/>
      </w:divBdr>
    </w:div>
    <w:div w:id="922182095">
      <w:bodyDiv w:val="1"/>
      <w:marLeft w:val="0"/>
      <w:marRight w:val="0"/>
      <w:marTop w:val="0"/>
      <w:marBottom w:val="0"/>
      <w:divBdr>
        <w:top w:val="none" w:sz="0" w:space="0" w:color="auto"/>
        <w:left w:val="none" w:sz="0" w:space="0" w:color="auto"/>
        <w:bottom w:val="none" w:sz="0" w:space="0" w:color="auto"/>
        <w:right w:val="none" w:sz="0" w:space="0" w:color="auto"/>
      </w:divBdr>
    </w:div>
    <w:div w:id="1005014973">
      <w:bodyDiv w:val="1"/>
      <w:marLeft w:val="0"/>
      <w:marRight w:val="0"/>
      <w:marTop w:val="0"/>
      <w:marBottom w:val="0"/>
      <w:divBdr>
        <w:top w:val="none" w:sz="0" w:space="0" w:color="auto"/>
        <w:left w:val="none" w:sz="0" w:space="0" w:color="auto"/>
        <w:bottom w:val="none" w:sz="0" w:space="0" w:color="auto"/>
        <w:right w:val="none" w:sz="0" w:space="0" w:color="auto"/>
      </w:divBdr>
    </w:div>
    <w:div w:id="1049110209">
      <w:bodyDiv w:val="1"/>
      <w:marLeft w:val="0"/>
      <w:marRight w:val="0"/>
      <w:marTop w:val="0"/>
      <w:marBottom w:val="0"/>
      <w:divBdr>
        <w:top w:val="none" w:sz="0" w:space="0" w:color="auto"/>
        <w:left w:val="none" w:sz="0" w:space="0" w:color="auto"/>
        <w:bottom w:val="none" w:sz="0" w:space="0" w:color="auto"/>
        <w:right w:val="none" w:sz="0" w:space="0" w:color="auto"/>
      </w:divBdr>
    </w:div>
    <w:div w:id="1084300615">
      <w:bodyDiv w:val="1"/>
      <w:marLeft w:val="0"/>
      <w:marRight w:val="0"/>
      <w:marTop w:val="0"/>
      <w:marBottom w:val="0"/>
      <w:divBdr>
        <w:top w:val="none" w:sz="0" w:space="0" w:color="auto"/>
        <w:left w:val="none" w:sz="0" w:space="0" w:color="auto"/>
        <w:bottom w:val="none" w:sz="0" w:space="0" w:color="auto"/>
        <w:right w:val="none" w:sz="0" w:space="0" w:color="auto"/>
      </w:divBdr>
    </w:div>
    <w:div w:id="1253783025">
      <w:bodyDiv w:val="1"/>
      <w:marLeft w:val="0"/>
      <w:marRight w:val="0"/>
      <w:marTop w:val="0"/>
      <w:marBottom w:val="0"/>
      <w:divBdr>
        <w:top w:val="none" w:sz="0" w:space="0" w:color="auto"/>
        <w:left w:val="none" w:sz="0" w:space="0" w:color="auto"/>
        <w:bottom w:val="none" w:sz="0" w:space="0" w:color="auto"/>
        <w:right w:val="none" w:sz="0" w:space="0" w:color="auto"/>
      </w:divBdr>
    </w:div>
    <w:div w:id="1254163227">
      <w:bodyDiv w:val="1"/>
      <w:marLeft w:val="0"/>
      <w:marRight w:val="0"/>
      <w:marTop w:val="0"/>
      <w:marBottom w:val="0"/>
      <w:divBdr>
        <w:top w:val="none" w:sz="0" w:space="0" w:color="auto"/>
        <w:left w:val="none" w:sz="0" w:space="0" w:color="auto"/>
        <w:bottom w:val="none" w:sz="0" w:space="0" w:color="auto"/>
        <w:right w:val="none" w:sz="0" w:space="0" w:color="auto"/>
      </w:divBdr>
    </w:div>
    <w:div w:id="1300188950">
      <w:bodyDiv w:val="1"/>
      <w:marLeft w:val="0"/>
      <w:marRight w:val="0"/>
      <w:marTop w:val="0"/>
      <w:marBottom w:val="0"/>
      <w:divBdr>
        <w:top w:val="none" w:sz="0" w:space="0" w:color="auto"/>
        <w:left w:val="none" w:sz="0" w:space="0" w:color="auto"/>
        <w:bottom w:val="none" w:sz="0" w:space="0" w:color="auto"/>
        <w:right w:val="none" w:sz="0" w:space="0" w:color="auto"/>
      </w:divBdr>
    </w:div>
    <w:div w:id="1366180098">
      <w:bodyDiv w:val="1"/>
      <w:marLeft w:val="0"/>
      <w:marRight w:val="0"/>
      <w:marTop w:val="0"/>
      <w:marBottom w:val="0"/>
      <w:divBdr>
        <w:top w:val="none" w:sz="0" w:space="0" w:color="auto"/>
        <w:left w:val="none" w:sz="0" w:space="0" w:color="auto"/>
        <w:bottom w:val="none" w:sz="0" w:space="0" w:color="auto"/>
        <w:right w:val="none" w:sz="0" w:space="0" w:color="auto"/>
      </w:divBdr>
    </w:div>
    <w:div w:id="1471946709">
      <w:bodyDiv w:val="1"/>
      <w:marLeft w:val="0"/>
      <w:marRight w:val="0"/>
      <w:marTop w:val="0"/>
      <w:marBottom w:val="0"/>
      <w:divBdr>
        <w:top w:val="none" w:sz="0" w:space="0" w:color="auto"/>
        <w:left w:val="none" w:sz="0" w:space="0" w:color="auto"/>
        <w:bottom w:val="none" w:sz="0" w:space="0" w:color="auto"/>
        <w:right w:val="none" w:sz="0" w:space="0" w:color="auto"/>
      </w:divBdr>
    </w:div>
    <w:div w:id="1497301610">
      <w:bodyDiv w:val="1"/>
      <w:marLeft w:val="0"/>
      <w:marRight w:val="0"/>
      <w:marTop w:val="0"/>
      <w:marBottom w:val="0"/>
      <w:divBdr>
        <w:top w:val="none" w:sz="0" w:space="0" w:color="auto"/>
        <w:left w:val="none" w:sz="0" w:space="0" w:color="auto"/>
        <w:bottom w:val="none" w:sz="0" w:space="0" w:color="auto"/>
        <w:right w:val="none" w:sz="0" w:space="0" w:color="auto"/>
      </w:divBdr>
    </w:div>
    <w:div w:id="1512572116">
      <w:bodyDiv w:val="1"/>
      <w:marLeft w:val="0"/>
      <w:marRight w:val="0"/>
      <w:marTop w:val="0"/>
      <w:marBottom w:val="0"/>
      <w:divBdr>
        <w:top w:val="none" w:sz="0" w:space="0" w:color="auto"/>
        <w:left w:val="none" w:sz="0" w:space="0" w:color="auto"/>
        <w:bottom w:val="none" w:sz="0" w:space="0" w:color="auto"/>
        <w:right w:val="none" w:sz="0" w:space="0" w:color="auto"/>
      </w:divBdr>
    </w:div>
    <w:div w:id="1518809260">
      <w:bodyDiv w:val="1"/>
      <w:marLeft w:val="0"/>
      <w:marRight w:val="0"/>
      <w:marTop w:val="0"/>
      <w:marBottom w:val="0"/>
      <w:divBdr>
        <w:top w:val="none" w:sz="0" w:space="0" w:color="auto"/>
        <w:left w:val="none" w:sz="0" w:space="0" w:color="auto"/>
        <w:bottom w:val="none" w:sz="0" w:space="0" w:color="auto"/>
        <w:right w:val="none" w:sz="0" w:space="0" w:color="auto"/>
      </w:divBdr>
    </w:div>
    <w:div w:id="1526602212">
      <w:bodyDiv w:val="1"/>
      <w:marLeft w:val="0"/>
      <w:marRight w:val="0"/>
      <w:marTop w:val="0"/>
      <w:marBottom w:val="0"/>
      <w:divBdr>
        <w:top w:val="none" w:sz="0" w:space="0" w:color="auto"/>
        <w:left w:val="none" w:sz="0" w:space="0" w:color="auto"/>
        <w:bottom w:val="none" w:sz="0" w:space="0" w:color="auto"/>
        <w:right w:val="none" w:sz="0" w:space="0" w:color="auto"/>
      </w:divBdr>
    </w:div>
    <w:div w:id="1638682955">
      <w:bodyDiv w:val="1"/>
      <w:marLeft w:val="0"/>
      <w:marRight w:val="0"/>
      <w:marTop w:val="0"/>
      <w:marBottom w:val="0"/>
      <w:divBdr>
        <w:top w:val="none" w:sz="0" w:space="0" w:color="auto"/>
        <w:left w:val="none" w:sz="0" w:space="0" w:color="auto"/>
        <w:bottom w:val="none" w:sz="0" w:space="0" w:color="auto"/>
        <w:right w:val="none" w:sz="0" w:space="0" w:color="auto"/>
      </w:divBdr>
    </w:div>
    <w:div w:id="1817649559">
      <w:bodyDiv w:val="1"/>
      <w:marLeft w:val="0"/>
      <w:marRight w:val="0"/>
      <w:marTop w:val="0"/>
      <w:marBottom w:val="0"/>
      <w:divBdr>
        <w:top w:val="none" w:sz="0" w:space="0" w:color="auto"/>
        <w:left w:val="none" w:sz="0" w:space="0" w:color="auto"/>
        <w:bottom w:val="none" w:sz="0" w:space="0" w:color="auto"/>
        <w:right w:val="none" w:sz="0" w:space="0" w:color="auto"/>
      </w:divBdr>
    </w:div>
    <w:div w:id="1826893434">
      <w:bodyDiv w:val="1"/>
      <w:marLeft w:val="0"/>
      <w:marRight w:val="0"/>
      <w:marTop w:val="0"/>
      <w:marBottom w:val="0"/>
      <w:divBdr>
        <w:top w:val="none" w:sz="0" w:space="0" w:color="auto"/>
        <w:left w:val="none" w:sz="0" w:space="0" w:color="auto"/>
        <w:bottom w:val="none" w:sz="0" w:space="0" w:color="auto"/>
        <w:right w:val="none" w:sz="0" w:space="0" w:color="auto"/>
      </w:divBdr>
    </w:div>
    <w:div w:id="1975790945">
      <w:bodyDiv w:val="1"/>
      <w:marLeft w:val="0"/>
      <w:marRight w:val="0"/>
      <w:marTop w:val="0"/>
      <w:marBottom w:val="0"/>
      <w:divBdr>
        <w:top w:val="none" w:sz="0" w:space="0" w:color="auto"/>
        <w:left w:val="none" w:sz="0" w:space="0" w:color="auto"/>
        <w:bottom w:val="none" w:sz="0" w:space="0" w:color="auto"/>
        <w:right w:val="none" w:sz="0" w:space="0" w:color="auto"/>
      </w:divBdr>
    </w:div>
    <w:div w:id="2037271238">
      <w:bodyDiv w:val="1"/>
      <w:marLeft w:val="0"/>
      <w:marRight w:val="0"/>
      <w:marTop w:val="0"/>
      <w:marBottom w:val="0"/>
      <w:divBdr>
        <w:top w:val="none" w:sz="0" w:space="0" w:color="auto"/>
        <w:left w:val="none" w:sz="0" w:space="0" w:color="auto"/>
        <w:bottom w:val="none" w:sz="0" w:space="0" w:color="auto"/>
        <w:right w:val="none" w:sz="0" w:space="0" w:color="auto"/>
      </w:divBdr>
    </w:div>
    <w:div w:id="2047755124">
      <w:bodyDiv w:val="1"/>
      <w:marLeft w:val="0"/>
      <w:marRight w:val="0"/>
      <w:marTop w:val="0"/>
      <w:marBottom w:val="0"/>
      <w:divBdr>
        <w:top w:val="none" w:sz="0" w:space="0" w:color="auto"/>
        <w:left w:val="none" w:sz="0" w:space="0" w:color="auto"/>
        <w:bottom w:val="none" w:sz="0" w:space="0" w:color="auto"/>
        <w:right w:val="none" w:sz="0" w:space="0" w:color="auto"/>
      </w:divBdr>
    </w:div>
    <w:div w:id="2100103248">
      <w:bodyDiv w:val="1"/>
      <w:marLeft w:val="0"/>
      <w:marRight w:val="0"/>
      <w:marTop w:val="0"/>
      <w:marBottom w:val="0"/>
      <w:divBdr>
        <w:top w:val="none" w:sz="0" w:space="0" w:color="auto"/>
        <w:left w:val="none" w:sz="0" w:space="0" w:color="auto"/>
        <w:bottom w:val="none" w:sz="0" w:space="0" w:color="auto"/>
        <w:right w:val="none" w:sz="0" w:space="0" w:color="auto"/>
      </w:divBdr>
    </w:div>
    <w:div w:id="21180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81C7F-10F8-4F35-A6EE-699CD6B10348}">
  <ds:schemaRefs>
    <ds:schemaRef ds:uri="http://schemas.microsoft.com/sharepoint/v3/contenttype/forms"/>
  </ds:schemaRefs>
</ds:datastoreItem>
</file>

<file path=customXml/itemProps2.xml><?xml version="1.0" encoding="utf-8"?>
<ds:datastoreItem xmlns:ds="http://schemas.openxmlformats.org/officeDocument/2006/customXml" ds:itemID="{8F58585B-0C2D-4967-9F0A-4ADC053991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35916A-CFDE-46D8-B367-AE4C8D982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CF6A795-CA3E-43CB-8616-FB42BDE56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cabayahs;DUFF, MICHAEL A CTR JCS AETC JIOWC/J9</dc:creator>
  <cp:lastModifiedBy>cabayahs</cp:lastModifiedBy>
  <cp:revision>23</cp:revision>
  <cp:lastPrinted>2016-04-19T12:53:00Z</cp:lastPrinted>
  <dcterms:created xsi:type="dcterms:W3CDTF">2016-07-14T17:29:00Z</dcterms:created>
  <dcterms:modified xsi:type="dcterms:W3CDTF">2016-07-22T17:45:00Z</dcterms:modified>
</cp:coreProperties>
</file>