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CEE7" w14:textId="77777777" w:rsidR="00306207" w:rsidRDefault="00306207" w:rsidP="00306207">
      <w:pPr>
        <w:pStyle w:val="Heading1"/>
        <w:spacing w:before="240" w:after="240"/>
        <w:jc w:val="both"/>
      </w:pPr>
      <w:bookmarkStart w:id="0" w:name="_heading=h.30j0zll" w:colFirst="0" w:colLast="0"/>
      <w:bookmarkStart w:id="1" w:name="_Hlk178603241"/>
      <w:bookmarkEnd w:id="0"/>
      <w:r>
        <w:t>Response to comments</w:t>
      </w:r>
    </w:p>
    <w:p w14:paraId="13563256" w14:textId="442343FA" w:rsidR="00306207" w:rsidRDefault="00306207" w:rsidP="00306207">
      <w:pPr>
        <w:spacing w:before="240" w:after="240"/>
        <w:jc w:val="both"/>
        <w:rPr>
          <w:rFonts w:ascii="Calibri" w:eastAsia="Calibri" w:hAnsi="Calibri" w:cs="Calibri"/>
        </w:rPr>
      </w:pPr>
      <w:r>
        <w:rPr>
          <w:rFonts w:ascii="Calibri" w:eastAsia="Calibri" w:hAnsi="Calibri" w:cs="Calibri"/>
        </w:rPr>
        <w:t xml:space="preserve">We appreciate the time that you have taken to review our paper </w:t>
      </w:r>
      <w:r w:rsidRPr="00306207">
        <w:rPr>
          <w:rFonts w:ascii="Calibri" w:eastAsia="Calibri" w:hAnsi="Calibri" w:cs="Calibri"/>
          <w:b/>
          <w:bCs/>
          <w:i/>
          <w:iCs/>
        </w:rPr>
        <w:t>Temporal Resolution Matters: Evaluating Carbon Emission Factors for Accurate Accounting in Commercial Buildings</w:t>
      </w:r>
      <w:r>
        <w:rPr>
          <w:rFonts w:ascii="Calibri" w:eastAsia="Calibri" w:hAnsi="Calibri" w:cs="Calibri"/>
        </w:rPr>
        <w:t xml:space="preserve">. We would like to thank you for your comments. We address each comment below in the order in which we received it. The original comment is in </w:t>
      </w:r>
      <w:r w:rsidRPr="00BC50C8">
        <w:rPr>
          <w:rFonts w:ascii="Calibri" w:eastAsia="Calibri" w:hAnsi="Calibri" w:cs="Calibri"/>
          <w:b/>
          <w:color w:val="4C94D8" w:themeColor="text2" w:themeTint="80"/>
        </w:rPr>
        <w:t>bold</w:t>
      </w:r>
      <w:r>
        <w:rPr>
          <w:rFonts w:ascii="Calibri" w:eastAsia="Calibri" w:hAnsi="Calibri" w:cs="Calibri"/>
        </w:rPr>
        <w:t>. Our responses to the comments are in plain text, and excerpts from the modified, resubmitted article are in quotations for ease of reference for the reviewer or editor. We include a version with and without ‘Track Changes’ for ease of comparison.</w:t>
      </w:r>
    </w:p>
    <w:p w14:paraId="6CD5CC7B" w14:textId="216F8624" w:rsidR="00306207" w:rsidRDefault="00306207" w:rsidP="00306207">
      <w:pPr>
        <w:spacing w:before="240" w:after="240"/>
        <w:jc w:val="both"/>
        <w:rPr>
          <w:rFonts w:ascii="Calibri" w:eastAsia="Calibri" w:hAnsi="Calibri" w:cs="Calibri"/>
        </w:rPr>
      </w:pPr>
      <w:r>
        <w:rPr>
          <w:rFonts w:ascii="Calibri" w:eastAsia="Calibri" w:hAnsi="Calibri" w:cs="Calibri"/>
        </w:rPr>
        <w:t xml:space="preserve">We believe the resulting changes have improved the paper, both in terms of readability and clarity to the reader. We hope that these changes sufficiently address your </w:t>
      </w:r>
      <w:r w:rsidR="00765002">
        <w:rPr>
          <w:rFonts w:ascii="Calibri" w:eastAsia="Calibri" w:hAnsi="Calibri" w:cs="Calibri"/>
        </w:rPr>
        <w:t>concerns and</w:t>
      </w:r>
      <w:r>
        <w:rPr>
          <w:rFonts w:ascii="Calibri" w:eastAsia="Calibri" w:hAnsi="Calibri" w:cs="Calibri"/>
        </w:rPr>
        <w:t xml:space="preserve"> thank you for your time.</w:t>
      </w:r>
    </w:p>
    <w:bookmarkEnd w:id="1"/>
    <w:p w14:paraId="61127036" w14:textId="77777777" w:rsidR="00306207" w:rsidRDefault="00306207" w:rsidP="00306207">
      <w:pPr>
        <w:pStyle w:val="Heading2"/>
        <w:jc w:val="both"/>
      </w:pPr>
      <w:r>
        <w:t>Reviewer 1</w:t>
      </w:r>
    </w:p>
    <w:p w14:paraId="6E262641" w14:textId="0F4E324A" w:rsidR="00581A59" w:rsidRPr="00BC50C8" w:rsidRDefault="00306207" w:rsidP="00581A59">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topic is highly relevant to "Applied Energy," addressing a timely and important issue related to the accuracy of operational carbon accounting under increasing grid variability and renewable energy penetration. The manuscript demonstrates strong practical relevance, leverages real building data, and addresses a methodological gap that is often overlooked in policy and practice.</w:t>
      </w:r>
    </w:p>
    <w:p w14:paraId="28B4A32C" w14:textId="6954DD14" w:rsidR="00581A59" w:rsidRPr="00581A59" w:rsidRDefault="00581A59" w:rsidP="00581A59">
      <w:pPr>
        <w:spacing w:before="240" w:after="240"/>
        <w:jc w:val="both"/>
        <w:rPr>
          <w:rFonts w:ascii="Calibri" w:eastAsia="Calibri" w:hAnsi="Calibri" w:cs="Calibri"/>
        </w:rPr>
      </w:pPr>
      <w:r>
        <w:rPr>
          <w:rFonts w:ascii="Calibri" w:eastAsia="Calibri" w:hAnsi="Calibri" w:cs="Calibri"/>
          <w:b/>
          <w:bCs/>
        </w:rPr>
        <w:t xml:space="preserve">Response: </w:t>
      </w:r>
      <w:r>
        <w:rPr>
          <w:rFonts w:ascii="Calibri" w:eastAsia="Calibri" w:hAnsi="Calibri" w:cs="Calibri"/>
        </w:rPr>
        <w:t>Thank you very much for your evaluation of the manuscript</w:t>
      </w:r>
      <w:r w:rsidR="00A43DEB">
        <w:rPr>
          <w:rFonts w:ascii="Calibri" w:eastAsia="Calibri" w:hAnsi="Calibri" w:cs="Calibri"/>
        </w:rPr>
        <w:t xml:space="preserve">, we appreciate your valuable feedback to this study, and we hope this paper will be of use to both researchers and practitioners. </w:t>
      </w:r>
    </w:p>
    <w:p w14:paraId="7AC87A43" w14:textId="77777777"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"Abstract" is clearly written and technically sound; however, the novelty of the study relative to existing work on time-resolved emission factors is not explicitly stated. Therefore, the authors are recommended to clearly highlight the main novel contribution and research gap addressed by this study.</w:t>
      </w:r>
    </w:p>
    <w:p w14:paraId="35E97A57" w14:textId="5B449482" w:rsidR="00306207" w:rsidRPr="00A43DEB" w:rsidRDefault="00A43DEB" w:rsidP="00306207">
      <w:pPr>
        <w:spacing w:before="240" w:after="240"/>
        <w:jc w:val="both"/>
        <w:rPr>
          <w:rFonts w:ascii="Calibri" w:eastAsia="Calibri" w:hAnsi="Calibri" w:cs="Calibri"/>
        </w:rPr>
      </w:pPr>
      <w:r>
        <w:rPr>
          <w:rFonts w:ascii="Calibri" w:eastAsia="Calibri" w:hAnsi="Calibri" w:cs="Calibri"/>
          <w:b/>
          <w:bCs/>
        </w:rPr>
        <w:t xml:space="preserve">Response: </w:t>
      </w:r>
      <w:r>
        <w:rPr>
          <w:rFonts w:ascii="Calibri" w:eastAsia="Calibri" w:hAnsi="Calibri" w:cs="Calibri"/>
        </w:rPr>
        <w:t xml:space="preserve">Thank you for pointing out the missing novelty highlights in the abstract. We have added the sentence </w:t>
      </w:r>
      <w:r w:rsidRPr="00334958">
        <w:rPr>
          <w:rFonts w:ascii="Calibri" w:eastAsia="Calibri" w:hAnsi="Calibri" w:cs="Calibri"/>
          <w:i/>
          <w:iCs/>
          <w:u w:val="single"/>
        </w:rPr>
        <w:t>“</w:t>
      </w:r>
      <w:r w:rsidR="002E7EA8" w:rsidRPr="002E7EA8">
        <w:rPr>
          <w:rFonts w:ascii="Calibri" w:eastAsia="Calibri" w:hAnsi="Calibri" w:cs="Calibri"/>
          <w:i/>
          <w:iCs/>
          <w:u w:val="single"/>
          <w:lang w:val="en-US"/>
        </w:rPr>
        <w:t>Existing literature on net-zero carbon buildings rarely examines how the temporal resolution of emission factors affects accounting accuracy. In this study, we evaluate a range of grid emission factors (annual, seasonal, time-of-day, season-hour, and month-hour) and quantified their impact on carbon emissions accounting accuracy for commercial buildings across 18 U.S. grid regions.</w:t>
      </w:r>
      <w:r w:rsidRPr="00334958">
        <w:rPr>
          <w:rFonts w:ascii="Calibri" w:eastAsia="Calibri" w:hAnsi="Calibri" w:cs="Calibri"/>
          <w:i/>
          <w:iCs/>
          <w:u w:val="single"/>
        </w:rPr>
        <w:t>”</w:t>
      </w:r>
      <w:r>
        <w:rPr>
          <w:rFonts w:ascii="Calibri" w:eastAsia="Calibri" w:hAnsi="Calibri" w:cs="Calibri"/>
        </w:rPr>
        <w:t xml:space="preserve"> to the emphasize the time-resolved emission factors. </w:t>
      </w:r>
    </w:p>
    <w:p w14:paraId="504B4B96" w14:textId="77777777"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 xml:space="preserve">The discussion of decarbonization pathways in section 1. "Introduction" is informative but descriptive. Therefore, a clearer link between background discussion and the specific </w:t>
      </w:r>
      <w:proofErr w:type="gramStart"/>
      <w:r w:rsidRPr="00BC50C8">
        <w:rPr>
          <w:rFonts w:ascii="Calibri" w:eastAsia="Calibri" w:hAnsi="Calibri" w:cs="Calibri"/>
          <w:b/>
          <w:bCs/>
          <w:color w:val="4C94D8" w:themeColor="text2" w:themeTint="80"/>
        </w:rPr>
        <w:t>goals</w:t>
      </w:r>
      <w:proofErr w:type="gramEnd"/>
      <w:r w:rsidRPr="00BC50C8">
        <w:rPr>
          <w:rFonts w:ascii="Calibri" w:eastAsia="Calibri" w:hAnsi="Calibri" w:cs="Calibri"/>
          <w:b/>
          <w:bCs/>
          <w:color w:val="4C94D8" w:themeColor="text2" w:themeTint="80"/>
        </w:rPr>
        <w:t xml:space="preserve"> of the study is suggested.</w:t>
      </w:r>
    </w:p>
    <w:p w14:paraId="74AA4DB4" w14:textId="447D8565" w:rsidR="00306207" w:rsidRPr="0039739B" w:rsidRDefault="00334958" w:rsidP="00306207">
      <w:pPr>
        <w:spacing w:before="240" w:after="240"/>
        <w:jc w:val="both"/>
        <w:rPr>
          <w:rFonts w:ascii="Calibri" w:eastAsia="Calibri" w:hAnsi="Calibri" w:cs="Calibri"/>
          <w:lang w:val="en-US"/>
        </w:rPr>
      </w:pPr>
      <w:r>
        <w:rPr>
          <w:rFonts w:ascii="Calibri" w:eastAsia="Calibri" w:hAnsi="Calibri" w:cs="Calibri"/>
          <w:b/>
          <w:bCs/>
        </w:rPr>
        <w:lastRenderedPageBreak/>
        <w:t xml:space="preserve">Response: </w:t>
      </w:r>
      <w:r w:rsidRPr="00334958">
        <w:rPr>
          <w:rFonts w:ascii="Calibri" w:eastAsia="Calibri" w:hAnsi="Calibri" w:cs="Calibri"/>
        </w:rPr>
        <w:t>Thank</w:t>
      </w:r>
      <w:r>
        <w:rPr>
          <w:rFonts w:ascii="Calibri" w:eastAsia="Calibri" w:hAnsi="Calibri" w:cs="Calibri"/>
        </w:rPr>
        <w:t xml:space="preserve"> you for the suggestion, we added in section 1. “Introduction” the following sentences to make connections between general background and the study objectives: </w:t>
      </w:r>
      <w:r w:rsidR="00E2477F">
        <w:rPr>
          <w:rFonts w:ascii="Calibri" w:eastAsia="Calibri" w:hAnsi="Calibri" w:cs="Calibri"/>
        </w:rPr>
        <w:t>“</w:t>
      </w:r>
      <w:r w:rsidR="00DB1E1D" w:rsidRPr="00DB1E1D">
        <w:rPr>
          <w:rFonts w:ascii="Calibri" w:eastAsia="Calibri" w:hAnsi="Calibri" w:cs="Calibri"/>
          <w:i/>
          <w:iCs/>
          <w:u w:val="single"/>
          <w:lang w:val="en-US"/>
        </w:rPr>
        <w:t>However, these trends increase the operational complexity of energy systems, making accurate accounting of building operational carbon emissions both more challenging and more critical. Intermittent changes driven by renewable generation are often overlooked by simplified emissions factors, such as annual averages, and remain insufficiently addressed in both the literature and industry practice. In this study, we systematically evaluated commonly used emission factors by quantifying their errors in estimating annual operational emissions across a range of building operating conditions and future grid scenarios.</w:t>
      </w:r>
      <w:r w:rsidR="0039739B" w:rsidRPr="0039739B">
        <w:rPr>
          <w:rFonts w:ascii="Calibri" w:eastAsia="Calibri" w:hAnsi="Calibri" w:cs="Calibri"/>
          <w:lang w:val="en-US"/>
        </w:rPr>
        <w:t>”</w:t>
      </w:r>
    </w:p>
    <w:p w14:paraId="334E85F0" w14:textId="77777777"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Section 1. "Introduction" provides a strong motivation for the study; however, the positioning of this work within the existing literature on temporal emission factors is limited. Thus, the authors are recommended to dedicate a paragraph to research gaps and clarify how this study advances current knowledge.</w:t>
      </w:r>
    </w:p>
    <w:p w14:paraId="454AA13B" w14:textId="77777777" w:rsidR="00765002" w:rsidRDefault="0039739B" w:rsidP="00306207">
      <w:pPr>
        <w:spacing w:before="240" w:after="240"/>
        <w:jc w:val="both"/>
        <w:rPr>
          <w:rFonts w:ascii="Calibri" w:eastAsia="Calibri" w:hAnsi="Calibri" w:cs="Calibri"/>
        </w:rPr>
      </w:pPr>
      <w:r>
        <w:rPr>
          <w:rFonts w:ascii="Calibri" w:eastAsia="Calibri" w:hAnsi="Calibri" w:cs="Calibri"/>
          <w:b/>
          <w:bCs/>
        </w:rPr>
        <w:t xml:space="preserve">Response: </w:t>
      </w:r>
      <w:r w:rsidR="00651AE9" w:rsidRPr="00651AE9">
        <w:rPr>
          <w:rFonts w:ascii="Calibri" w:eastAsia="Calibri" w:hAnsi="Calibri" w:cs="Calibri"/>
        </w:rPr>
        <w:t xml:space="preserve">Thanks for the feedback, and we agree that it is important to link the existing literature </w:t>
      </w:r>
      <w:r w:rsidR="00651AE9">
        <w:rPr>
          <w:rFonts w:ascii="Calibri" w:eastAsia="Calibri" w:hAnsi="Calibri" w:cs="Calibri"/>
        </w:rPr>
        <w:t xml:space="preserve">on temporal emission factors to the study. We provided a dedicated paragraph in the following section 2.2 “Time interval differences in operational carbon emissions accounting” discussing how current guidelines, standards and literature instruct practitioners to report operational emissions accounting. </w:t>
      </w:r>
    </w:p>
    <w:p w14:paraId="7599C7E6" w14:textId="07EBD7FB" w:rsidR="00306207" w:rsidRPr="00651AE9" w:rsidRDefault="008A3CFB" w:rsidP="00306207">
      <w:pPr>
        <w:spacing w:before="240" w:after="240"/>
        <w:jc w:val="both"/>
        <w:rPr>
          <w:rFonts w:ascii="Calibri" w:eastAsia="Calibri" w:hAnsi="Calibri" w:cs="Calibri"/>
        </w:rPr>
      </w:pPr>
      <w:r>
        <w:rPr>
          <w:rFonts w:ascii="Calibri" w:eastAsia="Calibri" w:hAnsi="Calibri" w:cs="Calibri"/>
        </w:rPr>
        <w:t>To navigate interested readers, we added a sentence: “</w:t>
      </w:r>
      <w:r w:rsidR="005A66A7" w:rsidRPr="005A66A7">
        <w:rPr>
          <w:rFonts w:ascii="Calibri" w:eastAsia="Calibri" w:hAnsi="Calibri" w:cs="Calibri"/>
          <w:i/>
          <w:iCs/>
          <w:u w:val="single"/>
          <w:lang w:val="en-US"/>
        </w:rPr>
        <w:t>However, as discussed in Section 2.2, current standards and guidelines do not explicitly specify minimum requirements for temporal resolution, and existing literature lacks a comprehensive evaluation of available emission factors. This study addresses that gap by demonstrating the crucial differentiation net-zero energy and carbon buildings, enabling more robust evaluation of operational and avoided emissions. These findings are particularly relevant for utility programs, such as those that credit grid exports or demand-side flexibility, where timing-sensitive emissions accounting is essential.</w:t>
      </w:r>
      <w:r>
        <w:rPr>
          <w:rFonts w:ascii="Calibri" w:eastAsia="Calibri" w:hAnsi="Calibri" w:cs="Calibri"/>
        </w:rPr>
        <w:t>”</w:t>
      </w:r>
    </w:p>
    <w:p w14:paraId="22E77660" w14:textId="77777777"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A separate paragraph at the end of section 1. "Introduction" is recommended to highlight how the remaining parts of the paper are organized.</w:t>
      </w:r>
    </w:p>
    <w:p w14:paraId="7478085B" w14:textId="6AD531AF" w:rsidR="00306207" w:rsidRPr="00651AE9" w:rsidRDefault="002F433A" w:rsidP="00306207">
      <w:pPr>
        <w:spacing w:before="240" w:after="240"/>
        <w:jc w:val="both"/>
        <w:rPr>
          <w:rFonts w:ascii="Calibri" w:eastAsia="Calibri" w:hAnsi="Calibri" w:cs="Calibri"/>
          <w:lang w:val="en-US"/>
        </w:rPr>
      </w:pPr>
      <w:r>
        <w:rPr>
          <w:rFonts w:ascii="Calibri" w:eastAsia="Calibri" w:hAnsi="Calibri" w:cs="Calibri"/>
          <w:b/>
          <w:bCs/>
        </w:rPr>
        <w:t>Response:</w:t>
      </w:r>
      <w:r w:rsidR="00AD39B7">
        <w:rPr>
          <w:rFonts w:ascii="Calibri" w:eastAsia="Calibri" w:hAnsi="Calibri" w:cs="Calibri"/>
          <w:b/>
          <w:bCs/>
        </w:rPr>
        <w:t xml:space="preserve"> </w:t>
      </w:r>
      <w:r w:rsidR="00AD39B7" w:rsidRPr="00AD39B7">
        <w:rPr>
          <w:rFonts w:ascii="Calibri" w:eastAsia="Calibri" w:hAnsi="Calibri" w:cs="Calibri"/>
        </w:rPr>
        <w:t>Thanks for the suggestion</w:t>
      </w:r>
      <w:r w:rsidR="00AD39B7">
        <w:rPr>
          <w:rFonts w:ascii="Calibri" w:eastAsia="Calibri" w:hAnsi="Calibri" w:cs="Calibri"/>
        </w:rPr>
        <w:t>, we added a paragraph at the end of 1. “Introduction” to summarize the structure and content of the paper. “</w:t>
      </w:r>
      <w:r w:rsidR="006378B1" w:rsidRPr="006378B1">
        <w:rPr>
          <w:rFonts w:ascii="Calibri" w:eastAsia="Calibri" w:hAnsi="Calibri" w:cs="Calibri"/>
          <w:i/>
          <w:iCs/>
          <w:u w:val="single"/>
          <w:lang w:val="en-US"/>
        </w:rPr>
        <w:t>The rest of this paper is structured as follows: Section 2 reviews existing net-zero definitions and prior discussions on the role of temporal variability in emissions assessment. Section 3 describes the methodology and datasets used to evaluate accounting accuracy, followed by results in Section 4 using three representative grid regions. Section 5 discusses the implications of these findings for policy and practice, and Section 6 concludes the study.</w:t>
      </w:r>
      <w:r w:rsidR="00AD39B7">
        <w:rPr>
          <w:rFonts w:ascii="Calibri" w:eastAsia="Calibri" w:hAnsi="Calibri" w:cs="Calibri"/>
        </w:rPr>
        <w:t>”</w:t>
      </w:r>
    </w:p>
    <w:p w14:paraId="52FE6452" w14:textId="41D625C4"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distinction between net-zero energy buildings (NZEBs) and net-zero carbon buildings (NZCBs) is clearly explained in section 2. "Literature Review;" however, the direct connection between these definitions and the study's focus on temporal emission factor resolution is not sufficiently emphasized. Thus, the authors are encouraged to more clearly link this background discussion to the core research question.</w:t>
      </w:r>
    </w:p>
    <w:p w14:paraId="46F3C4C9" w14:textId="77777777" w:rsidR="00765002" w:rsidRDefault="002F433A" w:rsidP="002F433A">
      <w:pPr>
        <w:spacing w:before="240" w:after="240"/>
        <w:jc w:val="both"/>
        <w:rPr>
          <w:rFonts w:ascii="Calibri" w:eastAsia="Calibri" w:hAnsi="Calibri" w:cs="Calibri"/>
        </w:rPr>
      </w:pPr>
      <w:r>
        <w:rPr>
          <w:rFonts w:ascii="Calibri" w:eastAsia="Calibri" w:hAnsi="Calibri" w:cs="Calibri"/>
          <w:b/>
          <w:bCs/>
        </w:rPr>
        <w:lastRenderedPageBreak/>
        <w:t>Response:</w:t>
      </w:r>
      <w:r w:rsidR="00C86110">
        <w:rPr>
          <w:rFonts w:ascii="Calibri" w:eastAsia="Calibri" w:hAnsi="Calibri" w:cs="Calibri"/>
          <w:b/>
          <w:bCs/>
        </w:rPr>
        <w:t xml:space="preserve"> </w:t>
      </w:r>
      <w:r w:rsidR="00C86110">
        <w:rPr>
          <w:rFonts w:ascii="Calibri" w:eastAsia="Calibri" w:hAnsi="Calibri" w:cs="Calibri"/>
        </w:rPr>
        <w:t xml:space="preserve">Thanks for your suggestions. After reviewing on Section 2.1 “Net-zero energy and net-zero carbon buildings”, we realized and agreed that it is slightly detached from the study objective outlined before. </w:t>
      </w:r>
      <w:r w:rsidR="007F17D4">
        <w:rPr>
          <w:rFonts w:ascii="Calibri" w:eastAsia="Calibri" w:hAnsi="Calibri" w:cs="Calibri"/>
        </w:rPr>
        <w:t xml:space="preserve">The intent of </w:t>
      </w:r>
      <w:r w:rsidR="00C7119D">
        <w:rPr>
          <w:rFonts w:ascii="Calibri" w:eastAsia="Calibri" w:hAnsi="Calibri" w:cs="Calibri"/>
        </w:rPr>
        <w:t>this literature review section is to illustrate</w:t>
      </w:r>
      <w:r w:rsidR="007F17D4">
        <w:rPr>
          <w:rFonts w:ascii="Calibri" w:eastAsia="Calibri" w:hAnsi="Calibri" w:cs="Calibri"/>
        </w:rPr>
        <w:t xml:space="preserve"> that net-zero energy buildings are not equivalent to net-zero carbon buildings</w:t>
      </w:r>
      <w:r w:rsidR="00C7119D">
        <w:rPr>
          <w:rFonts w:ascii="Calibri" w:eastAsia="Calibri" w:hAnsi="Calibri" w:cs="Calibri"/>
        </w:rPr>
        <w:t xml:space="preserve">. </w:t>
      </w:r>
    </w:p>
    <w:p w14:paraId="46F6B722" w14:textId="38699397" w:rsidR="00306207" w:rsidRPr="002E7EA8" w:rsidRDefault="00C7119D" w:rsidP="002F433A">
      <w:pPr>
        <w:spacing w:before="240" w:after="240"/>
        <w:jc w:val="both"/>
        <w:rPr>
          <w:rFonts w:ascii="Calibri" w:eastAsia="Calibri" w:hAnsi="Calibri" w:cs="Calibri"/>
          <w:i/>
          <w:iCs/>
          <w:u w:val="single"/>
          <w:lang w:val="en-US"/>
        </w:rPr>
      </w:pPr>
      <w:r>
        <w:rPr>
          <w:rFonts w:ascii="Calibri" w:eastAsia="Calibri" w:hAnsi="Calibri" w:cs="Calibri"/>
        </w:rPr>
        <w:t xml:space="preserve">Based on the given suggestion, we added a paragraph </w:t>
      </w:r>
      <w:r w:rsidR="00034651">
        <w:rPr>
          <w:rFonts w:ascii="Calibri" w:eastAsia="Calibri" w:hAnsi="Calibri" w:cs="Calibri"/>
        </w:rPr>
        <w:t>at the end of Section 2.1: “</w:t>
      </w:r>
      <w:r w:rsidR="002E7EA8" w:rsidRPr="002E7EA8">
        <w:rPr>
          <w:rFonts w:ascii="Calibri" w:eastAsia="Calibri" w:hAnsi="Calibri" w:cs="Calibri"/>
          <w:i/>
          <w:iCs/>
          <w:u w:val="single"/>
          <w:lang w:val="en-US"/>
        </w:rPr>
        <w:t>Overall, we find that net-zero energy and net-zero carbon buildings are often treated as equivalent. For example, a building that achieves net-zero energy by offsetting annual consumption with onsite solar PV, as defined by IEA or DOE frameworks, may also appear to achieve net-zero operational carbon when annual average emission factors are applied. However, this equivalence can be misleading for incentive and carbon credit programs. As the results shown later in the analysis, the magnitude of induced errors of using coarse emission factors are large enough to materially affect net-zero determinations and retrofit valuation.</w:t>
      </w:r>
      <w:r w:rsidR="00034651">
        <w:rPr>
          <w:rFonts w:ascii="Calibri" w:eastAsia="Calibri" w:hAnsi="Calibri" w:cs="Calibri"/>
        </w:rPr>
        <w:t>”</w:t>
      </w:r>
      <w:r>
        <w:rPr>
          <w:rFonts w:ascii="Calibri" w:eastAsia="Calibri" w:hAnsi="Calibri" w:cs="Calibri"/>
        </w:rPr>
        <w:t xml:space="preserve"> </w:t>
      </w:r>
    </w:p>
    <w:p w14:paraId="3E9A0445" w14:textId="77777777"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Section 2. "Literature Review" is comprehensive and well referenced. However, the authors are strongly encouraged to include a comparative summary table that systematically lists the key features of each reviewed study (e.g., data source, temporal resolution of emission factors, emission metrics, geographic scope, treatment of on-site renewables, etc), with checkmarks or indicators to show which features are addressed in each paper. Including the proposed study in the same table would clearly demonstrate its contribution and facilitate direct comparison with existing work.</w:t>
      </w:r>
    </w:p>
    <w:p w14:paraId="3286B7C4" w14:textId="3A117E9E" w:rsidR="00306207" w:rsidRDefault="002F433A" w:rsidP="002F433A">
      <w:pPr>
        <w:spacing w:before="240" w:after="240"/>
        <w:jc w:val="both"/>
        <w:rPr>
          <w:rFonts w:ascii="Calibri" w:eastAsia="Calibri" w:hAnsi="Calibri" w:cs="Calibri"/>
        </w:rPr>
      </w:pPr>
      <w:r>
        <w:rPr>
          <w:rFonts w:ascii="Calibri" w:eastAsia="Calibri" w:hAnsi="Calibri" w:cs="Calibri"/>
          <w:b/>
          <w:bCs/>
        </w:rPr>
        <w:t>Response:</w:t>
      </w:r>
      <w:r w:rsidR="00034651">
        <w:rPr>
          <w:rFonts w:ascii="Calibri" w:eastAsia="Calibri" w:hAnsi="Calibri" w:cs="Calibri"/>
          <w:b/>
          <w:bCs/>
        </w:rPr>
        <w:t xml:space="preserve"> </w:t>
      </w:r>
      <w:r w:rsidR="009B2F70" w:rsidRPr="009B2F70">
        <w:rPr>
          <w:rFonts w:ascii="Calibri" w:eastAsia="Calibri" w:hAnsi="Calibri" w:cs="Calibri"/>
        </w:rPr>
        <w:t xml:space="preserve">Thanks for the suggestion and the following comment 8. </w:t>
      </w:r>
      <w:r w:rsidR="009B2F70">
        <w:rPr>
          <w:rFonts w:ascii="Calibri" w:eastAsia="Calibri" w:hAnsi="Calibri" w:cs="Calibri"/>
        </w:rPr>
        <w:t xml:space="preserve">We added the table comparison in the updated Section 2.2 “Temporal sensitivity in operational carbon emissions accounting”. </w:t>
      </w:r>
      <w:r w:rsidR="00140AC3">
        <w:rPr>
          <w:rFonts w:ascii="Calibri" w:eastAsia="Calibri" w:hAnsi="Calibri" w:cs="Calibri"/>
        </w:rPr>
        <w:t xml:space="preserve">In the table, </w:t>
      </w:r>
      <w:proofErr w:type="gramStart"/>
      <w:r w:rsidR="00467C7B" w:rsidRPr="00467C7B">
        <w:rPr>
          <w:rFonts w:ascii="Calibri" w:eastAsia="Calibri" w:hAnsi="Calibri" w:cs="Calibri"/>
          <w:lang w:val="en-US"/>
        </w:rPr>
        <w:t>We</w:t>
      </w:r>
      <w:proofErr w:type="gramEnd"/>
      <w:r w:rsidR="00467C7B" w:rsidRPr="00467C7B">
        <w:rPr>
          <w:rFonts w:ascii="Calibri" w:eastAsia="Calibri" w:hAnsi="Calibri" w:cs="Calibri"/>
          <w:lang w:val="en-US"/>
        </w:rPr>
        <w:t xml:space="preserve"> showed which grid area is analyzed and the number of grid regions (as the number indicated), the resolution of emission factors compared, the source of building energy use and number of buildings, and finally whether the study considered grid export from onsite renewable generation</w:t>
      </w:r>
      <w:r w:rsidR="00140AC3">
        <w:rPr>
          <w:rFonts w:ascii="Calibri" w:eastAsia="Calibri" w:hAnsi="Calibri" w:cs="Calibri"/>
        </w:rPr>
        <w:t>:</w:t>
      </w:r>
    </w:p>
    <w:p w14:paraId="1C21E121" w14:textId="2AB7D8DB" w:rsidR="003D4B5B" w:rsidRPr="003D4B5B" w:rsidRDefault="003D4B5B" w:rsidP="002F433A">
      <w:pPr>
        <w:spacing w:before="240" w:after="240"/>
        <w:jc w:val="both"/>
        <w:rPr>
          <w:rFonts w:ascii="Calibri" w:eastAsia="Calibri" w:hAnsi="Calibri" w:cs="Calibri"/>
          <w:i/>
          <w:iCs/>
          <w:u w:val="single"/>
          <w:lang w:val="en-US"/>
        </w:rPr>
      </w:pPr>
      <w:r w:rsidRPr="003D4B5B">
        <w:rPr>
          <w:rFonts w:ascii="Calibri" w:eastAsia="Calibri" w:hAnsi="Calibri" w:cs="Calibri"/>
          <w:i/>
          <w:iCs/>
          <w:u w:val="single"/>
          <w:lang w:val="en-US"/>
        </w:rPr>
        <w:t>An IEA Annex project highlighted the need for dynamic emission factor models that account for future climate change and evolving user behavior [44]. The project further recommends the use of hourly emission factors when evaluating mitigation strategies such as onsite renewable energy systems. However, a review of the existing literature (summarized in Table 1 below) reveals limited systematic comparisons of the accuracy trade-offs associated with different emission factor resolutions for quantifying building operational carbon emissions. The table summary includes the grid regions analyzed, the number of grid areas considered, the emission factor resolutions evaluated, the sources and scale of building energy-use data, and whether grid exports from onsite renewable generation were included.</w:t>
      </w:r>
    </w:p>
    <w:p w14:paraId="05F5D70C" w14:textId="3B5696A2" w:rsidR="00467C7B" w:rsidRPr="00467C7B" w:rsidRDefault="00467C7B" w:rsidP="00467C7B">
      <w:pPr>
        <w:ind w:left="-5" w:hanging="10"/>
        <w:rPr>
          <w:rFonts w:ascii="Calibri" w:hAnsi="Calibri" w:cs="Calibri"/>
        </w:rPr>
      </w:pPr>
      <w:r w:rsidRPr="00467C7B">
        <w:rPr>
          <w:rFonts w:ascii="Calibri" w:hAnsi="Calibri" w:cs="Calibri"/>
          <w:b/>
          <w:bCs/>
        </w:rPr>
        <w:t xml:space="preserve">Table 1. </w:t>
      </w:r>
      <w:r w:rsidRPr="00467C7B">
        <w:rPr>
          <w:rFonts w:ascii="Calibri" w:hAnsi="Calibri" w:cs="Calibri"/>
        </w:rPr>
        <w:t>Literature review summary of studies comparing accounting accuracy influenced by temporal sensitivity of emission factors.</w:t>
      </w:r>
    </w:p>
    <w:tbl>
      <w:tblPr>
        <w:tblStyle w:val="TableGrid"/>
        <w:tblW w:w="9455" w:type="dxa"/>
        <w:jc w:val="center"/>
        <w:tblLook w:val="04A0" w:firstRow="1" w:lastRow="0" w:firstColumn="1" w:lastColumn="0" w:noHBand="0" w:noVBand="1"/>
      </w:tblPr>
      <w:tblGrid>
        <w:gridCol w:w="693"/>
        <w:gridCol w:w="1562"/>
        <w:gridCol w:w="3960"/>
        <w:gridCol w:w="1800"/>
        <w:gridCol w:w="1440"/>
      </w:tblGrid>
      <w:tr w:rsidR="00467C7B" w:rsidRPr="00467C7B" w14:paraId="33BA24A2" w14:textId="77777777" w:rsidTr="00467C7B">
        <w:trPr>
          <w:jc w:val="center"/>
        </w:trPr>
        <w:tc>
          <w:tcPr>
            <w:tcW w:w="693" w:type="dxa"/>
            <w:tcBorders>
              <w:left w:val="nil"/>
              <w:bottom w:val="single" w:sz="4" w:space="0" w:color="auto"/>
            </w:tcBorders>
          </w:tcPr>
          <w:p w14:paraId="515E8A17" w14:textId="77777777" w:rsidR="00467C7B" w:rsidRPr="00467C7B" w:rsidRDefault="00467C7B" w:rsidP="00E74F9B">
            <w:pPr>
              <w:jc w:val="center"/>
              <w:rPr>
                <w:rFonts w:ascii="Calibri" w:hAnsi="Calibri" w:cs="Calibri"/>
                <w:b/>
                <w:bCs/>
              </w:rPr>
            </w:pPr>
            <w:r w:rsidRPr="00467C7B">
              <w:rPr>
                <w:rFonts w:ascii="Calibri" w:hAnsi="Calibri" w:cs="Calibri"/>
                <w:b/>
                <w:bCs/>
              </w:rPr>
              <w:t>Ref.</w:t>
            </w:r>
          </w:p>
        </w:tc>
        <w:tc>
          <w:tcPr>
            <w:tcW w:w="1562" w:type="dxa"/>
            <w:tcBorders>
              <w:bottom w:val="single" w:sz="4" w:space="0" w:color="auto"/>
            </w:tcBorders>
          </w:tcPr>
          <w:p w14:paraId="32E46CEC" w14:textId="77777777" w:rsidR="00467C7B" w:rsidRPr="00467C7B" w:rsidRDefault="00467C7B" w:rsidP="00E74F9B">
            <w:pPr>
              <w:jc w:val="center"/>
              <w:rPr>
                <w:rFonts w:ascii="Calibri" w:hAnsi="Calibri" w:cs="Calibri"/>
                <w:b/>
                <w:bCs/>
              </w:rPr>
            </w:pPr>
            <w:r w:rsidRPr="00467C7B">
              <w:rPr>
                <w:rFonts w:ascii="Calibri" w:hAnsi="Calibri" w:cs="Calibri"/>
                <w:b/>
                <w:bCs/>
              </w:rPr>
              <w:t>Grid regions</w:t>
            </w:r>
          </w:p>
        </w:tc>
        <w:tc>
          <w:tcPr>
            <w:tcW w:w="3960" w:type="dxa"/>
            <w:tcBorders>
              <w:bottom w:val="single" w:sz="4" w:space="0" w:color="auto"/>
            </w:tcBorders>
          </w:tcPr>
          <w:p w14:paraId="0033680A" w14:textId="77777777" w:rsidR="00467C7B" w:rsidRPr="00467C7B" w:rsidRDefault="00467C7B" w:rsidP="00E74F9B">
            <w:pPr>
              <w:jc w:val="center"/>
              <w:rPr>
                <w:rFonts w:ascii="Calibri" w:hAnsi="Calibri" w:cs="Calibri"/>
                <w:b/>
                <w:bCs/>
              </w:rPr>
            </w:pPr>
            <w:r w:rsidRPr="00467C7B">
              <w:rPr>
                <w:rFonts w:ascii="Calibri" w:hAnsi="Calibri" w:cs="Calibri"/>
                <w:b/>
                <w:bCs/>
              </w:rPr>
              <w:t>Emission factors</w:t>
            </w:r>
          </w:p>
        </w:tc>
        <w:tc>
          <w:tcPr>
            <w:tcW w:w="1800" w:type="dxa"/>
            <w:tcBorders>
              <w:bottom w:val="single" w:sz="4" w:space="0" w:color="auto"/>
            </w:tcBorders>
          </w:tcPr>
          <w:p w14:paraId="4F2AF3FD" w14:textId="77777777" w:rsidR="00467C7B" w:rsidRPr="00467C7B" w:rsidRDefault="00467C7B" w:rsidP="00E74F9B">
            <w:pPr>
              <w:jc w:val="center"/>
              <w:rPr>
                <w:rFonts w:ascii="Calibri" w:hAnsi="Calibri" w:cs="Calibri"/>
                <w:b/>
                <w:bCs/>
              </w:rPr>
            </w:pPr>
            <w:r w:rsidRPr="00467C7B">
              <w:rPr>
                <w:rFonts w:ascii="Calibri" w:hAnsi="Calibri" w:cs="Calibri"/>
                <w:b/>
                <w:bCs/>
              </w:rPr>
              <w:t>Energy use</w:t>
            </w:r>
          </w:p>
        </w:tc>
        <w:tc>
          <w:tcPr>
            <w:tcW w:w="1440" w:type="dxa"/>
            <w:tcBorders>
              <w:bottom w:val="single" w:sz="4" w:space="0" w:color="auto"/>
              <w:right w:val="nil"/>
            </w:tcBorders>
          </w:tcPr>
          <w:p w14:paraId="3DDF1F22" w14:textId="77777777" w:rsidR="00467C7B" w:rsidRPr="00467C7B" w:rsidRDefault="00467C7B" w:rsidP="00E74F9B">
            <w:pPr>
              <w:jc w:val="center"/>
              <w:rPr>
                <w:rFonts w:ascii="Calibri" w:hAnsi="Calibri" w:cs="Calibri"/>
                <w:b/>
                <w:bCs/>
              </w:rPr>
            </w:pPr>
            <w:r w:rsidRPr="00467C7B">
              <w:rPr>
                <w:rFonts w:ascii="Calibri" w:hAnsi="Calibri" w:cs="Calibri"/>
                <w:b/>
                <w:bCs/>
              </w:rPr>
              <w:t>Grid export</w:t>
            </w:r>
          </w:p>
        </w:tc>
      </w:tr>
      <w:tr w:rsidR="00467C7B" w:rsidRPr="00467C7B" w14:paraId="71C527E5" w14:textId="77777777" w:rsidTr="00467C7B">
        <w:trPr>
          <w:jc w:val="center"/>
        </w:trPr>
        <w:tc>
          <w:tcPr>
            <w:tcW w:w="693" w:type="dxa"/>
            <w:tcBorders>
              <w:left w:val="nil"/>
              <w:bottom w:val="nil"/>
            </w:tcBorders>
            <w:vAlign w:val="center"/>
          </w:tcPr>
          <w:p w14:paraId="071C270F" w14:textId="77777777" w:rsidR="00467C7B" w:rsidRPr="00467C7B" w:rsidRDefault="00467C7B" w:rsidP="00E74F9B">
            <w:pPr>
              <w:jc w:val="center"/>
              <w:rPr>
                <w:rFonts w:ascii="Calibri" w:hAnsi="Calibri" w:cs="Calibri"/>
              </w:rPr>
            </w:pPr>
            <w:r w:rsidRPr="00467C7B">
              <w:rPr>
                <w:rFonts w:ascii="Calibri" w:hAnsi="Calibri" w:cs="Calibri"/>
              </w:rPr>
              <w:t>[45]</w:t>
            </w:r>
          </w:p>
        </w:tc>
        <w:tc>
          <w:tcPr>
            <w:tcW w:w="1562" w:type="dxa"/>
            <w:tcBorders>
              <w:bottom w:val="nil"/>
            </w:tcBorders>
            <w:vAlign w:val="center"/>
          </w:tcPr>
          <w:p w14:paraId="5E131382" w14:textId="77777777" w:rsidR="00467C7B" w:rsidRPr="00467C7B" w:rsidRDefault="00467C7B" w:rsidP="00E74F9B">
            <w:pPr>
              <w:jc w:val="center"/>
              <w:rPr>
                <w:rFonts w:ascii="Calibri" w:hAnsi="Calibri" w:cs="Calibri"/>
              </w:rPr>
            </w:pPr>
            <w:r w:rsidRPr="00467C7B">
              <w:rPr>
                <w:rFonts w:ascii="Calibri" w:hAnsi="Calibri" w:cs="Calibri"/>
              </w:rPr>
              <w:t>Germany (1)</w:t>
            </w:r>
          </w:p>
        </w:tc>
        <w:tc>
          <w:tcPr>
            <w:tcW w:w="3960" w:type="dxa"/>
            <w:tcBorders>
              <w:bottom w:val="nil"/>
            </w:tcBorders>
            <w:vAlign w:val="center"/>
          </w:tcPr>
          <w:p w14:paraId="1CE050C0" w14:textId="77777777" w:rsidR="00467C7B" w:rsidRPr="00467C7B" w:rsidRDefault="00467C7B" w:rsidP="00E74F9B">
            <w:pPr>
              <w:jc w:val="center"/>
              <w:rPr>
                <w:rFonts w:ascii="Calibri" w:hAnsi="Calibri" w:cs="Calibri"/>
              </w:rPr>
            </w:pPr>
            <w:r w:rsidRPr="00467C7B">
              <w:rPr>
                <w:rFonts w:ascii="Calibri" w:hAnsi="Calibri" w:cs="Calibri"/>
              </w:rPr>
              <w:t>Annual &amp; Hourly</w:t>
            </w:r>
          </w:p>
        </w:tc>
        <w:tc>
          <w:tcPr>
            <w:tcW w:w="1800" w:type="dxa"/>
            <w:tcBorders>
              <w:bottom w:val="nil"/>
            </w:tcBorders>
            <w:vAlign w:val="center"/>
          </w:tcPr>
          <w:p w14:paraId="64868627" w14:textId="77777777" w:rsidR="00467C7B" w:rsidRPr="00467C7B" w:rsidRDefault="00467C7B" w:rsidP="00E74F9B">
            <w:pPr>
              <w:jc w:val="center"/>
              <w:rPr>
                <w:rFonts w:ascii="Calibri" w:hAnsi="Calibri" w:cs="Calibri"/>
              </w:rPr>
            </w:pPr>
            <w:r w:rsidRPr="00467C7B">
              <w:rPr>
                <w:rFonts w:ascii="Calibri" w:hAnsi="Calibri" w:cs="Calibri"/>
              </w:rPr>
              <w:t>Simulated (1)</w:t>
            </w:r>
          </w:p>
        </w:tc>
        <w:tc>
          <w:tcPr>
            <w:tcW w:w="1440" w:type="dxa"/>
            <w:tcBorders>
              <w:bottom w:val="nil"/>
              <w:right w:val="nil"/>
            </w:tcBorders>
            <w:vAlign w:val="center"/>
          </w:tcPr>
          <w:p w14:paraId="17D56D0C" w14:textId="77777777" w:rsidR="00467C7B" w:rsidRPr="00467C7B" w:rsidRDefault="00467C7B" w:rsidP="00E74F9B">
            <w:pPr>
              <w:jc w:val="center"/>
              <w:rPr>
                <w:rFonts w:ascii="Calibri" w:hAnsi="Calibri" w:cs="Calibri"/>
              </w:rPr>
            </w:pPr>
            <m:oMathPara>
              <m:oMath>
                <m:r>
                  <w:rPr>
                    <w:rFonts w:ascii="Cambria Math" w:hAnsi="Cambria Math" w:cs="Calibri"/>
                  </w:rPr>
                  <m:t>√</m:t>
                </m:r>
              </m:oMath>
            </m:oMathPara>
          </w:p>
        </w:tc>
      </w:tr>
      <w:tr w:rsidR="00467C7B" w:rsidRPr="00467C7B" w14:paraId="055A0B90" w14:textId="77777777" w:rsidTr="00467C7B">
        <w:trPr>
          <w:jc w:val="center"/>
        </w:trPr>
        <w:tc>
          <w:tcPr>
            <w:tcW w:w="693" w:type="dxa"/>
            <w:tcBorders>
              <w:top w:val="nil"/>
              <w:left w:val="nil"/>
              <w:bottom w:val="nil"/>
            </w:tcBorders>
            <w:vAlign w:val="center"/>
          </w:tcPr>
          <w:p w14:paraId="3398616C" w14:textId="77777777" w:rsidR="00467C7B" w:rsidRPr="00467C7B" w:rsidRDefault="00467C7B" w:rsidP="00E74F9B">
            <w:pPr>
              <w:jc w:val="center"/>
              <w:rPr>
                <w:rFonts w:ascii="Calibri" w:hAnsi="Calibri" w:cs="Calibri"/>
              </w:rPr>
            </w:pPr>
            <w:r w:rsidRPr="00467C7B">
              <w:rPr>
                <w:rFonts w:ascii="Calibri" w:hAnsi="Calibri" w:cs="Calibri"/>
              </w:rPr>
              <w:t>[46]</w:t>
            </w:r>
          </w:p>
        </w:tc>
        <w:tc>
          <w:tcPr>
            <w:tcW w:w="1562" w:type="dxa"/>
            <w:tcBorders>
              <w:top w:val="nil"/>
              <w:bottom w:val="nil"/>
            </w:tcBorders>
            <w:vAlign w:val="center"/>
          </w:tcPr>
          <w:p w14:paraId="77DE2EFE" w14:textId="77777777" w:rsidR="00467C7B" w:rsidRPr="00467C7B" w:rsidRDefault="00467C7B" w:rsidP="00E74F9B">
            <w:pPr>
              <w:jc w:val="center"/>
              <w:rPr>
                <w:rFonts w:ascii="Calibri" w:hAnsi="Calibri" w:cs="Calibri"/>
              </w:rPr>
            </w:pPr>
            <w:r w:rsidRPr="00467C7B">
              <w:rPr>
                <w:rFonts w:ascii="Calibri" w:hAnsi="Calibri" w:cs="Calibri"/>
              </w:rPr>
              <w:t>China (6)</w:t>
            </w:r>
          </w:p>
        </w:tc>
        <w:tc>
          <w:tcPr>
            <w:tcW w:w="3960" w:type="dxa"/>
            <w:tcBorders>
              <w:top w:val="nil"/>
              <w:bottom w:val="nil"/>
            </w:tcBorders>
            <w:vAlign w:val="center"/>
          </w:tcPr>
          <w:p w14:paraId="21BDC069" w14:textId="77777777" w:rsidR="00467C7B" w:rsidRPr="00467C7B" w:rsidRDefault="00467C7B" w:rsidP="00E74F9B">
            <w:pPr>
              <w:jc w:val="center"/>
              <w:rPr>
                <w:rFonts w:ascii="Calibri" w:hAnsi="Calibri" w:cs="Calibri"/>
              </w:rPr>
            </w:pPr>
            <w:r w:rsidRPr="00467C7B">
              <w:rPr>
                <w:rFonts w:ascii="Calibri" w:hAnsi="Calibri" w:cs="Calibri"/>
              </w:rPr>
              <w:t>Annual &amp; Hourly</w:t>
            </w:r>
          </w:p>
        </w:tc>
        <w:tc>
          <w:tcPr>
            <w:tcW w:w="1800" w:type="dxa"/>
            <w:tcBorders>
              <w:top w:val="nil"/>
              <w:bottom w:val="nil"/>
            </w:tcBorders>
            <w:vAlign w:val="center"/>
          </w:tcPr>
          <w:p w14:paraId="078B3279" w14:textId="77777777" w:rsidR="00467C7B" w:rsidRPr="00467C7B" w:rsidRDefault="00467C7B" w:rsidP="00E74F9B">
            <w:pPr>
              <w:jc w:val="center"/>
              <w:rPr>
                <w:rFonts w:ascii="Calibri" w:hAnsi="Calibri" w:cs="Calibri"/>
              </w:rPr>
            </w:pPr>
            <w:r w:rsidRPr="00467C7B">
              <w:rPr>
                <w:rFonts w:ascii="Calibri" w:hAnsi="Calibri" w:cs="Calibri"/>
              </w:rPr>
              <w:t>Simulated (1)</w:t>
            </w:r>
          </w:p>
        </w:tc>
        <w:tc>
          <w:tcPr>
            <w:tcW w:w="1440" w:type="dxa"/>
            <w:tcBorders>
              <w:top w:val="nil"/>
              <w:bottom w:val="nil"/>
              <w:right w:val="nil"/>
            </w:tcBorders>
            <w:vAlign w:val="center"/>
          </w:tcPr>
          <w:p w14:paraId="021BF386" w14:textId="77777777" w:rsidR="00467C7B" w:rsidRPr="00467C7B" w:rsidRDefault="00467C7B" w:rsidP="00E74F9B">
            <w:pPr>
              <w:jc w:val="center"/>
              <w:rPr>
                <w:rFonts w:ascii="Calibri" w:hAnsi="Calibri" w:cs="Calibri"/>
              </w:rPr>
            </w:pPr>
            <w:r w:rsidRPr="00467C7B">
              <w:rPr>
                <w:rFonts w:ascii="Calibri" w:hAnsi="Calibri" w:cs="Calibri"/>
              </w:rPr>
              <w:t>X</w:t>
            </w:r>
          </w:p>
        </w:tc>
      </w:tr>
      <w:tr w:rsidR="00467C7B" w:rsidRPr="00467C7B" w14:paraId="01F34F6A" w14:textId="77777777" w:rsidTr="00467C7B">
        <w:trPr>
          <w:jc w:val="center"/>
        </w:trPr>
        <w:tc>
          <w:tcPr>
            <w:tcW w:w="693" w:type="dxa"/>
            <w:tcBorders>
              <w:top w:val="nil"/>
              <w:left w:val="nil"/>
              <w:bottom w:val="nil"/>
            </w:tcBorders>
            <w:vAlign w:val="center"/>
          </w:tcPr>
          <w:p w14:paraId="6A7A4969" w14:textId="77777777" w:rsidR="00467C7B" w:rsidRPr="00467C7B" w:rsidRDefault="00467C7B" w:rsidP="00E74F9B">
            <w:pPr>
              <w:jc w:val="center"/>
              <w:rPr>
                <w:rFonts w:ascii="Calibri" w:hAnsi="Calibri" w:cs="Calibri"/>
              </w:rPr>
            </w:pPr>
            <w:r w:rsidRPr="00467C7B">
              <w:rPr>
                <w:rFonts w:ascii="Calibri" w:hAnsi="Calibri" w:cs="Calibri"/>
              </w:rPr>
              <w:t>[47]</w:t>
            </w:r>
          </w:p>
        </w:tc>
        <w:tc>
          <w:tcPr>
            <w:tcW w:w="1562" w:type="dxa"/>
            <w:tcBorders>
              <w:top w:val="nil"/>
              <w:bottom w:val="nil"/>
            </w:tcBorders>
            <w:vAlign w:val="center"/>
          </w:tcPr>
          <w:p w14:paraId="705F3786" w14:textId="77777777" w:rsidR="00467C7B" w:rsidRPr="00467C7B" w:rsidRDefault="00467C7B" w:rsidP="00E74F9B">
            <w:pPr>
              <w:jc w:val="center"/>
              <w:rPr>
                <w:rFonts w:ascii="Calibri" w:hAnsi="Calibri" w:cs="Calibri"/>
              </w:rPr>
            </w:pPr>
            <w:r w:rsidRPr="00467C7B">
              <w:rPr>
                <w:rFonts w:ascii="Calibri" w:hAnsi="Calibri" w:cs="Calibri"/>
              </w:rPr>
              <w:t>Canada (6)</w:t>
            </w:r>
          </w:p>
        </w:tc>
        <w:tc>
          <w:tcPr>
            <w:tcW w:w="3960" w:type="dxa"/>
            <w:tcBorders>
              <w:top w:val="nil"/>
              <w:bottom w:val="nil"/>
            </w:tcBorders>
            <w:vAlign w:val="center"/>
          </w:tcPr>
          <w:p w14:paraId="0FE207F1" w14:textId="77777777" w:rsidR="00467C7B" w:rsidRPr="00467C7B" w:rsidRDefault="00467C7B" w:rsidP="00E74F9B">
            <w:pPr>
              <w:jc w:val="center"/>
              <w:rPr>
                <w:rFonts w:ascii="Calibri" w:hAnsi="Calibri" w:cs="Calibri"/>
              </w:rPr>
            </w:pPr>
            <w:r w:rsidRPr="00467C7B">
              <w:rPr>
                <w:rFonts w:ascii="Calibri" w:hAnsi="Calibri" w:cs="Calibri"/>
              </w:rPr>
              <w:t>Annual &amp; Hourly</w:t>
            </w:r>
          </w:p>
        </w:tc>
        <w:tc>
          <w:tcPr>
            <w:tcW w:w="1800" w:type="dxa"/>
            <w:tcBorders>
              <w:top w:val="nil"/>
              <w:bottom w:val="nil"/>
            </w:tcBorders>
            <w:vAlign w:val="center"/>
          </w:tcPr>
          <w:p w14:paraId="6D57708E" w14:textId="77777777" w:rsidR="00467C7B" w:rsidRPr="00467C7B" w:rsidRDefault="00467C7B" w:rsidP="00E74F9B">
            <w:pPr>
              <w:jc w:val="center"/>
              <w:rPr>
                <w:rFonts w:ascii="Calibri" w:hAnsi="Calibri" w:cs="Calibri"/>
              </w:rPr>
            </w:pPr>
            <w:r w:rsidRPr="00467C7B">
              <w:rPr>
                <w:rFonts w:ascii="Calibri" w:hAnsi="Calibri" w:cs="Calibri"/>
              </w:rPr>
              <w:t>Simulated (25)</w:t>
            </w:r>
          </w:p>
        </w:tc>
        <w:tc>
          <w:tcPr>
            <w:tcW w:w="1440" w:type="dxa"/>
            <w:tcBorders>
              <w:top w:val="nil"/>
              <w:bottom w:val="nil"/>
              <w:right w:val="nil"/>
            </w:tcBorders>
            <w:vAlign w:val="center"/>
          </w:tcPr>
          <w:p w14:paraId="4E85E6C7" w14:textId="77777777" w:rsidR="00467C7B" w:rsidRPr="00467C7B" w:rsidRDefault="00467C7B" w:rsidP="00E74F9B">
            <w:pPr>
              <w:jc w:val="center"/>
              <w:rPr>
                <w:rFonts w:ascii="Calibri" w:hAnsi="Calibri" w:cs="Calibri"/>
              </w:rPr>
            </w:pPr>
            <w:r w:rsidRPr="00467C7B">
              <w:rPr>
                <w:rFonts w:ascii="Calibri" w:hAnsi="Calibri" w:cs="Calibri"/>
              </w:rPr>
              <w:t>X</w:t>
            </w:r>
          </w:p>
        </w:tc>
      </w:tr>
      <w:tr w:rsidR="00467C7B" w:rsidRPr="00467C7B" w14:paraId="4702AFC1" w14:textId="77777777" w:rsidTr="00467C7B">
        <w:trPr>
          <w:jc w:val="center"/>
        </w:trPr>
        <w:tc>
          <w:tcPr>
            <w:tcW w:w="693" w:type="dxa"/>
            <w:tcBorders>
              <w:top w:val="nil"/>
              <w:left w:val="nil"/>
              <w:bottom w:val="nil"/>
            </w:tcBorders>
            <w:vAlign w:val="center"/>
          </w:tcPr>
          <w:p w14:paraId="6E3A574B" w14:textId="77777777" w:rsidR="00467C7B" w:rsidRPr="00467C7B" w:rsidRDefault="00467C7B" w:rsidP="00E74F9B">
            <w:pPr>
              <w:jc w:val="center"/>
              <w:rPr>
                <w:rFonts w:ascii="Calibri" w:hAnsi="Calibri" w:cs="Calibri"/>
              </w:rPr>
            </w:pPr>
            <w:r w:rsidRPr="00467C7B">
              <w:rPr>
                <w:rFonts w:ascii="Calibri" w:hAnsi="Calibri" w:cs="Calibri"/>
              </w:rPr>
              <w:lastRenderedPageBreak/>
              <w:t>[48]</w:t>
            </w:r>
          </w:p>
        </w:tc>
        <w:tc>
          <w:tcPr>
            <w:tcW w:w="1562" w:type="dxa"/>
            <w:tcBorders>
              <w:top w:val="nil"/>
              <w:bottom w:val="nil"/>
            </w:tcBorders>
            <w:vAlign w:val="center"/>
          </w:tcPr>
          <w:p w14:paraId="4F33C485" w14:textId="77777777" w:rsidR="00467C7B" w:rsidRPr="00467C7B" w:rsidRDefault="00467C7B" w:rsidP="00E74F9B">
            <w:pPr>
              <w:jc w:val="center"/>
              <w:rPr>
                <w:rFonts w:ascii="Calibri" w:hAnsi="Calibri" w:cs="Calibri"/>
              </w:rPr>
            </w:pPr>
            <w:r w:rsidRPr="00467C7B">
              <w:rPr>
                <w:rFonts w:ascii="Calibri" w:hAnsi="Calibri" w:cs="Calibri"/>
              </w:rPr>
              <w:t>Canada (11)</w:t>
            </w:r>
          </w:p>
        </w:tc>
        <w:tc>
          <w:tcPr>
            <w:tcW w:w="3960" w:type="dxa"/>
            <w:tcBorders>
              <w:top w:val="nil"/>
              <w:bottom w:val="nil"/>
            </w:tcBorders>
            <w:vAlign w:val="center"/>
          </w:tcPr>
          <w:p w14:paraId="1006FEDB" w14:textId="77777777" w:rsidR="00467C7B" w:rsidRPr="00467C7B" w:rsidRDefault="00467C7B" w:rsidP="00E74F9B">
            <w:pPr>
              <w:jc w:val="center"/>
              <w:rPr>
                <w:rFonts w:ascii="Calibri" w:hAnsi="Calibri" w:cs="Calibri"/>
              </w:rPr>
            </w:pPr>
            <w:r w:rsidRPr="00467C7B">
              <w:rPr>
                <w:rFonts w:ascii="Calibri" w:hAnsi="Calibri" w:cs="Calibri"/>
              </w:rPr>
              <w:t>Annual &amp; Hourly</w:t>
            </w:r>
          </w:p>
        </w:tc>
        <w:tc>
          <w:tcPr>
            <w:tcW w:w="1800" w:type="dxa"/>
            <w:tcBorders>
              <w:top w:val="nil"/>
              <w:bottom w:val="nil"/>
            </w:tcBorders>
            <w:vAlign w:val="center"/>
          </w:tcPr>
          <w:p w14:paraId="776BD78B" w14:textId="77777777" w:rsidR="00467C7B" w:rsidRPr="00467C7B" w:rsidRDefault="00467C7B" w:rsidP="00E74F9B">
            <w:pPr>
              <w:jc w:val="center"/>
              <w:rPr>
                <w:rFonts w:ascii="Calibri" w:hAnsi="Calibri" w:cs="Calibri"/>
              </w:rPr>
            </w:pPr>
            <w:r w:rsidRPr="00467C7B">
              <w:rPr>
                <w:rFonts w:ascii="Calibri" w:hAnsi="Calibri" w:cs="Calibri"/>
              </w:rPr>
              <w:t>Measured (1)</w:t>
            </w:r>
          </w:p>
        </w:tc>
        <w:tc>
          <w:tcPr>
            <w:tcW w:w="1440" w:type="dxa"/>
            <w:tcBorders>
              <w:top w:val="nil"/>
              <w:bottom w:val="nil"/>
              <w:right w:val="nil"/>
            </w:tcBorders>
            <w:vAlign w:val="center"/>
          </w:tcPr>
          <w:p w14:paraId="7F38F457" w14:textId="77777777" w:rsidR="00467C7B" w:rsidRPr="00467C7B" w:rsidRDefault="00467C7B" w:rsidP="00E74F9B">
            <w:pPr>
              <w:jc w:val="center"/>
              <w:rPr>
                <w:rFonts w:ascii="Calibri" w:hAnsi="Calibri" w:cs="Calibri"/>
              </w:rPr>
            </w:pPr>
            <w:r w:rsidRPr="00467C7B">
              <w:rPr>
                <w:rFonts w:ascii="Calibri" w:hAnsi="Calibri" w:cs="Calibri"/>
              </w:rPr>
              <w:t>X</w:t>
            </w:r>
          </w:p>
        </w:tc>
      </w:tr>
      <w:tr w:rsidR="00467C7B" w:rsidRPr="00467C7B" w14:paraId="3FA16246" w14:textId="77777777" w:rsidTr="00467C7B">
        <w:trPr>
          <w:jc w:val="center"/>
        </w:trPr>
        <w:tc>
          <w:tcPr>
            <w:tcW w:w="693" w:type="dxa"/>
            <w:tcBorders>
              <w:top w:val="nil"/>
              <w:left w:val="nil"/>
              <w:bottom w:val="nil"/>
            </w:tcBorders>
            <w:vAlign w:val="center"/>
          </w:tcPr>
          <w:p w14:paraId="4D1D6C95" w14:textId="77777777" w:rsidR="00467C7B" w:rsidRPr="00467C7B" w:rsidRDefault="00467C7B" w:rsidP="00E74F9B">
            <w:pPr>
              <w:jc w:val="center"/>
              <w:rPr>
                <w:rFonts w:ascii="Calibri" w:hAnsi="Calibri" w:cs="Calibri"/>
              </w:rPr>
            </w:pPr>
            <w:r w:rsidRPr="00467C7B">
              <w:rPr>
                <w:rFonts w:ascii="Calibri" w:hAnsi="Calibri" w:cs="Calibri"/>
              </w:rPr>
              <w:t>[36]</w:t>
            </w:r>
          </w:p>
        </w:tc>
        <w:tc>
          <w:tcPr>
            <w:tcW w:w="1562" w:type="dxa"/>
            <w:tcBorders>
              <w:top w:val="nil"/>
              <w:bottom w:val="nil"/>
            </w:tcBorders>
            <w:vAlign w:val="center"/>
          </w:tcPr>
          <w:p w14:paraId="7CDB786D" w14:textId="77777777" w:rsidR="00467C7B" w:rsidRPr="00467C7B" w:rsidRDefault="00467C7B" w:rsidP="00E74F9B">
            <w:pPr>
              <w:jc w:val="center"/>
              <w:rPr>
                <w:rFonts w:ascii="Calibri" w:hAnsi="Calibri" w:cs="Calibri"/>
              </w:rPr>
            </w:pPr>
            <w:r w:rsidRPr="00467C7B">
              <w:rPr>
                <w:rFonts w:ascii="Calibri" w:hAnsi="Calibri" w:cs="Calibri"/>
              </w:rPr>
              <w:t>Global (2)</w:t>
            </w:r>
          </w:p>
        </w:tc>
        <w:tc>
          <w:tcPr>
            <w:tcW w:w="3960" w:type="dxa"/>
            <w:tcBorders>
              <w:top w:val="nil"/>
              <w:bottom w:val="nil"/>
            </w:tcBorders>
            <w:vAlign w:val="center"/>
          </w:tcPr>
          <w:p w14:paraId="0AA7E7CF" w14:textId="77777777" w:rsidR="00467C7B" w:rsidRPr="00467C7B" w:rsidRDefault="00467C7B" w:rsidP="00E74F9B">
            <w:pPr>
              <w:jc w:val="center"/>
              <w:rPr>
                <w:rFonts w:ascii="Calibri" w:hAnsi="Calibri" w:cs="Calibri"/>
              </w:rPr>
            </w:pPr>
            <w:r w:rsidRPr="00467C7B">
              <w:rPr>
                <w:rFonts w:ascii="Calibri" w:hAnsi="Calibri" w:cs="Calibri"/>
              </w:rPr>
              <w:t>Annual &amp; Seasonal &amp; Monthly &amp; Daily &amp; Half hourly</w:t>
            </w:r>
          </w:p>
        </w:tc>
        <w:tc>
          <w:tcPr>
            <w:tcW w:w="1800" w:type="dxa"/>
            <w:tcBorders>
              <w:top w:val="nil"/>
              <w:bottom w:val="nil"/>
            </w:tcBorders>
            <w:vAlign w:val="center"/>
          </w:tcPr>
          <w:p w14:paraId="6674AD90" w14:textId="77777777" w:rsidR="00467C7B" w:rsidRPr="00467C7B" w:rsidRDefault="00467C7B" w:rsidP="00E74F9B">
            <w:pPr>
              <w:jc w:val="center"/>
              <w:rPr>
                <w:rFonts w:ascii="Calibri" w:hAnsi="Calibri" w:cs="Calibri"/>
              </w:rPr>
            </w:pPr>
            <w:r w:rsidRPr="00467C7B">
              <w:rPr>
                <w:rFonts w:ascii="Calibri" w:hAnsi="Calibri" w:cs="Calibri"/>
              </w:rPr>
              <w:t>N\A</w:t>
            </w:r>
          </w:p>
        </w:tc>
        <w:tc>
          <w:tcPr>
            <w:tcW w:w="1440" w:type="dxa"/>
            <w:tcBorders>
              <w:top w:val="nil"/>
              <w:bottom w:val="nil"/>
              <w:right w:val="nil"/>
            </w:tcBorders>
            <w:vAlign w:val="center"/>
          </w:tcPr>
          <w:p w14:paraId="25336473" w14:textId="77777777" w:rsidR="00467C7B" w:rsidRPr="00467C7B" w:rsidRDefault="00467C7B" w:rsidP="00E74F9B">
            <w:pPr>
              <w:jc w:val="center"/>
              <w:rPr>
                <w:rFonts w:ascii="Calibri" w:hAnsi="Calibri" w:cs="Calibri"/>
              </w:rPr>
            </w:pPr>
            <w:r w:rsidRPr="00467C7B">
              <w:rPr>
                <w:rFonts w:ascii="Calibri" w:hAnsi="Calibri" w:cs="Calibri"/>
              </w:rPr>
              <w:t>X</w:t>
            </w:r>
          </w:p>
        </w:tc>
      </w:tr>
      <w:tr w:rsidR="00467C7B" w:rsidRPr="00467C7B" w14:paraId="318B298A" w14:textId="77777777" w:rsidTr="00467C7B">
        <w:trPr>
          <w:jc w:val="center"/>
        </w:trPr>
        <w:tc>
          <w:tcPr>
            <w:tcW w:w="693" w:type="dxa"/>
            <w:tcBorders>
              <w:top w:val="nil"/>
              <w:left w:val="nil"/>
              <w:bottom w:val="nil"/>
            </w:tcBorders>
            <w:vAlign w:val="center"/>
          </w:tcPr>
          <w:p w14:paraId="2D43F0BF" w14:textId="77777777" w:rsidR="00467C7B" w:rsidRPr="00467C7B" w:rsidRDefault="00467C7B" w:rsidP="00E74F9B">
            <w:pPr>
              <w:jc w:val="center"/>
              <w:rPr>
                <w:rFonts w:ascii="Calibri" w:hAnsi="Calibri" w:cs="Calibri"/>
              </w:rPr>
            </w:pPr>
            <w:r w:rsidRPr="00467C7B">
              <w:rPr>
                <w:rFonts w:ascii="Calibri" w:hAnsi="Calibri" w:cs="Calibri"/>
              </w:rPr>
              <w:t>[37]</w:t>
            </w:r>
          </w:p>
        </w:tc>
        <w:tc>
          <w:tcPr>
            <w:tcW w:w="1562" w:type="dxa"/>
            <w:tcBorders>
              <w:top w:val="nil"/>
              <w:bottom w:val="nil"/>
            </w:tcBorders>
            <w:vAlign w:val="center"/>
          </w:tcPr>
          <w:p w14:paraId="227796A5" w14:textId="77777777" w:rsidR="00467C7B" w:rsidRPr="00467C7B" w:rsidRDefault="00467C7B" w:rsidP="00E74F9B">
            <w:pPr>
              <w:jc w:val="center"/>
              <w:rPr>
                <w:rFonts w:ascii="Calibri" w:hAnsi="Calibri" w:cs="Calibri"/>
              </w:rPr>
            </w:pPr>
            <w:r w:rsidRPr="00467C7B">
              <w:rPr>
                <w:rFonts w:ascii="Calibri" w:hAnsi="Calibri" w:cs="Calibri"/>
              </w:rPr>
              <w:t>Japan (1)</w:t>
            </w:r>
          </w:p>
        </w:tc>
        <w:tc>
          <w:tcPr>
            <w:tcW w:w="3960" w:type="dxa"/>
            <w:tcBorders>
              <w:top w:val="nil"/>
              <w:bottom w:val="nil"/>
            </w:tcBorders>
            <w:vAlign w:val="center"/>
          </w:tcPr>
          <w:p w14:paraId="60DB07D0" w14:textId="77777777" w:rsidR="00467C7B" w:rsidRPr="00467C7B" w:rsidRDefault="00467C7B" w:rsidP="00E74F9B">
            <w:pPr>
              <w:jc w:val="center"/>
              <w:rPr>
                <w:rFonts w:ascii="Calibri" w:hAnsi="Calibri" w:cs="Calibri"/>
              </w:rPr>
            </w:pPr>
            <w:r w:rsidRPr="00467C7B">
              <w:rPr>
                <w:rFonts w:ascii="Calibri" w:hAnsi="Calibri" w:cs="Calibri"/>
              </w:rPr>
              <w:t>Annual &amp; Monthly &amp; Daily &amp; Hourly</w:t>
            </w:r>
          </w:p>
        </w:tc>
        <w:tc>
          <w:tcPr>
            <w:tcW w:w="1800" w:type="dxa"/>
            <w:tcBorders>
              <w:top w:val="nil"/>
              <w:bottom w:val="nil"/>
            </w:tcBorders>
            <w:vAlign w:val="center"/>
          </w:tcPr>
          <w:p w14:paraId="4DC7A887" w14:textId="77777777" w:rsidR="00467C7B" w:rsidRPr="00467C7B" w:rsidRDefault="00467C7B" w:rsidP="00E74F9B">
            <w:pPr>
              <w:jc w:val="center"/>
              <w:rPr>
                <w:rFonts w:ascii="Calibri" w:hAnsi="Calibri" w:cs="Calibri"/>
              </w:rPr>
            </w:pPr>
            <w:r w:rsidRPr="00467C7B">
              <w:rPr>
                <w:rFonts w:ascii="Calibri" w:hAnsi="Calibri" w:cs="Calibri"/>
              </w:rPr>
              <w:t>Measured (2) &amp; Simulated (1)</w:t>
            </w:r>
          </w:p>
        </w:tc>
        <w:tc>
          <w:tcPr>
            <w:tcW w:w="1440" w:type="dxa"/>
            <w:tcBorders>
              <w:top w:val="nil"/>
              <w:bottom w:val="nil"/>
              <w:right w:val="nil"/>
            </w:tcBorders>
            <w:vAlign w:val="center"/>
          </w:tcPr>
          <w:p w14:paraId="7F992771" w14:textId="77777777" w:rsidR="00467C7B" w:rsidRPr="00467C7B" w:rsidRDefault="00467C7B" w:rsidP="00E74F9B">
            <w:pPr>
              <w:jc w:val="center"/>
              <w:rPr>
                <w:rFonts w:ascii="Calibri" w:hAnsi="Calibri" w:cs="Calibri"/>
              </w:rPr>
            </w:pPr>
            <m:oMathPara>
              <m:oMath>
                <m:r>
                  <w:rPr>
                    <w:rFonts w:ascii="Cambria Math" w:hAnsi="Cambria Math" w:cs="Calibri"/>
                  </w:rPr>
                  <m:t>√</m:t>
                </m:r>
              </m:oMath>
            </m:oMathPara>
          </w:p>
        </w:tc>
      </w:tr>
      <w:tr w:rsidR="00467C7B" w:rsidRPr="00467C7B" w14:paraId="5471CB02" w14:textId="77777777" w:rsidTr="00467C7B">
        <w:trPr>
          <w:jc w:val="center"/>
        </w:trPr>
        <w:tc>
          <w:tcPr>
            <w:tcW w:w="693" w:type="dxa"/>
            <w:tcBorders>
              <w:top w:val="nil"/>
              <w:left w:val="nil"/>
              <w:bottom w:val="nil"/>
            </w:tcBorders>
            <w:vAlign w:val="center"/>
          </w:tcPr>
          <w:p w14:paraId="42C566FA" w14:textId="77777777" w:rsidR="00467C7B" w:rsidRPr="00467C7B" w:rsidRDefault="00467C7B" w:rsidP="00E74F9B">
            <w:pPr>
              <w:jc w:val="center"/>
              <w:rPr>
                <w:rFonts w:ascii="Calibri" w:hAnsi="Calibri" w:cs="Calibri"/>
              </w:rPr>
            </w:pPr>
            <w:r w:rsidRPr="00467C7B">
              <w:rPr>
                <w:rFonts w:ascii="Calibri" w:hAnsi="Calibri" w:cs="Calibri"/>
              </w:rPr>
              <w:t>[38]</w:t>
            </w:r>
          </w:p>
        </w:tc>
        <w:tc>
          <w:tcPr>
            <w:tcW w:w="1562" w:type="dxa"/>
            <w:tcBorders>
              <w:top w:val="nil"/>
              <w:bottom w:val="nil"/>
            </w:tcBorders>
            <w:vAlign w:val="center"/>
          </w:tcPr>
          <w:p w14:paraId="2A0C687A" w14:textId="77777777" w:rsidR="00467C7B" w:rsidRPr="00467C7B" w:rsidRDefault="00467C7B" w:rsidP="00E74F9B">
            <w:pPr>
              <w:jc w:val="center"/>
              <w:rPr>
                <w:rFonts w:ascii="Calibri" w:hAnsi="Calibri" w:cs="Calibri"/>
              </w:rPr>
            </w:pPr>
            <w:r w:rsidRPr="00467C7B">
              <w:rPr>
                <w:rFonts w:ascii="Calibri" w:hAnsi="Calibri" w:cs="Calibri"/>
              </w:rPr>
              <w:t>Global (8)</w:t>
            </w:r>
          </w:p>
        </w:tc>
        <w:tc>
          <w:tcPr>
            <w:tcW w:w="3960" w:type="dxa"/>
            <w:tcBorders>
              <w:top w:val="nil"/>
              <w:bottom w:val="nil"/>
            </w:tcBorders>
            <w:vAlign w:val="center"/>
          </w:tcPr>
          <w:p w14:paraId="3910DA20" w14:textId="77777777" w:rsidR="00467C7B" w:rsidRPr="00467C7B" w:rsidRDefault="00467C7B" w:rsidP="00E74F9B">
            <w:pPr>
              <w:jc w:val="center"/>
              <w:rPr>
                <w:rFonts w:ascii="Calibri" w:hAnsi="Calibri" w:cs="Calibri"/>
              </w:rPr>
            </w:pPr>
            <w:r w:rsidRPr="00467C7B">
              <w:rPr>
                <w:rFonts w:ascii="Calibri" w:hAnsi="Calibri" w:cs="Calibri"/>
              </w:rPr>
              <w:t>Annual &amp; Hourly</w:t>
            </w:r>
          </w:p>
        </w:tc>
        <w:tc>
          <w:tcPr>
            <w:tcW w:w="1800" w:type="dxa"/>
            <w:tcBorders>
              <w:top w:val="nil"/>
              <w:bottom w:val="nil"/>
            </w:tcBorders>
            <w:vAlign w:val="center"/>
          </w:tcPr>
          <w:p w14:paraId="568CD43E" w14:textId="77777777" w:rsidR="00467C7B" w:rsidRPr="00467C7B" w:rsidRDefault="00467C7B" w:rsidP="00E74F9B">
            <w:pPr>
              <w:jc w:val="center"/>
              <w:rPr>
                <w:rFonts w:ascii="Calibri" w:hAnsi="Calibri" w:cs="Calibri"/>
              </w:rPr>
            </w:pPr>
            <w:r w:rsidRPr="00467C7B">
              <w:rPr>
                <w:rFonts w:ascii="Calibri" w:hAnsi="Calibri" w:cs="Calibri"/>
              </w:rPr>
              <w:t>Simulated (8)</w:t>
            </w:r>
          </w:p>
        </w:tc>
        <w:tc>
          <w:tcPr>
            <w:tcW w:w="1440" w:type="dxa"/>
            <w:tcBorders>
              <w:top w:val="nil"/>
              <w:bottom w:val="nil"/>
              <w:right w:val="nil"/>
            </w:tcBorders>
            <w:vAlign w:val="center"/>
          </w:tcPr>
          <w:p w14:paraId="73B72776" w14:textId="77777777" w:rsidR="00467C7B" w:rsidRPr="00467C7B" w:rsidRDefault="00467C7B" w:rsidP="00E74F9B">
            <w:pPr>
              <w:jc w:val="center"/>
              <w:rPr>
                <w:rFonts w:ascii="Calibri" w:hAnsi="Calibri" w:cs="Calibri"/>
              </w:rPr>
            </w:pPr>
            <m:oMathPara>
              <m:oMath>
                <m:r>
                  <w:rPr>
                    <w:rFonts w:ascii="Cambria Math" w:hAnsi="Cambria Math" w:cs="Calibri"/>
                  </w:rPr>
                  <m:t>√</m:t>
                </m:r>
              </m:oMath>
            </m:oMathPara>
          </w:p>
        </w:tc>
      </w:tr>
      <w:tr w:rsidR="00467C7B" w:rsidRPr="00467C7B" w14:paraId="6C2F14F5" w14:textId="77777777" w:rsidTr="00467C7B">
        <w:trPr>
          <w:jc w:val="center"/>
        </w:trPr>
        <w:tc>
          <w:tcPr>
            <w:tcW w:w="693" w:type="dxa"/>
            <w:tcBorders>
              <w:top w:val="nil"/>
              <w:left w:val="nil"/>
            </w:tcBorders>
            <w:vAlign w:val="center"/>
          </w:tcPr>
          <w:p w14:paraId="2C85F035" w14:textId="77777777" w:rsidR="00467C7B" w:rsidRPr="00467C7B" w:rsidRDefault="00467C7B" w:rsidP="00E74F9B">
            <w:pPr>
              <w:jc w:val="center"/>
              <w:rPr>
                <w:rFonts w:ascii="Calibri" w:hAnsi="Calibri" w:cs="Calibri"/>
              </w:rPr>
            </w:pPr>
            <w:r w:rsidRPr="00467C7B">
              <w:rPr>
                <w:rFonts w:ascii="Calibri" w:hAnsi="Calibri" w:cs="Calibri"/>
              </w:rPr>
              <w:t>Ours</w:t>
            </w:r>
          </w:p>
        </w:tc>
        <w:tc>
          <w:tcPr>
            <w:tcW w:w="1562" w:type="dxa"/>
            <w:tcBorders>
              <w:top w:val="nil"/>
            </w:tcBorders>
            <w:vAlign w:val="center"/>
          </w:tcPr>
          <w:p w14:paraId="295CEAFC" w14:textId="77777777" w:rsidR="00467C7B" w:rsidRPr="00467C7B" w:rsidRDefault="00467C7B" w:rsidP="00E74F9B">
            <w:pPr>
              <w:jc w:val="center"/>
              <w:rPr>
                <w:rFonts w:ascii="Calibri" w:hAnsi="Calibri" w:cs="Calibri"/>
              </w:rPr>
            </w:pPr>
            <w:r w:rsidRPr="00467C7B">
              <w:rPr>
                <w:rFonts w:ascii="Calibri" w:hAnsi="Calibri" w:cs="Calibri"/>
              </w:rPr>
              <w:t>USA (18)</w:t>
            </w:r>
          </w:p>
        </w:tc>
        <w:tc>
          <w:tcPr>
            <w:tcW w:w="3960" w:type="dxa"/>
            <w:tcBorders>
              <w:top w:val="nil"/>
            </w:tcBorders>
            <w:vAlign w:val="center"/>
          </w:tcPr>
          <w:p w14:paraId="6CAF9531" w14:textId="77777777" w:rsidR="00467C7B" w:rsidRPr="00467C7B" w:rsidRDefault="00467C7B" w:rsidP="00E74F9B">
            <w:pPr>
              <w:jc w:val="center"/>
              <w:rPr>
                <w:rFonts w:ascii="Calibri" w:hAnsi="Calibri" w:cs="Calibri"/>
              </w:rPr>
            </w:pPr>
            <w:r w:rsidRPr="00467C7B">
              <w:rPr>
                <w:rFonts w:ascii="Calibri" w:hAnsi="Calibri" w:cs="Calibri"/>
              </w:rPr>
              <w:t>Annual &amp; Seasonal &amp; Time-of-day &amp; Seasonal-hour &amp; Month-hour &amp; Hourly</w:t>
            </w:r>
          </w:p>
        </w:tc>
        <w:tc>
          <w:tcPr>
            <w:tcW w:w="1800" w:type="dxa"/>
            <w:tcBorders>
              <w:top w:val="nil"/>
            </w:tcBorders>
            <w:vAlign w:val="center"/>
          </w:tcPr>
          <w:p w14:paraId="26FB7C3A" w14:textId="77777777" w:rsidR="00467C7B" w:rsidRPr="00467C7B" w:rsidRDefault="00467C7B" w:rsidP="00E74F9B">
            <w:pPr>
              <w:jc w:val="center"/>
              <w:rPr>
                <w:rFonts w:ascii="Calibri" w:hAnsi="Calibri" w:cs="Calibri"/>
              </w:rPr>
            </w:pPr>
            <w:r w:rsidRPr="00467C7B">
              <w:rPr>
                <w:rFonts w:ascii="Calibri" w:hAnsi="Calibri" w:cs="Calibri"/>
              </w:rPr>
              <w:t>Measured (639)</w:t>
            </w:r>
          </w:p>
        </w:tc>
        <w:tc>
          <w:tcPr>
            <w:tcW w:w="1440" w:type="dxa"/>
            <w:tcBorders>
              <w:top w:val="nil"/>
              <w:right w:val="nil"/>
            </w:tcBorders>
            <w:vAlign w:val="center"/>
          </w:tcPr>
          <w:p w14:paraId="18D9877A" w14:textId="77777777" w:rsidR="00467C7B" w:rsidRPr="00467C7B" w:rsidRDefault="00467C7B" w:rsidP="00E74F9B">
            <w:pPr>
              <w:jc w:val="center"/>
              <w:rPr>
                <w:rFonts w:ascii="Calibri" w:hAnsi="Calibri" w:cs="Calibri"/>
              </w:rPr>
            </w:pPr>
            <m:oMathPara>
              <m:oMath>
                <m:r>
                  <w:rPr>
                    <w:rFonts w:ascii="Cambria Math" w:hAnsi="Cambria Math" w:cs="Calibri"/>
                  </w:rPr>
                  <m:t>√</m:t>
                </m:r>
              </m:oMath>
            </m:oMathPara>
          </w:p>
        </w:tc>
      </w:tr>
    </w:tbl>
    <w:p w14:paraId="74D2FFF7" w14:textId="77777777" w:rsidR="00140AC3" w:rsidRPr="009B2F70" w:rsidRDefault="00140AC3" w:rsidP="002F433A">
      <w:pPr>
        <w:spacing w:before="240" w:after="240"/>
        <w:jc w:val="both"/>
        <w:rPr>
          <w:rFonts w:ascii="Calibri" w:eastAsia="Calibri" w:hAnsi="Calibri" w:cs="Calibri"/>
        </w:rPr>
      </w:pPr>
    </w:p>
    <w:p w14:paraId="4841C04E" w14:textId="77777777"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transition from literature review to study's objectives is implicit rather than explicit. Thus, adding a brief concluding paragraph highlighting key gaps (right after the summary table I mentioned in previous comment) and positioning the study's contribution is recommended.</w:t>
      </w:r>
    </w:p>
    <w:p w14:paraId="3089D303" w14:textId="4514AB9D" w:rsidR="00306207" w:rsidRPr="00E24763" w:rsidRDefault="00C461A5" w:rsidP="00C461A5">
      <w:pPr>
        <w:spacing w:before="240" w:after="240"/>
        <w:jc w:val="both"/>
        <w:rPr>
          <w:rFonts w:ascii="Calibri" w:eastAsia="Calibri" w:hAnsi="Calibri" w:cs="Calibri"/>
          <w:b/>
          <w:lang w:val="en-US"/>
        </w:rPr>
      </w:pPr>
      <w:r w:rsidRPr="00C461A5">
        <w:rPr>
          <w:rFonts w:ascii="Calibri" w:eastAsia="Calibri" w:hAnsi="Calibri" w:cs="Calibri"/>
          <w:b/>
          <w:bCs/>
        </w:rPr>
        <w:t xml:space="preserve">Response: </w:t>
      </w:r>
      <w:r w:rsidR="009B2F70" w:rsidRPr="009B2F70">
        <w:rPr>
          <w:rFonts w:ascii="Calibri" w:eastAsia="Calibri" w:hAnsi="Calibri" w:cs="Calibri"/>
        </w:rPr>
        <w:t xml:space="preserve">Thanks for the comments, </w:t>
      </w:r>
      <w:r w:rsidR="00467C7B">
        <w:rPr>
          <w:rFonts w:ascii="Calibri" w:eastAsia="Calibri" w:hAnsi="Calibri" w:cs="Calibri"/>
        </w:rPr>
        <w:t xml:space="preserve">we modified the </w:t>
      </w:r>
      <w:r w:rsidR="00E24763">
        <w:rPr>
          <w:rFonts w:ascii="Calibri" w:eastAsia="Calibri" w:hAnsi="Calibri" w:cs="Calibri"/>
        </w:rPr>
        <w:t>literature review section 2.2 “</w:t>
      </w:r>
      <w:r w:rsidR="00E24763" w:rsidRPr="00E24763">
        <w:rPr>
          <w:rFonts w:ascii="Calibri" w:eastAsia="Calibri" w:hAnsi="Calibri" w:cs="Calibri"/>
          <w:bCs/>
          <w:lang w:val="en-US"/>
        </w:rPr>
        <w:t>Temporal sensitivity in operational carbon emissions accounting</w:t>
      </w:r>
      <w:r w:rsidR="00E24763">
        <w:rPr>
          <w:rFonts w:ascii="Calibri" w:eastAsia="Calibri" w:hAnsi="Calibri" w:cs="Calibri"/>
        </w:rPr>
        <w:t>”, and added a summary of study contribution below the added table response to the previous comment: “</w:t>
      </w:r>
      <w:r w:rsidR="0052312D" w:rsidRPr="0052312D">
        <w:rPr>
          <w:rFonts w:ascii="Calibri" w:eastAsia="Calibri" w:hAnsi="Calibri" w:cs="Calibri"/>
          <w:i/>
          <w:iCs/>
          <w:u w:val="single"/>
          <w:lang w:val="en-US"/>
        </w:rPr>
        <w:t xml:space="preserve">Overall, the reviewed literature shows that the environmental benefit of saving 1 kWh of electricity depends strongly on when the savings occur, with greater benefits during periods of high grid emission intensity. Neglecting temporal variation in emission factors can therefore lead to systematic errors, such as overestimating avoided emissions when demand is reduced during low-emission periods (e.g., midday solar peaks), or underestimating benefits from efficiency measures and load-shifting strategies that target high-emission hours, such as envelope improvements for electrically heated buildings or storage-enabled demand shifting. However, as summarized in Table 1, most prior studies focus on comparisons between annual and hourly emission factors and rely primarily on simulated building loads. This approach largely overlooks seasonal patterns in emission factors, which we previously demonstrated to be substantial [11]. In addition, grid exports from onsite renewable generation are often treated implicitly as part of net load, rather than being explicitly evaluated as avoided emissions. In contrast, this study examines grid regions across the contiguous United States, evaluates emission factors across the full spectrum of temporal resolutions, and integrates measured electricity data from a large and diverse set of buildings that capture realistic variability. </w:t>
      </w:r>
      <w:proofErr w:type="gramStart"/>
      <w:r w:rsidR="0052312D" w:rsidRPr="0052312D">
        <w:rPr>
          <w:rFonts w:ascii="Calibri" w:eastAsia="Calibri" w:hAnsi="Calibri" w:cs="Calibri"/>
          <w:i/>
          <w:iCs/>
          <w:u w:val="single"/>
          <w:lang w:val="en-US"/>
        </w:rPr>
        <w:t>Also</w:t>
      </w:r>
      <w:proofErr w:type="gramEnd"/>
      <w:r w:rsidR="0052312D" w:rsidRPr="0052312D">
        <w:rPr>
          <w:rFonts w:ascii="Calibri" w:eastAsia="Calibri" w:hAnsi="Calibri" w:cs="Calibri"/>
          <w:i/>
          <w:iCs/>
          <w:u w:val="single"/>
          <w:lang w:val="en-US"/>
        </w:rPr>
        <w:t xml:space="preserve"> we quantified the avoided emissions separately from the net load to more appropriately assess grid benefits.</w:t>
      </w:r>
      <w:r w:rsidR="00E24763" w:rsidRPr="00E24763">
        <w:rPr>
          <w:rFonts w:ascii="Calibri" w:eastAsia="Calibri" w:hAnsi="Calibri" w:cs="Calibri"/>
          <w:i/>
          <w:iCs/>
          <w:u w:val="single"/>
        </w:rPr>
        <w:t>”</w:t>
      </w:r>
    </w:p>
    <w:p w14:paraId="61FD35F8" w14:textId="2C255D57" w:rsidR="000F3400" w:rsidRPr="00C461A5" w:rsidRDefault="00306207" w:rsidP="00C461A5">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Section 3. "Methodology" is generally well structured and data-driven; however, the assumption that hourly emission factors represent the "ground truth" is not sufficiently justified. Therefore, the authors are encouraged to better justify this assumption or discuss its limitations and implications.</w:t>
      </w:r>
    </w:p>
    <w:p w14:paraId="0871BF4C" w14:textId="2B0FD0BB" w:rsidR="0096408C" w:rsidRDefault="00C461A5" w:rsidP="00892D80">
      <w:pPr>
        <w:spacing w:before="240" w:after="240"/>
        <w:jc w:val="both"/>
        <w:rPr>
          <w:rFonts w:ascii="Calibri" w:eastAsia="Calibri" w:hAnsi="Calibri" w:cs="Calibri"/>
        </w:rPr>
      </w:pPr>
      <w:r>
        <w:rPr>
          <w:rFonts w:ascii="Calibri" w:eastAsia="Calibri" w:hAnsi="Calibri" w:cs="Calibri"/>
          <w:b/>
          <w:bCs/>
        </w:rPr>
        <w:t xml:space="preserve">Response: </w:t>
      </w:r>
      <w:r w:rsidR="005B4B36" w:rsidRPr="00961C2B">
        <w:rPr>
          <w:rFonts w:ascii="Calibri" w:eastAsia="Calibri" w:hAnsi="Calibri" w:cs="Calibri"/>
        </w:rPr>
        <w:t>Thanks for the comments,</w:t>
      </w:r>
      <w:r w:rsidR="00961C2B" w:rsidRPr="00961C2B">
        <w:rPr>
          <w:rFonts w:ascii="Calibri" w:eastAsia="Calibri" w:hAnsi="Calibri" w:cs="Calibri"/>
        </w:rPr>
        <w:t xml:space="preserve"> we </w:t>
      </w:r>
      <w:r w:rsidR="00961C2B">
        <w:rPr>
          <w:rFonts w:ascii="Calibri" w:eastAsia="Calibri" w:hAnsi="Calibri" w:cs="Calibri"/>
        </w:rPr>
        <w:t>changed the definition of hourly emission factors from “ground truth” to “</w:t>
      </w:r>
      <w:r w:rsidR="00961C2B" w:rsidRPr="00961C2B">
        <w:rPr>
          <w:rFonts w:ascii="Calibri" w:eastAsia="Calibri" w:hAnsi="Calibri" w:cs="Calibri"/>
        </w:rPr>
        <w:t>high-resolution reference benchmark”</w:t>
      </w:r>
      <w:r w:rsidR="00961C2B">
        <w:rPr>
          <w:rFonts w:ascii="Calibri" w:eastAsia="Calibri" w:hAnsi="Calibri" w:cs="Calibri"/>
        </w:rPr>
        <w:t xml:space="preserve"> for clarification throughout the whole paper. </w:t>
      </w:r>
      <w:r w:rsidR="00AE4B76">
        <w:rPr>
          <w:rFonts w:ascii="Calibri" w:eastAsia="Calibri" w:hAnsi="Calibri" w:cs="Calibri"/>
        </w:rPr>
        <w:t xml:space="preserve">We agreed </w:t>
      </w:r>
      <w:r w:rsidR="00AE4B76">
        <w:rPr>
          <w:rFonts w:ascii="Calibri" w:eastAsia="Calibri" w:hAnsi="Calibri" w:cs="Calibri"/>
        </w:rPr>
        <w:lastRenderedPageBreak/>
        <w:t xml:space="preserve">that referring hourly emission factors can be misleading since the primary focus of the study is to quantify the deviations </w:t>
      </w:r>
      <w:r w:rsidR="00892D80">
        <w:rPr>
          <w:rFonts w:ascii="Calibri" w:eastAsia="Calibri" w:hAnsi="Calibri" w:cs="Calibri"/>
        </w:rPr>
        <w:t>caused</w:t>
      </w:r>
      <w:r w:rsidR="00AE4B76">
        <w:rPr>
          <w:rFonts w:ascii="Calibri" w:eastAsia="Calibri" w:hAnsi="Calibri" w:cs="Calibri"/>
        </w:rPr>
        <w:t xml:space="preserve"> by changing temporal resolution rather than assessing their inherent accuracy. One of the implications is included in the original version of the paper where </w:t>
      </w:r>
      <w:r w:rsidR="00961C2B">
        <w:rPr>
          <w:rFonts w:ascii="Calibri" w:eastAsia="Calibri" w:hAnsi="Calibri" w:cs="Calibri"/>
        </w:rPr>
        <w:t>we had Section 5.1 “Weather synchronization”</w:t>
      </w:r>
      <w:r w:rsidR="00315E76">
        <w:rPr>
          <w:rFonts w:ascii="Calibri" w:eastAsia="Calibri" w:hAnsi="Calibri" w:cs="Calibri"/>
        </w:rPr>
        <w:t xml:space="preserve"> </w:t>
      </w:r>
      <w:r w:rsidR="00961C2B">
        <w:rPr>
          <w:rFonts w:ascii="Calibri" w:eastAsia="Calibri" w:hAnsi="Calibri" w:cs="Calibri"/>
        </w:rPr>
        <w:t xml:space="preserve">to discuss the </w:t>
      </w:r>
      <w:r w:rsidR="00315E76">
        <w:rPr>
          <w:rFonts w:ascii="Calibri" w:eastAsia="Calibri" w:hAnsi="Calibri" w:cs="Calibri"/>
        </w:rPr>
        <w:t>limitation</w:t>
      </w:r>
      <w:r w:rsidR="00961C2B">
        <w:rPr>
          <w:rFonts w:ascii="Calibri" w:eastAsia="Calibri" w:hAnsi="Calibri" w:cs="Calibri"/>
        </w:rPr>
        <w:t xml:space="preserve"> of using hourly emissions factor as the reference</w:t>
      </w:r>
      <w:r w:rsidR="00315E76">
        <w:rPr>
          <w:rFonts w:ascii="Calibri" w:eastAsia="Calibri" w:hAnsi="Calibri" w:cs="Calibri"/>
        </w:rPr>
        <w:t>. To enhance clarity of the methodology, we summarized the general limitation of mapping between various emission factors and measured electricity also in the methodology</w:t>
      </w:r>
      <w:r w:rsidR="00961C2B">
        <w:rPr>
          <w:rFonts w:ascii="Calibri" w:eastAsia="Calibri" w:hAnsi="Calibri" w:cs="Calibri"/>
        </w:rPr>
        <w:t xml:space="preserve">. </w:t>
      </w:r>
    </w:p>
    <w:p w14:paraId="0C80E3B3" w14:textId="564EE0B8" w:rsidR="00306207" w:rsidRPr="00892D80" w:rsidRDefault="00C3400A" w:rsidP="00892D80">
      <w:pPr>
        <w:spacing w:before="240" w:after="240"/>
        <w:jc w:val="both"/>
        <w:rPr>
          <w:rFonts w:ascii="Calibri" w:eastAsia="Calibri" w:hAnsi="Calibri" w:cs="Calibri"/>
          <w:lang w:val="en-US"/>
        </w:rPr>
      </w:pPr>
      <w:r>
        <w:rPr>
          <w:rFonts w:ascii="Calibri" w:eastAsia="Calibri" w:hAnsi="Calibri" w:cs="Calibri"/>
        </w:rPr>
        <w:t xml:space="preserve">For the updated version, we </w:t>
      </w:r>
      <w:r w:rsidR="00315E76">
        <w:rPr>
          <w:rFonts w:ascii="Calibri" w:eastAsia="Calibri" w:hAnsi="Calibri" w:cs="Calibri"/>
        </w:rPr>
        <w:t>added</w:t>
      </w:r>
      <w:r>
        <w:rPr>
          <w:rFonts w:ascii="Calibri" w:eastAsia="Calibri" w:hAnsi="Calibri" w:cs="Calibri"/>
        </w:rPr>
        <w:t xml:space="preserve"> in Section 3 “Methodology”: “</w:t>
      </w:r>
      <w:r w:rsidR="00FB04BA" w:rsidRPr="00FB04BA">
        <w:rPr>
          <w:rFonts w:ascii="Calibri" w:eastAsia="Calibri" w:hAnsi="Calibri" w:cs="Calibri"/>
          <w:i/>
          <w:iCs/>
          <w:u w:val="single"/>
          <w:lang w:val="en-US"/>
        </w:rPr>
        <w:t xml:space="preserve">To assess the error induced by less accurate emission factors, we used the hourly emission factor as the baseline (i.e., the high resolution benchmark reference), although this assumes that hourly emission factors are accurate even for 2050 prediction, which is certainly not the case, they most realistically represent future grid conditions based on cost, capacity expansion and dispatch model of the grid. </w:t>
      </w:r>
      <w:r w:rsidR="00315E76" w:rsidRPr="00315E76">
        <w:rPr>
          <w:rFonts w:ascii="Calibri" w:eastAsia="Calibri" w:hAnsi="Calibri" w:cs="Calibri"/>
          <w:i/>
          <w:iCs/>
          <w:u w:val="single"/>
          <w:lang w:val="en-US"/>
        </w:rPr>
        <w:t>We acknowledge that the mapping between grid emission factors and building electricity measurements are subject to weather mismatches between different years. Additionally</w:t>
      </w:r>
      <w:r w:rsidR="00FB04BA" w:rsidRPr="00FB04BA">
        <w:rPr>
          <w:rFonts w:ascii="Calibri" w:eastAsia="Calibri" w:hAnsi="Calibri" w:cs="Calibri"/>
          <w:i/>
          <w:iCs/>
          <w:u w:val="single"/>
          <w:lang w:val="en-US"/>
        </w:rPr>
        <w:t>, this study applies the same measured building electricity profiles across future grid scenarios, whereas dynamic modeling that incorporates climate change and evolving occupant behavior, as recommended by the IEA Annex project [44], would provide greater fidelity. To address these limitations while maintaining interpretability, we selected three grid regions and future scenarios as representative examples spanning the full range of expected grid conditions, from regions with high shares of diversified renewables (e.g., CAISO) to those still heavily reliant on fossil fuels (e.g., PJM East). A direct comparison of these grid characteristics is provided in Figure 11. Supplementary materials include results for an additional 15 grid regions across the contiguous United States and the avoided emissions assessment results.</w:t>
      </w:r>
      <w:r w:rsidR="00FB04BA">
        <w:rPr>
          <w:rFonts w:ascii="Calibri" w:eastAsia="Calibri" w:hAnsi="Calibri" w:cs="Calibri"/>
          <w:i/>
          <w:iCs/>
          <w:u w:val="single"/>
          <w:lang w:val="en-US"/>
        </w:rPr>
        <w:t>”</w:t>
      </w:r>
    </w:p>
    <w:p w14:paraId="689E5F55" w14:textId="77777777"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In section 3.1. "Building Genome 2.0 dataset" the author highlighted that buildings from the Building Genome dataset are treated as a single aggregated group across grid regions, ignoring regional building characteristics. Hence, it should be clarified how this assumption may influence the results and associated uncertainty.</w:t>
      </w:r>
    </w:p>
    <w:p w14:paraId="36DF1835" w14:textId="3D2BA55F" w:rsidR="00306207" w:rsidRPr="00DF2D0F" w:rsidRDefault="00C461A5" w:rsidP="00C461A5">
      <w:pPr>
        <w:spacing w:before="240" w:after="240"/>
        <w:jc w:val="both"/>
        <w:rPr>
          <w:rFonts w:ascii="Calibri" w:eastAsia="Calibri" w:hAnsi="Calibri" w:cs="Calibri"/>
        </w:rPr>
      </w:pPr>
      <w:r>
        <w:rPr>
          <w:rFonts w:ascii="Calibri" w:eastAsia="Calibri" w:hAnsi="Calibri" w:cs="Calibri"/>
          <w:b/>
          <w:bCs/>
        </w:rPr>
        <w:t xml:space="preserve">Response: </w:t>
      </w:r>
      <w:r w:rsidR="00CA212A" w:rsidRPr="00CA212A">
        <w:rPr>
          <w:rFonts w:ascii="Calibri" w:eastAsia="Calibri" w:hAnsi="Calibri" w:cs="Calibri"/>
        </w:rPr>
        <w:t>Than</w:t>
      </w:r>
      <w:r w:rsidR="00CA212A">
        <w:rPr>
          <w:rFonts w:ascii="Calibri" w:eastAsia="Calibri" w:hAnsi="Calibri" w:cs="Calibri"/>
        </w:rPr>
        <w:t xml:space="preserve">ks for the comment, we added discussion to the Section 3.1. “Building Genome 2.0 dataset” </w:t>
      </w:r>
      <w:r w:rsidR="00F8012C">
        <w:rPr>
          <w:rFonts w:ascii="Calibri" w:eastAsia="Calibri" w:hAnsi="Calibri" w:cs="Calibri"/>
        </w:rPr>
        <w:t xml:space="preserve">about the implication of the assumption: </w:t>
      </w:r>
      <w:r w:rsidR="00F8012C" w:rsidRPr="00DF2D0F">
        <w:rPr>
          <w:rFonts w:ascii="Calibri" w:eastAsia="Calibri" w:hAnsi="Calibri" w:cs="Calibri"/>
          <w:i/>
          <w:iCs/>
          <w:u w:val="single"/>
        </w:rPr>
        <w:t>“</w:t>
      </w:r>
      <w:r w:rsidR="00FB04BA" w:rsidRPr="00FB04BA">
        <w:rPr>
          <w:rFonts w:ascii="Calibri" w:eastAsia="Calibri" w:hAnsi="Calibri" w:cs="Calibri"/>
          <w:i/>
          <w:iCs/>
          <w:u w:val="single"/>
          <w:lang w:val="en-US"/>
        </w:rPr>
        <w:t>Although this approach ensures a consistent and sufficiently large sample size across all grid regions, it may underrepresent climate-specific building characteristics in cooling- or heating-dominated areas. For instance, electricity consumption in cooling-dominated climates typically peaks in summer, leading to stronger seasonal variability. As a result, applying a single aggregated building dataset may underestimate the effectiveness of seasonal emission factors in regions where energy use and grid emissions are more strongly aligned with seasonal demand patterns.</w:t>
      </w:r>
      <w:r w:rsidR="00F8012C" w:rsidRPr="00DF2D0F">
        <w:rPr>
          <w:rFonts w:ascii="Calibri" w:eastAsia="Calibri" w:hAnsi="Calibri" w:cs="Calibri"/>
          <w:i/>
          <w:iCs/>
          <w:u w:val="single"/>
        </w:rPr>
        <w:t>”</w:t>
      </w:r>
      <w:r w:rsidR="00DF2D0F">
        <w:rPr>
          <w:rFonts w:ascii="Calibri" w:eastAsia="Calibri" w:hAnsi="Calibri" w:cs="Calibri"/>
        </w:rPr>
        <w:t xml:space="preserve"> Additionally, we also added this to the “Conclusion” as part of the future work planned. </w:t>
      </w:r>
    </w:p>
    <w:p w14:paraId="6A1F6C8C" w14:textId="11984517" w:rsidR="00306207"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Section 4. "Results" is data-rich and well visualized. However, they frequently report fractional errors without consistently connecting them to practical significance or decision-making implications. Thus, the authors are encouraged to more clearly interpret what these error magnitudes imply for practitioners or policy applications.</w:t>
      </w:r>
    </w:p>
    <w:p w14:paraId="38ED62BE" w14:textId="77777777" w:rsidR="00762223" w:rsidRDefault="00C461A5" w:rsidP="00CE00A2">
      <w:pPr>
        <w:spacing w:before="240" w:after="240"/>
        <w:jc w:val="both"/>
        <w:rPr>
          <w:rFonts w:ascii="Calibri" w:eastAsia="Calibri" w:hAnsi="Calibri" w:cs="Calibri"/>
        </w:rPr>
      </w:pPr>
      <w:r w:rsidRPr="00C461A5">
        <w:rPr>
          <w:rFonts w:ascii="Calibri" w:eastAsia="Calibri" w:hAnsi="Calibri" w:cs="Calibri"/>
          <w:b/>
          <w:bCs/>
        </w:rPr>
        <w:lastRenderedPageBreak/>
        <w:t xml:space="preserve">Response: </w:t>
      </w:r>
      <w:r w:rsidR="0001042D" w:rsidRPr="0001042D">
        <w:rPr>
          <w:rFonts w:ascii="Calibri" w:eastAsia="Calibri" w:hAnsi="Calibri" w:cs="Calibri"/>
        </w:rPr>
        <w:t>Th</w:t>
      </w:r>
      <w:r w:rsidR="0001042D">
        <w:rPr>
          <w:rFonts w:ascii="Calibri" w:eastAsia="Calibri" w:hAnsi="Calibri" w:cs="Calibri"/>
        </w:rPr>
        <w:t xml:space="preserve">anks for the comment, which is important feedback for the study to improve the implication of the analysis results. We </w:t>
      </w:r>
      <w:r w:rsidR="00617857">
        <w:rPr>
          <w:rFonts w:ascii="Calibri" w:eastAsia="Calibri" w:hAnsi="Calibri" w:cs="Calibri"/>
        </w:rPr>
        <w:t>added</w:t>
      </w:r>
      <w:r w:rsidR="007501DB">
        <w:rPr>
          <w:rFonts w:ascii="Calibri" w:eastAsia="Calibri" w:hAnsi="Calibri" w:cs="Calibri"/>
        </w:rPr>
        <w:t xml:space="preserve"> a new section </w:t>
      </w:r>
      <w:r w:rsidR="009603CE">
        <w:rPr>
          <w:rFonts w:ascii="Calibri" w:eastAsia="Calibri" w:hAnsi="Calibri" w:cs="Calibri"/>
        </w:rPr>
        <w:t>4.4 “</w:t>
      </w:r>
      <w:r w:rsidR="00E92000">
        <w:rPr>
          <w:rFonts w:ascii="Calibri" w:eastAsia="Calibri" w:hAnsi="Calibri" w:cs="Calibri"/>
        </w:rPr>
        <w:t>Other grid regions</w:t>
      </w:r>
      <w:r w:rsidR="009603CE">
        <w:rPr>
          <w:rFonts w:ascii="Calibri" w:eastAsia="Calibri" w:hAnsi="Calibri" w:cs="Calibri"/>
        </w:rPr>
        <w:t xml:space="preserve">” </w:t>
      </w:r>
      <w:r w:rsidR="007501DB">
        <w:rPr>
          <w:rFonts w:ascii="Calibri" w:eastAsia="Calibri" w:hAnsi="Calibri" w:cs="Calibri"/>
        </w:rPr>
        <w:t xml:space="preserve">at the </w:t>
      </w:r>
      <w:r w:rsidR="009603CE">
        <w:rPr>
          <w:rFonts w:ascii="Calibri" w:eastAsia="Calibri" w:hAnsi="Calibri" w:cs="Calibri"/>
        </w:rPr>
        <w:t>end of current result section</w:t>
      </w:r>
      <w:r w:rsidR="00E92000">
        <w:rPr>
          <w:rFonts w:ascii="Calibri" w:eastAsia="Calibri" w:hAnsi="Calibri" w:cs="Calibri"/>
        </w:rPr>
        <w:t xml:space="preserve"> and added two new figures to show the median fractional errors of each emission factors discussed calculated for all grid regions. </w:t>
      </w:r>
    </w:p>
    <w:p w14:paraId="1E53C324" w14:textId="77777777" w:rsidR="00123AA6" w:rsidRDefault="00E92000" w:rsidP="00CE00A2">
      <w:pPr>
        <w:spacing w:before="240" w:after="240"/>
        <w:jc w:val="both"/>
        <w:rPr>
          <w:rFonts w:ascii="Calibri" w:eastAsia="Calibri" w:hAnsi="Calibri" w:cs="Calibri"/>
        </w:rPr>
      </w:pPr>
      <w:r>
        <w:rPr>
          <w:rFonts w:ascii="Calibri" w:eastAsia="Calibri" w:hAnsi="Calibri" w:cs="Calibri"/>
        </w:rPr>
        <w:t>The two plots provide generalizable temporal sensitivity implications of the emission factors</w:t>
      </w:r>
      <w:r w:rsidR="00CE00A2">
        <w:rPr>
          <w:rFonts w:ascii="Calibri" w:eastAsia="Calibri" w:hAnsi="Calibri" w:cs="Calibri"/>
        </w:rPr>
        <w:t xml:space="preserve">: </w:t>
      </w:r>
    </w:p>
    <w:p w14:paraId="1E249016" w14:textId="77777777" w:rsidR="00123AA6" w:rsidRPr="00123AA6" w:rsidRDefault="00CE00A2" w:rsidP="00CE00A2">
      <w:pPr>
        <w:spacing w:before="240" w:after="240"/>
        <w:jc w:val="both"/>
        <w:rPr>
          <w:rFonts w:ascii="Calibri" w:eastAsia="Calibri" w:hAnsi="Calibri" w:cs="Calibri"/>
          <w:i/>
          <w:iCs/>
          <w:u w:val="single"/>
        </w:rPr>
      </w:pPr>
      <w:r>
        <w:rPr>
          <w:rFonts w:ascii="Calibri" w:eastAsia="Calibri" w:hAnsi="Calibri" w:cs="Calibri"/>
        </w:rPr>
        <w:t>“</w:t>
      </w:r>
      <w:r w:rsidR="00123AA6" w:rsidRPr="00123AA6">
        <w:rPr>
          <w:rFonts w:ascii="Calibri" w:eastAsia="Calibri" w:hAnsi="Calibri" w:cs="Calibri"/>
          <w:i/>
          <w:iCs/>
          <w:u w:val="single"/>
        </w:rPr>
        <w:t>4.4 Other grid regions</w:t>
      </w:r>
    </w:p>
    <w:p w14:paraId="6A11674F" w14:textId="72E8EEC4" w:rsidR="00CE00A2" w:rsidRPr="00CE00A2" w:rsidRDefault="00762223" w:rsidP="00CE00A2">
      <w:pPr>
        <w:spacing w:before="240" w:after="240"/>
        <w:jc w:val="both"/>
        <w:rPr>
          <w:rFonts w:ascii="Calibri" w:eastAsia="Calibri" w:hAnsi="Calibri" w:cs="Calibri"/>
          <w:i/>
          <w:iCs/>
          <w:u w:val="single"/>
          <w:lang w:val="en-US"/>
        </w:rPr>
      </w:pPr>
      <w:r w:rsidRPr="00762223">
        <w:rPr>
          <w:rFonts w:ascii="Calibri" w:eastAsia="Calibri" w:hAnsi="Calibri" w:cs="Calibri"/>
          <w:i/>
          <w:iCs/>
          <w:u w:val="single"/>
          <w:lang w:val="en-US"/>
        </w:rPr>
        <w:t xml:space="preserve">Additional results for other grid regions, along with avoided emissions assessed using long-run marginal emissions rates (LRMER), are provided in the supplementary material. Across all 18 grid regions, we observed consistent patterns: annual emission factors systematically oversimplify operational emission intensity. Figure 9 summarizes these by presenting the median fractional error of aggregated net operational emissions and avoided emissions across results from all regions. For the current and near-future conditions (2025), annual, seasonal, and time-of-day emission factors yield median errors of approximately 5%, which may be considered acceptable given their simplicity and limited sensitivity to grid development scenarios. However, these factors become unreliable </w:t>
      </w:r>
      <w:r w:rsidR="00123AA6">
        <w:rPr>
          <w:rFonts w:ascii="Calibri" w:eastAsia="Calibri" w:hAnsi="Calibri" w:cs="Calibri"/>
          <w:i/>
          <w:iCs/>
          <w:u w:val="single"/>
          <w:lang w:val="en-US"/>
        </w:rPr>
        <w:t xml:space="preserve">when onsite solar generation continues to increase and gradually </w:t>
      </w:r>
      <w:r w:rsidR="001C0424">
        <w:rPr>
          <w:rFonts w:ascii="Calibri" w:eastAsia="Calibri" w:hAnsi="Calibri" w:cs="Calibri"/>
          <w:i/>
          <w:iCs/>
          <w:u w:val="single"/>
          <w:lang w:val="en-US"/>
        </w:rPr>
        <w:t>offsets the energy usage of the building</w:t>
      </w:r>
      <w:r w:rsidRPr="00762223">
        <w:rPr>
          <w:rFonts w:ascii="Calibri" w:eastAsia="Calibri" w:hAnsi="Calibri" w:cs="Calibri"/>
          <w:i/>
          <w:iCs/>
          <w:u w:val="single"/>
          <w:lang w:val="en-US"/>
        </w:rPr>
        <w:t>, whereas season-hour and month-hour emission factors consistently maintain median errors below 5%. Notably, the reported median fractional errors reflect deviations attributable solely to temporal resolution simplification, independent of uncertainty in the underlying emission intensity estimates.</w:t>
      </w:r>
      <w:r w:rsidR="00CE00A2" w:rsidRPr="00CE00A2">
        <w:rPr>
          <w:rFonts w:ascii="Calibri" w:eastAsia="Calibri" w:hAnsi="Calibri" w:cs="Calibri"/>
          <w:i/>
          <w:iCs/>
          <w:u w:val="single"/>
          <w:lang w:val="en-US"/>
        </w:rPr>
        <w:t xml:space="preserve"> </w:t>
      </w:r>
    </w:p>
    <w:p w14:paraId="38B521FC" w14:textId="21ABDDAD" w:rsidR="00CE00A2" w:rsidRPr="00CE00A2" w:rsidRDefault="002B76C9" w:rsidP="00CE00A2">
      <w:pPr>
        <w:spacing w:before="240" w:after="240"/>
        <w:jc w:val="both"/>
        <w:rPr>
          <w:rFonts w:ascii="Calibri" w:eastAsia="Calibri" w:hAnsi="Calibri" w:cs="Calibri"/>
          <w:i/>
          <w:iCs/>
          <w:u w:val="single"/>
          <w:lang w:val="en-US"/>
        </w:rPr>
      </w:pPr>
      <w:r>
        <w:rPr>
          <w:rFonts w:ascii="Calibri" w:eastAsia="Calibri" w:hAnsi="Calibri" w:cs="Calibri"/>
          <w:i/>
          <w:iCs/>
          <w:noProof/>
          <w:u w:val="single"/>
          <w:lang w:val="en-US"/>
          <w14:ligatures w14:val="standardContextual"/>
        </w:rPr>
        <w:lastRenderedPageBreak/>
        <w:drawing>
          <wp:inline distT="0" distB="0" distL="0" distR="0" wp14:anchorId="59640199" wp14:editId="7D6A4278">
            <wp:extent cx="5943600" cy="5200650"/>
            <wp:effectExtent l="0" t="0" r="0" b="6350"/>
            <wp:docPr id="354905300" name="Picture 1" descr="A graph of the number of carbon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05300" name="Picture 1" descr="A graph of the number of carbon emission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17E583AF" w14:textId="77777777" w:rsidR="00CE00A2" w:rsidRPr="00CE00A2" w:rsidRDefault="00CE00A2" w:rsidP="00CE00A2">
      <w:pPr>
        <w:spacing w:before="240" w:after="240"/>
        <w:jc w:val="both"/>
        <w:rPr>
          <w:rFonts w:ascii="Calibri" w:eastAsia="Calibri" w:hAnsi="Calibri" w:cs="Calibri"/>
          <w:i/>
          <w:iCs/>
          <w:u w:val="single"/>
          <w:lang w:val="en-US"/>
        </w:rPr>
      </w:pPr>
      <w:r w:rsidRPr="00CE00A2">
        <w:rPr>
          <w:rFonts w:ascii="Calibri" w:eastAsia="Calibri" w:hAnsi="Calibri" w:cs="Calibri"/>
          <w:i/>
          <w:iCs/>
          <w:u w:val="single"/>
          <w:lang w:val="en-US"/>
        </w:rPr>
        <w:t>Figure 9. Median fractional errors of net operational emissions calculated when aggregating all 18 grid regions by each emission factors.</w:t>
      </w:r>
    </w:p>
    <w:p w14:paraId="20F6C0C0" w14:textId="77777777" w:rsidR="00366B67" w:rsidRPr="00366B67" w:rsidRDefault="00366B67" w:rsidP="00366B67">
      <w:pPr>
        <w:spacing w:before="240" w:after="240"/>
        <w:jc w:val="both"/>
        <w:rPr>
          <w:rFonts w:ascii="Calibri" w:eastAsia="Calibri" w:hAnsi="Calibri" w:cs="Calibri"/>
          <w:i/>
          <w:iCs/>
          <w:u w:val="single"/>
          <w:lang w:val="en-US"/>
        </w:rPr>
      </w:pPr>
      <w:r w:rsidRPr="00366B67">
        <w:rPr>
          <w:rFonts w:ascii="Calibri" w:eastAsia="Calibri" w:hAnsi="Calibri" w:cs="Calibri"/>
          <w:i/>
          <w:iCs/>
          <w:u w:val="single"/>
          <w:lang w:val="en-US"/>
        </w:rPr>
        <w:t>Figure 10 presents the aggregated median fractional error associated with quantifying avoided emissions from excess onsite solar generation exported to the grid. The results show that avoided emissions are substantially more difficult to assess, particularly under future grid projections. When static emission factors are used, absolute deviations can exceed 100%. If adopting a 10% error threshold as an acceptable trade-off for simplification (indicated by the red dashed line), only season-hour and month-hour emission factors mostly meet this criterion. The figure also shows substantially higher fractional errors at lower capacities of onsite generation (e.g., 25% PV offset). As observed in the CAISO results, when grid export opportunities are limited to only a few hours per year, simplifying temporal resolution can produce exceptionally large deviations in avoided emissions estimates.</w:t>
      </w:r>
    </w:p>
    <w:p w14:paraId="5AF9A0D2" w14:textId="59655EE8" w:rsidR="00CE00A2" w:rsidRPr="00CE00A2" w:rsidRDefault="00CE00A2" w:rsidP="00CE00A2">
      <w:pPr>
        <w:spacing w:before="240" w:after="240"/>
        <w:jc w:val="both"/>
        <w:rPr>
          <w:rFonts w:ascii="Calibri" w:eastAsia="Calibri" w:hAnsi="Calibri" w:cs="Calibri"/>
          <w:i/>
          <w:iCs/>
          <w:u w:val="single"/>
          <w:lang w:val="en-US"/>
        </w:rPr>
      </w:pPr>
      <w:r w:rsidRPr="00CE00A2">
        <w:rPr>
          <w:rFonts w:ascii="Calibri" w:eastAsia="Calibri" w:hAnsi="Calibri" w:cs="Calibri"/>
          <w:i/>
          <w:iCs/>
          <w:u w:val="single"/>
          <w:lang w:val="en-US"/>
        </w:rPr>
        <w:t>.</w:t>
      </w:r>
    </w:p>
    <w:p w14:paraId="359B86BC" w14:textId="6BB3BDA7" w:rsidR="00CE00A2" w:rsidRPr="00CE00A2" w:rsidRDefault="00366B67" w:rsidP="00CE00A2">
      <w:pPr>
        <w:spacing w:before="240" w:after="240"/>
        <w:jc w:val="both"/>
        <w:rPr>
          <w:rFonts w:ascii="Calibri" w:eastAsia="Calibri" w:hAnsi="Calibri" w:cs="Calibri"/>
          <w:i/>
          <w:iCs/>
          <w:u w:val="single"/>
          <w:lang w:val="en-US"/>
        </w:rPr>
      </w:pPr>
      <w:r>
        <w:rPr>
          <w:rFonts w:ascii="Calibri" w:eastAsia="Calibri" w:hAnsi="Calibri" w:cs="Calibri"/>
          <w:i/>
          <w:iCs/>
          <w:noProof/>
          <w:u w:val="single"/>
          <w:lang w:val="en-US"/>
          <w14:ligatures w14:val="standardContextual"/>
        </w:rPr>
        <w:lastRenderedPageBreak/>
        <w:drawing>
          <wp:inline distT="0" distB="0" distL="0" distR="0" wp14:anchorId="697FAC46" wp14:editId="4E6514B2">
            <wp:extent cx="5943600" cy="5943600"/>
            <wp:effectExtent l="0" t="0" r="0" b="0"/>
            <wp:docPr id="82902227" name="Picture 4" descr="A graph of different types of carbon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227" name="Picture 4" descr="A graph of different types of carbon emission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A5155C3" w14:textId="7A54C21F" w:rsidR="00306207" w:rsidRPr="00CE00A2" w:rsidRDefault="00CE00A2" w:rsidP="00C461A5">
      <w:pPr>
        <w:spacing w:before="240" w:after="240"/>
        <w:jc w:val="both"/>
        <w:rPr>
          <w:rFonts w:ascii="Calibri" w:eastAsia="Calibri" w:hAnsi="Calibri" w:cs="Calibri"/>
          <w:lang w:val="en-US"/>
        </w:rPr>
      </w:pPr>
      <w:r w:rsidRPr="00CE00A2">
        <w:rPr>
          <w:rFonts w:ascii="Calibri" w:eastAsia="Calibri" w:hAnsi="Calibri" w:cs="Calibri"/>
          <w:i/>
          <w:iCs/>
          <w:u w:val="single"/>
          <w:lang w:val="en-US"/>
        </w:rPr>
        <w:t xml:space="preserve">Figure 10. Median fractional errors of avoided emissions by onsite renewable generation export calculated when aggregating all 18 grid </w:t>
      </w:r>
      <w:proofErr w:type="gramStart"/>
      <w:r w:rsidRPr="00CE00A2">
        <w:rPr>
          <w:rFonts w:ascii="Calibri" w:eastAsia="Calibri" w:hAnsi="Calibri" w:cs="Calibri"/>
          <w:i/>
          <w:iCs/>
          <w:u w:val="single"/>
          <w:lang w:val="en-US"/>
        </w:rPr>
        <w:t xml:space="preserve">regions </w:t>
      </w:r>
      <w:r>
        <w:rPr>
          <w:rFonts w:ascii="Calibri" w:eastAsia="Calibri" w:hAnsi="Calibri" w:cs="Calibri"/>
          <w:i/>
          <w:iCs/>
          <w:u w:val="single"/>
          <w:lang w:val="en-US"/>
        </w:rPr>
        <w:t>.</w:t>
      </w:r>
      <w:proofErr w:type="gramEnd"/>
      <w:r>
        <w:rPr>
          <w:rFonts w:ascii="Calibri" w:eastAsia="Calibri" w:hAnsi="Calibri" w:cs="Calibri"/>
        </w:rPr>
        <w:t>”</w:t>
      </w:r>
    </w:p>
    <w:p w14:paraId="506DAF80" w14:textId="77777777"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CAISO-focused results in section 4.1. "CAISO" are detailed; however, it is not always clear whether the observed trends are region-specific or expected to hold across other grid regions. Therefore, the authors should clarify which findings are general and which are context dependent.</w:t>
      </w:r>
    </w:p>
    <w:p w14:paraId="677AB312" w14:textId="72DEB40F" w:rsidR="00306207" w:rsidRPr="00306207" w:rsidRDefault="00C461A5" w:rsidP="00C461A5">
      <w:pPr>
        <w:spacing w:before="240" w:after="240"/>
        <w:jc w:val="both"/>
        <w:rPr>
          <w:rFonts w:ascii="Calibri" w:eastAsia="Calibri" w:hAnsi="Calibri" w:cs="Calibri"/>
          <w:b/>
          <w:bCs/>
        </w:rPr>
      </w:pPr>
      <w:r w:rsidRPr="00C461A5">
        <w:rPr>
          <w:rFonts w:ascii="Calibri" w:eastAsia="Calibri" w:hAnsi="Calibri" w:cs="Calibri"/>
          <w:b/>
          <w:bCs/>
        </w:rPr>
        <w:t xml:space="preserve">Response: </w:t>
      </w:r>
      <w:r w:rsidR="00CE00A2" w:rsidRPr="00CE00A2">
        <w:rPr>
          <w:rFonts w:ascii="Calibri" w:eastAsia="Calibri" w:hAnsi="Calibri" w:cs="Calibri"/>
        </w:rPr>
        <w:t>Thank</w:t>
      </w:r>
      <w:r w:rsidR="00CE00A2">
        <w:rPr>
          <w:rFonts w:ascii="Calibri" w:eastAsia="Calibri" w:hAnsi="Calibri" w:cs="Calibri"/>
        </w:rPr>
        <w:t xml:space="preserve">s so much for the comment, as responded to the previous comments, we added a new section 4.4 “Other grid regions” in the results analysis to show the overall median fractional errors over </w:t>
      </w:r>
      <w:r w:rsidR="004958B2">
        <w:rPr>
          <w:rFonts w:ascii="Calibri" w:eastAsia="Calibri" w:hAnsi="Calibri" w:cs="Calibri"/>
        </w:rPr>
        <w:lastRenderedPageBreak/>
        <w:t xml:space="preserve">all 18 grid regions. </w:t>
      </w:r>
      <w:r w:rsidR="006F4B34">
        <w:rPr>
          <w:rFonts w:ascii="Calibri" w:eastAsia="Calibri" w:hAnsi="Calibri" w:cs="Calibri"/>
        </w:rPr>
        <w:t>The two added figures demonstrate generalizable conclusions of the study and suggest net-zero carbon buildings, especially near net-zero carbon buildings should at least be assessed using season-hour emission factors if considering 5% deviation due to simplification as an acceptable threshold.</w:t>
      </w:r>
    </w:p>
    <w:p w14:paraId="365E0C12" w14:textId="77777777"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In section 5.2. "Grid generation mix impact," the discussion of grid generation mix is informative but highly region-specific, particularly for CAISO and ERCOT. Therefore, the authors are recommended to more clearly distinguish general insights from region-dependent observations.</w:t>
      </w:r>
    </w:p>
    <w:p w14:paraId="5101E468" w14:textId="0900DBEF" w:rsidR="00306207" w:rsidRPr="006F4B34" w:rsidRDefault="00C461A5" w:rsidP="00C461A5">
      <w:pPr>
        <w:spacing w:before="240" w:after="240"/>
        <w:jc w:val="both"/>
        <w:rPr>
          <w:rFonts w:ascii="Calibri" w:eastAsia="Calibri" w:hAnsi="Calibri" w:cs="Calibri"/>
        </w:rPr>
      </w:pPr>
      <w:r w:rsidRPr="00C461A5">
        <w:rPr>
          <w:rFonts w:ascii="Calibri" w:eastAsia="Calibri" w:hAnsi="Calibri" w:cs="Calibri"/>
          <w:b/>
          <w:bCs/>
        </w:rPr>
        <w:t xml:space="preserve">Response: </w:t>
      </w:r>
      <w:r w:rsidR="006F4B34" w:rsidRPr="006F4B34">
        <w:rPr>
          <w:rFonts w:ascii="Calibri" w:eastAsia="Calibri" w:hAnsi="Calibri" w:cs="Calibri"/>
        </w:rPr>
        <w:t xml:space="preserve">Thanks for the suggestion and feedback. </w:t>
      </w:r>
      <w:r w:rsidR="00C219B4">
        <w:rPr>
          <w:rFonts w:ascii="Calibri" w:eastAsia="Calibri" w:hAnsi="Calibri" w:cs="Calibri"/>
        </w:rPr>
        <w:t xml:space="preserve">We modified the last paragraph at the end of Section 5.2 “Grid generation mix impact” to describe general insight, which follows up with the region-dependent observations described in the content above: </w:t>
      </w:r>
      <w:r w:rsidR="00C219B4" w:rsidRPr="00C219B4">
        <w:rPr>
          <w:rFonts w:ascii="Calibri" w:eastAsia="Calibri" w:hAnsi="Calibri" w:cs="Calibri"/>
          <w:i/>
          <w:iCs/>
          <w:u w:val="single"/>
        </w:rPr>
        <w:t>“</w:t>
      </w:r>
      <w:r w:rsidR="00762223" w:rsidRPr="00762223">
        <w:rPr>
          <w:rFonts w:ascii="Calibri" w:eastAsia="Calibri" w:hAnsi="Calibri" w:cs="Calibri"/>
          <w:i/>
          <w:iCs/>
          <w:u w:val="single"/>
          <w:lang w:val="en-US"/>
        </w:rPr>
        <w:t>In general, we observed that variability in grid emission rates is more strongly correlated with the share of solar generation than with the total share of renewable energy. Grid regions with higher solar penetration tend to exhibit larger deviations when annual or seasonal average emission factors are applied, reflecting the pronounced diurnal variability of solar output. In contrast, regions with more balanced renewable portfolios, such as higher wind or hydropower contributions, or greater battery storage capacity, exhibit smoother emission profiles and lower variability. One notable exception is the NYISO grid region, which assumes a fully decarbonized grid by 2050; under this scenario, emission rates are uniformly zero, resulting in no estimation error, as shown in the supplementary figures.</w:t>
      </w:r>
      <w:r w:rsidR="00C219B4" w:rsidRPr="00C219B4">
        <w:rPr>
          <w:rFonts w:ascii="Calibri" w:eastAsia="Calibri" w:hAnsi="Calibri" w:cs="Calibri"/>
          <w:i/>
          <w:iCs/>
          <w:u w:val="single"/>
          <w:lang w:val="en-US"/>
        </w:rPr>
        <w:t>”</w:t>
      </w:r>
    </w:p>
    <w:p w14:paraId="28FE0EA7" w14:textId="264C6E7F"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Section 6. "Conclusion" clearly summarizes the study findings; however, it largely repeats results rather than synthesizing them into broader insights. Therefore, the authors are encouraged to more explicitly highlight the key takeaways and their significance beyond the specific case studies.</w:t>
      </w:r>
    </w:p>
    <w:p w14:paraId="31E5913E" w14:textId="77777777" w:rsidR="00765002" w:rsidRDefault="00C461A5" w:rsidP="00306207">
      <w:pPr>
        <w:spacing w:before="240" w:after="240"/>
        <w:jc w:val="both"/>
        <w:rPr>
          <w:rFonts w:ascii="Calibri" w:eastAsia="Calibri" w:hAnsi="Calibri" w:cs="Calibri"/>
        </w:rPr>
      </w:pPr>
      <w:r w:rsidRPr="00C461A5">
        <w:rPr>
          <w:rFonts w:ascii="Calibri" w:eastAsia="Calibri" w:hAnsi="Calibri" w:cs="Calibri"/>
          <w:b/>
          <w:bCs/>
        </w:rPr>
        <w:t xml:space="preserve">Response: </w:t>
      </w:r>
      <w:r w:rsidR="0077488F">
        <w:rPr>
          <w:rFonts w:ascii="Calibri" w:eastAsia="Calibri" w:hAnsi="Calibri" w:cs="Calibri"/>
        </w:rPr>
        <w:t xml:space="preserve">Thanks for the comments. We modified </w:t>
      </w:r>
      <w:r w:rsidR="001B44CF">
        <w:rPr>
          <w:rFonts w:ascii="Calibri" w:eastAsia="Calibri" w:hAnsi="Calibri" w:cs="Calibri"/>
        </w:rPr>
        <w:t xml:space="preserve">Section 6. “Conclusion” </w:t>
      </w:r>
      <w:r w:rsidR="00E77CAF">
        <w:rPr>
          <w:rFonts w:ascii="Calibri" w:eastAsia="Calibri" w:hAnsi="Calibri" w:cs="Calibri"/>
        </w:rPr>
        <w:t>to more concisely synthesize the study summary and focus on the implication of the analysis and takeaway messages</w:t>
      </w:r>
      <w:r w:rsidR="00163554">
        <w:rPr>
          <w:rFonts w:ascii="Calibri" w:eastAsia="Calibri" w:hAnsi="Calibri" w:cs="Calibri"/>
        </w:rPr>
        <w:t xml:space="preserve">. We also added the future work planned that aims to address the limitations of the study as suggested by the comment below. </w:t>
      </w:r>
    </w:p>
    <w:p w14:paraId="5DA8C31F" w14:textId="342DAC99" w:rsidR="00B362EE" w:rsidRPr="00B362EE" w:rsidRDefault="00B362EE" w:rsidP="00B362EE">
      <w:pPr>
        <w:spacing w:before="240"/>
        <w:jc w:val="both"/>
        <w:rPr>
          <w:rFonts w:ascii="Calibri" w:eastAsia="Calibri" w:hAnsi="Calibri" w:cs="Calibri"/>
          <w:i/>
          <w:iCs/>
          <w:u w:val="single"/>
          <w:lang w:val="en-US"/>
        </w:rPr>
      </w:pPr>
      <w:r>
        <w:rPr>
          <w:rFonts w:ascii="Calibri" w:eastAsia="Calibri" w:hAnsi="Calibri" w:cs="Calibri"/>
        </w:rPr>
        <w:t>The highlighted takeaway message from the conclusion is: “</w:t>
      </w:r>
      <w:r w:rsidRPr="00B362EE">
        <w:rPr>
          <w:rFonts w:ascii="Calibri" w:eastAsia="Calibri" w:hAnsi="Calibri" w:cs="Calibri"/>
          <w:i/>
          <w:iCs/>
          <w:u w:val="single"/>
          <w:lang w:val="en-US"/>
        </w:rPr>
        <w:t xml:space="preserve">A profound implication of these findings is that with a growing trend of increasing onsite renewable generation in buildings as a retrofit measure, our study results highlight a critical discrepancy that net-zero energy buildings do not necessarily guarantee a building is net-zero carbon in operation. Especially in solar-dominant regions where grid emission rates vary significantly in time. The problem is especially pronounced when evaluating avoided emissions for grid exports, which needs to be assessed separately from operational impact. Due to the intermittency of the utility export, the use of temporally coarse emission factors introduces substantial uncertainty and can misrepresent environmental benefits. The same implication also applies when quantifying avoided emissions for efficiency retrofit and load shift retrofit measures where the intervention effect also varies in time. </w:t>
      </w:r>
      <w:r>
        <w:rPr>
          <w:rFonts w:ascii="Calibri" w:eastAsia="Calibri" w:hAnsi="Calibri" w:cs="Calibri"/>
          <w:i/>
          <w:iCs/>
          <w:u w:val="single"/>
          <w:lang w:val="en-US"/>
        </w:rPr>
        <w:t>“</w:t>
      </w:r>
    </w:p>
    <w:p w14:paraId="19685189" w14:textId="4C64F13E" w:rsidR="00306207" w:rsidRPr="00163554" w:rsidRDefault="00163554" w:rsidP="00B362EE">
      <w:pPr>
        <w:spacing w:before="240" w:after="240"/>
        <w:jc w:val="both"/>
        <w:rPr>
          <w:rFonts w:ascii="Calibri" w:eastAsia="Calibri" w:hAnsi="Calibri" w:cs="Calibri"/>
          <w:lang w:val="en-US"/>
        </w:rPr>
      </w:pPr>
      <w:r>
        <w:rPr>
          <w:rFonts w:ascii="Calibri" w:eastAsia="Calibri" w:hAnsi="Calibri" w:cs="Calibri"/>
        </w:rPr>
        <w:lastRenderedPageBreak/>
        <w:t xml:space="preserve">The </w:t>
      </w:r>
      <w:r w:rsidR="00B362EE">
        <w:rPr>
          <w:rFonts w:ascii="Calibri" w:eastAsia="Calibri" w:hAnsi="Calibri" w:cs="Calibri"/>
        </w:rPr>
        <w:t>added future work to the conclusion</w:t>
      </w:r>
      <w:r>
        <w:rPr>
          <w:rFonts w:ascii="Calibri" w:eastAsia="Calibri" w:hAnsi="Calibri" w:cs="Calibri"/>
        </w:rPr>
        <w:t xml:space="preserve"> is shown below: “</w:t>
      </w:r>
      <w:r w:rsidR="00B362EE" w:rsidRPr="00B362EE">
        <w:rPr>
          <w:rFonts w:ascii="Calibri" w:eastAsia="Calibri" w:hAnsi="Calibri" w:cs="Calibri"/>
          <w:i/>
          <w:iCs/>
          <w:u w:val="single"/>
          <w:lang w:val="en-US"/>
        </w:rPr>
        <w:t>Future work should incorporate dynamic building energy-use projections that account for climate change, evolving occupancy patterns, and behavioral shifts, which were treated as static in this analysis. In addition, this study applied the open-source dataset of measured building electricity as an aggregated group across all grid regions, potentially underrepresenting climate-specific construction and operational characteristics. Future analyses should therefore integrate regionally calibrated models to more accurately capture geographic variability in building performance and grid interactions.</w:t>
      </w:r>
      <w:r>
        <w:rPr>
          <w:rFonts w:ascii="Calibri" w:eastAsia="Calibri" w:hAnsi="Calibri" w:cs="Calibri"/>
        </w:rPr>
        <w:t>”</w:t>
      </w:r>
      <w:r w:rsidR="001B44CF">
        <w:rPr>
          <w:rFonts w:ascii="Calibri" w:eastAsia="Calibri" w:hAnsi="Calibri" w:cs="Calibri"/>
        </w:rPr>
        <w:t xml:space="preserve"> </w:t>
      </w:r>
    </w:p>
    <w:p w14:paraId="513B7E39" w14:textId="1BC77245" w:rsidR="00306207" w:rsidRPr="00BC50C8" w:rsidRDefault="00306207" w:rsidP="00306207">
      <w:pPr>
        <w:pStyle w:val="ListParagraph"/>
        <w:numPr>
          <w:ilvl w:val="0"/>
          <w:numId w:val="1"/>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Although the authors have highlighted main limitations of their work in section 5.4. "Limitations of this Study," but they are recommended to briefly identify key avenues for future work in section 6. "Conclusion".</w:t>
      </w:r>
    </w:p>
    <w:p w14:paraId="34A47D09" w14:textId="0144090B" w:rsidR="000F3400" w:rsidRPr="000F3400" w:rsidRDefault="00C461A5" w:rsidP="000F3400">
      <w:pPr>
        <w:spacing w:before="240" w:after="240"/>
        <w:jc w:val="both"/>
        <w:rPr>
          <w:rFonts w:ascii="Calibri" w:eastAsia="Calibri" w:hAnsi="Calibri" w:cs="Calibri"/>
          <w:b/>
          <w:bCs/>
        </w:rPr>
      </w:pPr>
      <w:r w:rsidRPr="00C461A5">
        <w:rPr>
          <w:rFonts w:ascii="Calibri" w:eastAsia="Calibri" w:hAnsi="Calibri" w:cs="Calibri"/>
          <w:b/>
          <w:bCs/>
        </w:rPr>
        <w:t xml:space="preserve">Response: </w:t>
      </w:r>
      <w:r w:rsidR="00C219B4" w:rsidRPr="00C219B4">
        <w:rPr>
          <w:rFonts w:ascii="Calibri" w:eastAsia="Calibri" w:hAnsi="Calibri" w:cs="Calibri"/>
        </w:rPr>
        <w:t xml:space="preserve">Thanks </w:t>
      </w:r>
      <w:r w:rsidR="00C219B4">
        <w:rPr>
          <w:rFonts w:ascii="Calibri" w:eastAsia="Calibri" w:hAnsi="Calibri" w:cs="Calibri"/>
        </w:rPr>
        <w:t xml:space="preserve">for the suggestion. We have addressed the </w:t>
      </w:r>
      <w:r w:rsidR="00393AFE">
        <w:rPr>
          <w:rFonts w:ascii="Calibri" w:eastAsia="Calibri" w:hAnsi="Calibri" w:cs="Calibri"/>
        </w:rPr>
        <w:t>comments together with the previous comments regarding the Section 6. “Conclusion”. As responded above, we have edited the original section and added potential future work</w:t>
      </w:r>
      <w:r w:rsidR="0077488F">
        <w:rPr>
          <w:rFonts w:ascii="Calibri" w:eastAsia="Calibri" w:hAnsi="Calibri" w:cs="Calibri"/>
        </w:rPr>
        <w:t>.</w:t>
      </w:r>
    </w:p>
    <w:p w14:paraId="726636C2" w14:textId="77777777" w:rsidR="00306207" w:rsidRDefault="00306207" w:rsidP="0096408C">
      <w:pPr>
        <w:pStyle w:val="Heading2"/>
        <w:jc w:val="both"/>
      </w:pPr>
      <w:r w:rsidRPr="00B740D6">
        <w:t>Reviewer 2</w:t>
      </w:r>
    </w:p>
    <w:p w14:paraId="098E6FA6"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abstract and highlights must be precisely aligned. Currently, the abstract states median errors for season-hour/month-hour factors are "typically less than 5%," but the highlights claim they "provide the most reliable balance." The highlights should be revised to quantitatively reflect the key finding of the 5% error threshold. Rephrase the highlights to state: "Season-hour and month-hour average emission factors deliver sufficient accuracy with median errors typically below 5%, providing the best practical balance for accounting."</w:t>
      </w:r>
    </w:p>
    <w:p w14:paraId="06097138" w14:textId="60A8F1C7" w:rsidR="00306207" w:rsidRPr="00F70ED5" w:rsidRDefault="00F70ED5" w:rsidP="0096408C">
      <w:pPr>
        <w:spacing w:before="240" w:after="240"/>
        <w:jc w:val="both"/>
        <w:rPr>
          <w:rFonts w:ascii="Calibri" w:eastAsia="Calibri" w:hAnsi="Calibri" w:cs="Calibri"/>
          <w:lang w:val="en-US"/>
        </w:rPr>
      </w:pPr>
      <w:r>
        <w:rPr>
          <w:rFonts w:ascii="Calibri" w:eastAsia="Calibri" w:hAnsi="Calibri" w:cs="Calibri"/>
          <w:b/>
          <w:bCs/>
          <w:lang w:val="en-US"/>
        </w:rPr>
        <w:t xml:space="preserve">Response: </w:t>
      </w:r>
      <w:r w:rsidRPr="00F70ED5">
        <w:rPr>
          <w:rFonts w:ascii="Calibri" w:eastAsia="Calibri" w:hAnsi="Calibri" w:cs="Calibri"/>
          <w:lang w:val="en-US"/>
        </w:rPr>
        <w:t xml:space="preserve">Thanks for the comments. We have </w:t>
      </w:r>
      <w:r>
        <w:rPr>
          <w:rFonts w:ascii="Calibri" w:eastAsia="Calibri" w:hAnsi="Calibri" w:cs="Calibri"/>
          <w:lang w:val="en-US"/>
        </w:rPr>
        <w:t xml:space="preserve">revised the highlights based on the suggestion to align with the results provided in the abstract </w:t>
      </w:r>
      <w:proofErr w:type="gramStart"/>
      <w:r>
        <w:rPr>
          <w:rFonts w:ascii="Calibri" w:eastAsia="Calibri" w:hAnsi="Calibri" w:cs="Calibri"/>
          <w:lang w:val="en-US"/>
        </w:rPr>
        <w:t>and also</w:t>
      </w:r>
      <w:proofErr w:type="gramEnd"/>
      <w:r>
        <w:rPr>
          <w:rFonts w:ascii="Calibri" w:eastAsia="Calibri" w:hAnsi="Calibri" w:cs="Calibri"/>
          <w:lang w:val="en-US"/>
        </w:rPr>
        <w:t xml:space="preserve"> the results section of the paper. </w:t>
      </w:r>
    </w:p>
    <w:p w14:paraId="314465B5"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introduction's background on decarbonization pathways (Section 1.1) is too general and reads like a broad literature review. Sharpen its focus to directly establish why temporal variability of the grid is a problem for building emission accounting. Condense this section and merge relevant points into Section 1.2 (Temporal accuracy) to create a more cohesive and forceful argument for the study's necessity.</w:t>
      </w:r>
    </w:p>
    <w:p w14:paraId="27FE8D26" w14:textId="19DFB2BA" w:rsidR="00306207" w:rsidRPr="00347F97" w:rsidRDefault="00347F97" w:rsidP="0096408C">
      <w:pPr>
        <w:jc w:val="both"/>
        <w:rPr>
          <w:rFonts w:ascii="Calibri" w:eastAsia="Calibri" w:hAnsi="Calibri" w:cs="Calibri"/>
        </w:rPr>
      </w:pPr>
      <w:r>
        <w:rPr>
          <w:rFonts w:ascii="Calibri" w:eastAsia="Calibri" w:hAnsi="Calibri" w:cs="Calibri"/>
          <w:b/>
          <w:bCs/>
        </w:rPr>
        <w:t xml:space="preserve">Response: </w:t>
      </w:r>
      <w:r w:rsidRPr="00347F97">
        <w:rPr>
          <w:rFonts w:ascii="Calibri" w:eastAsia="Calibri" w:hAnsi="Calibri" w:cs="Calibri"/>
        </w:rPr>
        <w:t xml:space="preserve">Thanks for the comments. </w:t>
      </w:r>
      <w:r w:rsidR="007543B4">
        <w:rPr>
          <w:rFonts w:ascii="Calibri" w:eastAsia="Calibri" w:hAnsi="Calibri" w:cs="Calibri"/>
        </w:rPr>
        <w:t xml:space="preserve">We </w:t>
      </w:r>
      <w:r w:rsidR="00ED7A0A">
        <w:rPr>
          <w:rFonts w:ascii="Calibri" w:eastAsia="Calibri" w:hAnsi="Calibri" w:cs="Calibri"/>
        </w:rPr>
        <w:t>separated the original Section 1.1 “Decarbonization pathway” and merged contents describing general decarbonization goals and pathways to the previous section 1. “Introduction” for more general background, and merged contents describing retrofit assessments and potential intermittency to the following section (originally named as Section 1.2 “Temporal accuracy”), which is now renamed as Section 1.1 “Temporal sensitivity impact on decarbonization pathway”.</w:t>
      </w:r>
      <w:r w:rsidR="003A504D">
        <w:rPr>
          <w:rFonts w:ascii="Calibri" w:eastAsia="Calibri" w:hAnsi="Calibri" w:cs="Calibri"/>
        </w:rPr>
        <w:t xml:space="preserve"> This new section has more cohesive focus and discussion for the study’s necessity and existing gaps.</w:t>
      </w:r>
    </w:p>
    <w:p w14:paraId="6E3F3470"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lastRenderedPageBreak/>
        <w:t>The rationale for exclusively using Long-Run Marginal Emission Rates (LRMER) and excluding Short-Run Marginal Emission Rates (SRMER) is inadequately justified. The argument that SRMER may "over-predict" emissions for future profiles is insufficient. Provide a more robust justification with citations, or alternatively, include a sensitivity analysis in the supplementary material showing why LRMER was chosen for this accounting-focused study, contrasting it with potential results using SRMER.</w:t>
      </w:r>
    </w:p>
    <w:p w14:paraId="0FF84C4D" w14:textId="77777777" w:rsidR="00765002" w:rsidRDefault="00711008" w:rsidP="0096408C">
      <w:pPr>
        <w:jc w:val="both"/>
        <w:rPr>
          <w:rFonts w:ascii="Calibri" w:eastAsia="Calibri" w:hAnsi="Calibri" w:cs="Calibri"/>
        </w:rPr>
      </w:pPr>
      <w:r>
        <w:rPr>
          <w:rFonts w:ascii="Calibri" w:eastAsia="Calibri" w:hAnsi="Calibri" w:cs="Calibri"/>
          <w:b/>
          <w:bCs/>
        </w:rPr>
        <w:t xml:space="preserve">Response: </w:t>
      </w:r>
      <w:r w:rsidR="00EC2285" w:rsidRPr="00EC2285">
        <w:rPr>
          <w:rFonts w:ascii="Calibri" w:eastAsia="Calibri" w:hAnsi="Calibri" w:cs="Calibri"/>
        </w:rPr>
        <w:t xml:space="preserve">Thanks for the comments. </w:t>
      </w:r>
      <w:r w:rsidR="00EC2285">
        <w:rPr>
          <w:rFonts w:ascii="Calibri" w:eastAsia="Calibri" w:hAnsi="Calibri" w:cs="Calibri"/>
        </w:rPr>
        <w:t xml:space="preserve">We agreed that it is a limitation to our study methodology and we haven’t addressed the assumptions sufficiently in the original version of the paper. Based on the suggestion, we believe adding additional literature review on the comparison between SRMER and LRMER on Section 1.2 “Average and marginal carbon emission rates”. </w:t>
      </w:r>
    </w:p>
    <w:p w14:paraId="4F4322ED" w14:textId="270F12DD" w:rsidR="002A03F7" w:rsidRDefault="00EC2285" w:rsidP="0096408C">
      <w:pPr>
        <w:spacing w:before="240"/>
        <w:jc w:val="both"/>
        <w:rPr>
          <w:rFonts w:ascii="Calibri" w:eastAsia="Calibri" w:hAnsi="Calibri" w:cs="Calibri"/>
        </w:rPr>
      </w:pPr>
      <w:r>
        <w:rPr>
          <w:rFonts w:ascii="Calibri" w:eastAsia="Calibri" w:hAnsi="Calibri" w:cs="Calibri"/>
        </w:rPr>
        <w:t xml:space="preserve">The added contents are: </w:t>
      </w:r>
      <w:r w:rsidRPr="00E75C44">
        <w:rPr>
          <w:rFonts w:ascii="Calibri" w:eastAsia="Calibri" w:hAnsi="Calibri" w:cs="Calibri"/>
          <w:i/>
          <w:iCs/>
          <w:u w:val="single"/>
        </w:rPr>
        <w:t>“</w:t>
      </w:r>
      <w:r w:rsidR="00E75C44" w:rsidRPr="00E75C44">
        <w:rPr>
          <w:rFonts w:ascii="Calibri" w:eastAsia="Calibri" w:hAnsi="Calibri" w:cs="Calibri"/>
          <w:i/>
          <w:iCs/>
          <w:u w:val="single"/>
        </w:rPr>
        <w:t>This is because SRMER relies on dispatch models where incremental load is typically met by natural gas and coal plants [17]. For instance, energy storage can increase near-term emissions by enabling natural gas utilization more often, despite its long-term benefits in reducing GHG emissions [18]. Consequently, LRMER is more appropriate for future projections, as it accounts for structural investment effects, such as capacity additions and retirements, which are essential for net-zero assessments [19]</w:t>
      </w:r>
      <w:r w:rsidR="00E75C44">
        <w:rPr>
          <w:rFonts w:ascii="Calibri" w:eastAsia="Calibri" w:hAnsi="Calibri" w:cs="Calibri"/>
          <w:i/>
          <w:iCs/>
          <w:u w:val="single"/>
        </w:rPr>
        <w:t>.</w:t>
      </w:r>
      <w:r w:rsidRPr="00E75C44">
        <w:rPr>
          <w:rFonts w:ascii="Calibri" w:eastAsia="Calibri" w:hAnsi="Calibri" w:cs="Calibri"/>
          <w:i/>
          <w:iCs/>
          <w:u w:val="single"/>
        </w:rPr>
        <w:t>”</w:t>
      </w:r>
      <w:r w:rsidR="00E75C44">
        <w:rPr>
          <w:rFonts w:ascii="Calibri" w:eastAsia="Calibri" w:hAnsi="Calibri" w:cs="Calibri"/>
        </w:rPr>
        <w:t xml:space="preserve"> We added three additional references that verify our assumptions of using long-run marginal emission rates for the study assessment:</w:t>
      </w:r>
    </w:p>
    <w:p w14:paraId="17FA1892" w14:textId="1808EC87" w:rsidR="00F902FF" w:rsidRPr="00F902FF" w:rsidRDefault="00F902FF" w:rsidP="0096408C">
      <w:pPr>
        <w:spacing w:before="240"/>
        <w:rPr>
          <w:rFonts w:ascii="Calibri" w:eastAsia="Calibri" w:hAnsi="Calibri" w:cs="Calibri"/>
        </w:rPr>
      </w:pPr>
      <w:r w:rsidRPr="00F902FF">
        <w:rPr>
          <w:rFonts w:ascii="Calibri" w:eastAsia="Calibri" w:hAnsi="Calibri" w:cs="Calibri"/>
        </w:rPr>
        <w:t>[17] P. Gagnon, J. Bistline, M. Alexander, and W. Cole, “Short-run marginal emission rates omit important impacts of electric-sector interventions,” Proceedings of the National Academy of Sciences,</w:t>
      </w:r>
    </w:p>
    <w:p w14:paraId="65FE3B94" w14:textId="0EC46FC0" w:rsidR="00F902FF" w:rsidRPr="00F902FF" w:rsidRDefault="00F902FF" w:rsidP="0096408C">
      <w:pPr>
        <w:rPr>
          <w:rFonts w:ascii="Calibri" w:eastAsia="Calibri" w:hAnsi="Calibri" w:cs="Calibri"/>
        </w:rPr>
      </w:pPr>
      <w:r w:rsidRPr="00F902FF">
        <w:rPr>
          <w:rFonts w:ascii="Calibri" w:eastAsia="Calibri" w:hAnsi="Calibri" w:cs="Calibri"/>
        </w:rPr>
        <w:t xml:space="preserve">vol. 119, Nov. 28, 2022. doi: </w:t>
      </w:r>
      <w:hyperlink r:id="rId7" w:history="1">
        <w:r w:rsidRPr="00F442CD">
          <w:rPr>
            <w:rStyle w:val="Hyperlink"/>
            <w:rFonts w:ascii="Calibri" w:eastAsia="Calibri" w:hAnsi="Calibri" w:cs="Calibri"/>
          </w:rPr>
          <w:t>https://doi.org/10.1073/pnas.2211624119</w:t>
        </w:r>
      </w:hyperlink>
      <w:r w:rsidRPr="00F902FF">
        <w:rPr>
          <w:rFonts w:ascii="Calibri" w:eastAsia="Calibri" w:hAnsi="Calibri" w:cs="Calibri"/>
        </w:rPr>
        <w:t>.</w:t>
      </w:r>
    </w:p>
    <w:p w14:paraId="6AF7D623" w14:textId="077D1122" w:rsidR="001F0C03" w:rsidRDefault="00F902FF" w:rsidP="0096408C">
      <w:pPr>
        <w:spacing w:before="240"/>
        <w:rPr>
          <w:rFonts w:ascii="Calibri" w:eastAsia="Calibri" w:hAnsi="Calibri" w:cs="Calibri"/>
        </w:rPr>
      </w:pPr>
      <w:r w:rsidRPr="00F902FF">
        <w:rPr>
          <w:rFonts w:ascii="Calibri" w:eastAsia="Calibri" w:hAnsi="Calibri" w:cs="Calibri"/>
        </w:rPr>
        <w:t>[18] J. E. T. Bistline and D. T. Young, “Emissions impacts of future battery storage deployment on</w:t>
      </w:r>
      <w:r w:rsidR="001F0C03">
        <w:rPr>
          <w:rFonts w:ascii="Calibri" w:eastAsia="Calibri" w:hAnsi="Calibri" w:cs="Calibri"/>
        </w:rPr>
        <w:t xml:space="preserve"> </w:t>
      </w:r>
      <w:r w:rsidRPr="00F902FF">
        <w:rPr>
          <w:rFonts w:ascii="Calibri" w:eastAsia="Calibri" w:hAnsi="Calibri" w:cs="Calibri"/>
        </w:rPr>
        <w:t>regional power systems,” Applied Energy, vol. 264, Apr. 15, 2020.</w:t>
      </w:r>
      <w:r w:rsidR="0096408C">
        <w:rPr>
          <w:rFonts w:ascii="Calibri" w:eastAsia="Calibri" w:hAnsi="Calibri" w:cs="Calibri"/>
        </w:rPr>
        <w:t xml:space="preserve"> </w:t>
      </w:r>
      <w:r w:rsidRPr="00F902FF">
        <w:rPr>
          <w:rFonts w:ascii="Calibri" w:eastAsia="Calibri" w:hAnsi="Calibri" w:cs="Calibri"/>
        </w:rPr>
        <w:t>doi:</w:t>
      </w:r>
      <w:r w:rsidR="0096408C">
        <w:rPr>
          <w:rFonts w:ascii="Calibri" w:eastAsia="Calibri" w:hAnsi="Calibri" w:cs="Calibri"/>
        </w:rPr>
        <w:t xml:space="preserve"> </w:t>
      </w:r>
      <w:hyperlink r:id="rId8" w:history="1">
        <w:r w:rsidR="0096408C" w:rsidRPr="00C770D1">
          <w:rPr>
            <w:rStyle w:val="Hyperlink"/>
            <w:rFonts w:ascii="Calibri" w:eastAsia="Calibri" w:hAnsi="Calibri" w:cs="Calibri"/>
          </w:rPr>
          <w:t>https://doi.org/10.1016/j.apenergy.2020.114678</w:t>
        </w:r>
      </w:hyperlink>
      <w:r w:rsidRPr="00F902FF">
        <w:rPr>
          <w:rFonts w:ascii="Calibri" w:eastAsia="Calibri" w:hAnsi="Calibri" w:cs="Calibri"/>
        </w:rPr>
        <w:t>.</w:t>
      </w:r>
    </w:p>
    <w:p w14:paraId="4071A9E8" w14:textId="01FD3C1D" w:rsidR="00F902FF" w:rsidRPr="00F902FF" w:rsidRDefault="00F902FF" w:rsidP="0096408C">
      <w:pPr>
        <w:spacing w:before="240"/>
        <w:rPr>
          <w:rFonts w:ascii="Calibri" w:eastAsia="Calibri" w:hAnsi="Calibri" w:cs="Calibri"/>
        </w:rPr>
      </w:pPr>
      <w:r w:rsidRPr="00F902FF">
        <w:rPr>
          <w:rFonts w:ascii="Calibri" w:eastAsia="Calibri" w:hAnsi="Calibri" w:cs="Calibri"/>
        </w:rPr>
        <w:t>[19] A. D. Hawkes, “Long-run marginal CO2 emissions factors in national electricity systems,” Applied</w:t>
      </w:r>
    </w:p>
    <w:p w14:paraId="5D043EFF" w14:textId="6D3E6EE2" w:rsidR="00F902FF" w:rsidRPr="00EC2285" w:rsidRDefault="00F902FF" w:rsidP="0096408C">
      <w:pPr>
        <w:rPr>
          <w:rFonts w:ascii="Calibri" w:eastAsia="Calibri" w:hAnsi="Calibri" w:cs="Calibri"/>
        </w:rPr>
      </w:pPr>
      <w:r w:rsidRPr="00F902FF">
        <w:rPr>
          <w:rFonts w:ascii="Calibri" w:eastAsia="Calibri" w:hAnsi="Calibri" w:cs="Calibri"/>
        </w:rPr>
        <w:t xml:space="preserve">Energy, vol. 125, Jul. 15, 2014. doi: </w:t>
      </w:r>
      <w:hyperlink r:id="rId9" w:history="1">
        <w:r w:rsidRPr="00F442CD">
          <w:rPr>
            <w:rStyle w:val="Hyperlink"/>
            <w:rFonts w:ascii="Calibri" w:eastAsia="Calibri" w:hAnsi="Calibri" w:cs="Calibri"/>
          </w:rPr>
          <w:t>https://doi.org/10.1016/j.apenergy.2014.03.060</w:t>
        </w:r>
      </w:hyperlink>
      <w:r w:rsidRPr="00F902FF">
        <w:rPr>
          <w:rFonts w:ascii="Calibri" w:eastAsia="Calibri" w:hAnsi="Calibri" w:cs="Calibri"/>
        </w:rPr>
        <w:t>.</w:t>
      </w:r>
      <w:r w:rsidR="00E75C44">
        <w:rPr>
          <w:rFonts w:ascii="Calibri" w:eastAsia="Calibri" w:hAnsi="Calibri" w:cs="Calibri"/>
        </w:rPr>
        <w:t xml:space="preserve"> </w:t>
      </w:r>
    </w:p>
    <w:p w14:paraId="6D3913EA"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methodology flowchart (Figure 1) is referenced but not included in the main manuscript text provided for review. This is a critical omission. The flowchart must be included in the main manuscript to allow proper evaluation of the process. Ensure all figures are correctly placed and referenced in the main text.</w:t>
      </w:r>
    </w:p>
    <w:p w14:paraId="41BDE9E6" w14:textId="378ABF59" w:rsidR="00306207" w:rsidRPr="00306207" w:rsidRDefault="00EC2285" w:rsidP="0096408C">
      <w:pPr>
        <w:jc w:val="both"/>
        <w:rPr>
          <w:rFonts w:ascii="Calibri" w:eastAsia="Calibri" w:hAnsi="Calibri" w:cs="Calibri"/>
          <w:b/>
          <w:bCs/>
        </w:rPr>
      </w:pPr>
      <w:r>
        <w:rPr>
          <w:rFonts w:ascii="Calibri" w:eastAsia="Calibri" w:hAnsi="Calibri" w:cs="Calibri"/>
          <w:b/>
          <w:bCs/>
        </w:rPr>
        <w:t xml:space="preserve">Response: </w:t>
      </w:r>
      <w:r w:rsidR="00845583" w:rsidRPr="00845583">
        <w:rPr>
          <w:rFonts w:ascii="Calibri" w:eastAsia="Calibri" w:hAnsi="Calibri" w:cs="Calibri"/>
        </w:rPr>
        <w:t xml:space="preserve">Thanks </w:t>
      </w:r>
      <w:r w:rsidR="00845583">
        <w:rPr>
          <w:rFonts w:ascii="Calibri" w:eastAsia="Calibri" w:hAnsi="Calibri" w:cs="Calibri"/>
        </w:rPr>
        <w:t xml:space="preserve">for the comment. </w:t>
      </w:r>
    </w:p>
    <w:p w14:paraId="5F32ED4A"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 xml:space="preserve">The description of the "ground truth" is confusing. The manuscript uses hourly emission factors as the reference but then admits these are themselves projections based on historical weather data (Section 5.1). This is a significant limitation that undermines the premise of a "ground truth." You must explicitly reframe this in the methodology. State </w:t>
      </w:r>
      <w:r w:rsidRPr="00BC50C8">
        <w:rPr>
          <w:rFonts w:ascii="Calibri" w:eastAsia="Calibri" w:hAnsi="Calibri" w:cs="Calibri"/>
          <w:b/>
          <w:bCs/>
          <w:color w:val="4C94D8" w:themeColor="text2" w:themeTint="80"/>
        </w:rPr>
        <w:lastRenderedPageBreak/>
        <w:t>clearly that the hourly projection is used as a *high-resolution reference benchmark* for comparing lower-resolution averages, while openly discussing its limitations regarding weather synchronicity in Section 5.1.</w:t>
      </w:r>
    </w:p>
    <w:p w14:paraId="3FC6097F" w14:textId="7B31AEAE" w:rsidR="00306207" w:rsidRPr="00845583" w:rsidRDefault="00347F97" w:rsidP="0096408C">
      <w:pPr>
        <w:jc w:val="both"/>
        <w:rPr>
          <w:rFonts w:ascii="Calibri" w:eastAsia="Calibri" w:hAnsi="Calibri" w:cs="Calibri"/>
        </w:rPr>
      </w:pPr>
      <w:r>
        <w:rPr>
          <w:rFonts w:ascii="Calibri" w:eastAsia="Calibri" w:hAnsi="Calibri" w:cs="Calibri"/>
          <w:b/>
          <w:bCs/>
        </w:rPr>
        <w:t xml:space="preserve">Response: </w:t>
      </w:r>
      <w:r w:rsidR="00845583" w:rsidRPr="00845583">
        <w:rPr>
          <w:rFonts w:ascii="Calibri" w:eastAsia="Calibri" w:hAnsi="Calibri" w:cs="Calibri"/>
        </w:rPr>
        <w:t xml:space="preserve">Thanks </w:t>
      </w:r>
      <w:r w:rsidR="00845583">
        <w:rPr>
          <w:rFonts w:ascii="Calibri" w:eastAsia="Calibri" w:hAnsi="Calibri" w:cs="Calibri"/>
        </w:rPr>
        <w:t xml:space="preserve">for the suggested edits, we agreed that the use of ‘ground truth’ when referring </w:t>
      </w:r>
      <w:r w:rsidR="00D73F40">
        <w:rPr>
          <w:rFonts w:ascii="Calibri" w:eastAsia="Calibri" w:hAnsi="Calibri" w:cs="Calibri"/>
        </w:rPr>
        <w:t>to hourly emission rates can be confusing as they only serve as the most realistic estimation of future grid conditions. Therefore, we substitute the definition to ‘high-resolution reference benchmark’ or ‘reference benchmark’ in the main text and the abstract.</w:t>
      </w:r>
    </w:p>
    <w:p w14:paraId="46758E52"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results presentation is inefficient and repetitive. Presenting separate figures for CAISO, ERCOT, and PJM East for both operational and avoided emissions (Figures 5-10) makes the narrative lengthy. Synthesize these findings more effectively. Consider a unified figure panel showing error distributions for the three regions side-by-side for a key scenario (e.g., 2050, 100% PV), moving detailed individual plots to the supplementary material. The main text should focus on cross-region comparative analysis and insights.</w:t>
      </w:r>
    </w:p>
    <w:p w14:paraId="6957448C" w14:textId="77777777" w:rsidR="00765002" w:rsidRDefault="00D73F40" w:rsidP="0096408C">
      <w:pPr>
        <w:jc w:val="both"/>
        <w:rPr>
          <w:rFonts w:ascii="Calibri" w:eastAsia="Calibri" w:hAnsi="Calibri" w:cs="Calibri"/>
        </w:rPr>
      </w:pPr>
      <w:r>
        <w:rPr>
          <w:rFonts w:ascii="Calibri" w:eastAsia="Calibri" w:hAnsi="Calibri" w:cs="Calibri"/>
          <w:b/>
          <w:bCs/>
        </w:rPr>
        <w:t>Response:</w:t>
      </w:r>
      <w:r w:rsidR="001F0C03">
        <w:rPr>
          <w:rFonts w:ascii="Calibri" w:eastAsia="Calibri" w:hAnsi="Calibri" w:cs="Calibri"/>
          <w:b/>
          <w:bCs/>
        </w:rPr>
        <w:t xml:space="preserve"> </w:t>
      </w:r>
      <w:r w:rsidR="00D50767" w:rsidRPr="00D50767">
        <w:rPr>
          <w:rFonts w:ascii="Calibri" w:eastAsia="Calibri" w:hAnsi="Calibri" w:cs="Calibri"/>
        </w:rPr>
        <w:t xml:space="preserve">Thanks for the comment. </w:t>
      </w:r>
      <w:r w:rsidR="00D50767">
        <w:rPr>
          <w:rFonts w:ascii="Calibri" w:eastAsia="Calibri" w:hAnsi="Calibri" w:cs="Calibri"/>
        </w:rPr>
        <w:t xml:space="preserve">We originally attempted to develop a unified figure showing error distributions of selected sites, but the scale difference between CAISO and PJM East makes it challenging to compare results on the same figure. Therefore, we would like to remain the origin format that report findings and results separately for each grid region. </w:t>
      </w:r>
    </w:p>
    <w:p w14:paraId="26E1BA87" w14:textId="24B6E23A" w:rsidR="00306207" w:rsidRPr="00D50767" w:rsidRDefault="00D50767" w:rsidP="0096408C">
      <w:pPr>
        <w:spacing w:before="240"/>
        <w:jc w:val="both"/>
        <w:rPr>
          <w:rFonts w:ascii="Calibri" w:eastAsia="Calibri" w:hAnsi="Calibri" w:cs="Calibri"/>
        </w:rPr>
      </w:pPr>
      <w:r>
        <w:rPr>
          <w:rFonts w:ascii="Calibri" w:eastAsia="Calibri" w:hAnsi="Calibri" w:cs="Calibri"/>
        </w:rPr>
        <w:t xml:space="preserve">However, we also agree with the reviewer that the original formatting of the result section is also repetitive and lengthy, especially </w:t>
      </w:r>
      <w:r w:rsidR="00765002">
        <w:rPr>
          <w:rFonts w:ascii="Calibri" w:eastAsia="Calibri" w:hAnsi="Calibri" w:cs="Calibri"/>
        </w:rPr>
        <w:t>with all three grid regions plotting the accounting results of using average emission factors and marginal emission factors. Therefore, in the updated version, we only kept both assessment results for CAISO grid region as an example (Figure 5 and Figure 6</w:t>
      </w:r>
      <w:proofErr w:type="gramStart"/>
      <w:r w:rsidR="00765002">
        <w:rPr>
          <w:rFonts w:ascii="Calibri" w:eastAsia="Calibri" w:hAnsi="Calibri" w:cs="Calibri"/>
        </w:rPr>
        <w:t>), but</w:t>
      </w:r>
      <w:proofErr w:type="gramEnd"/>
      <w:r w:rsidR="00765002">
        <w:rPr>
          <w:rFonts w:ascii="Calibri" w:eastAsia="Calibri" w:hAnsi="Calibri" w:cs="Calibri"/>
        </w:rPr>
        <w:t xml:space="preserve"> removed the marginal emission factors results for the other two grid regions to the supplementary material (Figure 8 and Figure 10). </w:t>
      </w:r>
    </w:p>
    <w:p w14:paraId="06DD8264"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 xml:space="preserve">The discussion on "Weather synchronization" (Section 5.1) is critical but currently buried. This is not just a limitation but a fundamental methodological constraint affecting the entire premise of using any time-resolved emission factor. Elevate the importance of this discussion. Integrate its core challenge earlier, perhaps in the methodology section when defining the reference </w:t>
      </w:r>
      <w:proofErr w:type="gramStart"/>
      <w:r w:rsidRPr="00BC50C8">
        <w:rPr>
          <w:rFonts w:ascii="Calibri" w:eastAsia="Calibri" w:hAnsi="Calibri" w:cs="Calibri"/>
          <w:b/>
          <w:bCs/>
          <w:color w:val="4C94D8" w:themeColor="text2" w:themeTint="80"/>
        </w:rPr>
        <w:t>data, and</w:t>
      </w:r>
      <w:proofErr w:type="gramEnd"/>
      <w:r w:rsidRPr="00BC50C8">
        <w:rPr>
          <w:rFonts w:ascii="Calibri" w:eastAsia="Calibri" w:hAnsi="Calibri" w:cs="Calibri"/>
          <w:b/>
          <w:bCs/>
          <w:color w:val="4C94D8" w:themeColor="text2" w:themeTint="80"/>
        </w:rPr>
        <w:t xml:space="preserve"> expand on its implications for real-world policy application of your recommendations.</w:t>
      </w:r>
    </w:p>
    <w:p w14:paraId="7DB85179" w14:textId="77777777" w:rsidR="00BD6059" w:rsidRDefault="002B7C12" w:rsidP="0096408C">
      <w:pPr>
        <w:jc w:val="both"/>
        <w:rPr>
          <w:rFonts w:ascii="Calibri" w:eastAsia="Calibri" w:hAnsi="Calibri" w:cs="Calibri"/>
        </w:rPr>
      </w:pPr>
      <w:r>
        <w:rPr>
          <w:rFonts w:ascii="Calibri" w:eastAsia="Calibri" w:hAnsi="Calibri" w:cs="Calibri"/>
          <w:b/>
          <w:bCs/>
        </w:rPr>
        <w:t xml:space="preserve">Response: </w:t>
      </w:r>
      <w:r w:rsidR="00E8717B" w:rsidRPr="00E8717B">
        <w:rPr>
          <w:rFonts w:ascii="Calibri" w:eastAsia="Calibri" w:hAnsi="Calibri" w:cs="Calibri"/>
        </w:rPr>
        <w:t xml:space="preserve">Thanks for the </w:t>
      </w:r>
      <w:r w:rsidR="00E8717B">
        <w:rPr>
          <w:rFonts w:ascii="Calibri" w:eastAsia="Calibri" w:hAnsi="Calibri" w:cs="Calibri"/>
        </w:rPr>
        <w:t xml:space="preserve">suggestion. We </w:t>
      </w:r>
      <w:r w:rsidR="00030817">
        <w:rPr>
          <w:rFonts w:ascii="Calibri" w:eastAsia="Calibri" w:hAnsi="Calibri" w:cs="Calibri"/>
        </w:rPr>
        <w:t>moved the</w:t>
      </w:r>
      <w:r w:rsidR="00E8717B">
        <w:rPr>
          <w:rFonts w:ascii="Calibri" w:eastAsia="Calibri" w:hAnsi="Calibri" w:cs="Calibri"/>
        </w:rPr>
        <w:t xml:space="preserve"> </w:t>
      </w:r>
      <w:r w:rsidR="00030817">
        <w:rPr>
          <w:rFonts w:ascii="Calibri" w:eastAsia="Calibri" w:hAnsi="Calibri" w:cs="Calibri"/>
        </w:rPr>
        <w:t xml:space="preserve">weather discrepancy </w:t>
      </w:r>
      <w:r w:rsidR="00E8717B">
        <w:rPr>
          <w:rFonts w:ascii="Calibri" w:eastAsia="Calibri" w:hAnsi="Calibri" w:cs="Calibri"/>
        </w:rPr>
        <w:t>discussion contents</w:t>
      </w:r>
      <w:r w:rsidR="00030817">
        <w:rPr>
          <w:rFonts w:ascii="Calibri" w:eastAsia="Calibri" w:hAnsi="Calibri" w:cs="Calibri"/>
        </w:rPr>
        <w:t xml:space="preserve"> regarding the limitations associated with the use of hourly emission factors</w:t>
      </w:r>
      <w:r w:rsidR="00E8717B">
        <w:rPr>
          <w:rFonts w:ascii="Calibri" w:eastAsia="Calibri" w:hAnsi="Calibri" w:cs="Calibri"/>
        </w:rPr>
        <w:t xml:space="preserve"> in Section 5.1 “Weather synchronization” to Section 3.2 “Cambium 2024 dataset”</w:t>
      </w:r>
      <w:r w:rsidR="00030817">
        <w:rPr>
          <w:rFonts w:ascii="Calibri" w:eastAsia="Calibri" w:hAnsi="Calibri" w:cs="Calibri"/>
        </w:rPr>
        <w:t>. This would enhance the clarity of the methodology section</w:t>
      </w:r>
      <w:r w:rsidR="00BD6059">
        <w:rPr>
          <w:rFonts w:ascii="Calibri" w:eastAsia="Calibri" w:hAnsi="Calibri" w:cs="Calibri"/>
        </w:rPr>
        <w:t xml:space="preserve">: </w:t>
      </w:r>
      <w:r w:rsidR="00BD6059">
        <w:rPr>
          <w:rFonts w:ascii="Calibri" w:eastAsia="Calibri" w:hAnsi="Calibri" w:cs="Calibri"/>
          <w:i/>
          <w:iCs/>
          <w:u w:val="single"/>
          <w:lang w:val="en-US"/>
        </w:rPr>
        <w:t>“</w:t>
      </w:r>
      <w:r w:rsidR="00BD6059" w:rsidRPr="00BD6059">
        <w:rPr>
          <w:rFonts w:ascii="Calibri" w:eastAsia="Calibri" w:hAnsi="Calibri" w:cs="Calibri"/>
          <w:i/>
          <w:iCs/>
          <w:u w:val="single"/>
          <w:lang w:val="en-US"/>
        </w:rPr>
        <w:t xml:space="preserve">A key practical limitation </w:t>
      </w:r>
      <w:proofErr w:type="gramStart"/>
      <w:r w:rsidR="00BD6059" w:rsidRPr="00BD6059">
        <w:rPr>
          <w:rFonts w:ascii="Calibri" w:eastAsia="Calibri" w:hAnsi="Calibri" w:cs="Calibri"/>
          <w:i/>
          <w:iCs/>
          <w:u w:val="single"/>
          <w:lang w:val="en-US"/>
        </w:rPr>
        <w:t>and also</w:t>
      </w:r>
      <w:proofErr w:type="gramEnd"/>
      <w:r w:rsidR="00BD6059" w:rsidRPr="00BD6059">
        <w:rPr>
          <w:rFonts w:ascii="Calibri" w:eastAsia="Calibri" w:hAnsi="Calibri" w:cs="Calibri"/>
          <w:i/>
          <w:iCs/>
          <w:u w:val="single"/>
          <w:lang w:val="en-US"/>
        </w:rPr>
        <w:t xml:space="preserve"> constraint in applying hourly emission factors as the benchmark reference is their sensitivity to weather assumptions. Hourly grid emission rates are typically derived from production-cost or dispatch models calibrated using meteorological conditions from </w:t>
      </w:r>
      <w:r w:rsidR="00BD6059" w:rsidRPr="00BD6059">
        <w:rPr>
          <w:rFonts w:ascii="Calibri" w:eastAsia="Calibri" w:hAnsi="Calibri" w:cs="Calibri"/>
          <w:i/>
          <w:iCs/>
          <w:u w:val="single"/>
          <w:lang w:val="en-US"/>
        </w:rPr>
        <w:lastRenderedPageBreak/>
        <w:t>a specific historical year (or a limited set of years, such as those extracted from the Cambium dataset, which uses actual meteorological data from 2012). As a result, the temporal profile of renewable generation, load, and marginal unit dispatch embedded in these hourly factors reflects weather patterns that may not align with the actual weather experienced by buildings during the analysis period. This mismatch can introduce systematic discrepancies when hourly emission factors are paired with measured building electricity consumption from a different year or region, particularly under extreme or anomalous weather conditions.</w:t>
      </w:r>
      <w:r w:rsidR="00BD6059">
        <w:rPr>
          <w:rFonts w:ascii="Calibri" w:eastAsia="Calibri" w:hAnsi="Calibri" w:cs="Calibri"/>
          <w:i/>
          <w:iCs/>
          <w:u w:val="single"/>
          <w:lang w:val="en-US"/>
        </w:rPr>
        <w:t>”</w:t>
      </w:r>
      <w:r w:rsidR="00BD6059">
        <w:rPr>
          <w:rFonts w:ascii="Calibri" w:eastAsia="Calibri" w:hAnsi="Calibri" w:cs="Calibri"/>
        </w:rPr>
        <w:t xml:space="preserve"> </w:t>
      </w:r>
    </w:p>
    <w:p w14:paraId="7ADFE2E8" w14:textId="32BC5291" w:rsidR="00306207" w:rsidRPr="00E8717B" w:rsidRDefault="00030817" w:rsidP="00BD6059">
      <w:pPr>
        <w:spacing w:before="240"/>
        <w:jc w:val="both"/>
        <w:rPr>
          <w:rFonts w:ascii="Calibri" w:eastAsia="Calibri" w:hAnsi="Calibri" w:cs="Calibri"/>
        </w:rPr>
      </w:pPr>
      <w:r>
        <w:rPr>
          <w:rFonts w:ascii="Calibri" w:eastAsia="Calibri" w:hAnsi="Calibri" w:cs="Calibri"/>
        </w:rPr>
        <w:t xml:space="preserve">But we kept </w:t>
      </w:r>
      <w:r w:rsidR="00BD6059">
        <w:rPr>
          <w:rFonts w:ascii="Calibri" w:eastAsia="Calibri" w:hAnsi="Calibri" w:cs="Calibri"/>
        </w:rPr>
        <w:t xml:space="preserve">and modified </w:t>
      </w:r>
      <w:r>
        <w:rPr>
          <w:rFonts w:ascii="Calibri" w:eastAsia="Calibri" w:hAnsi="Calibri" w:cs="Calibri"/>
        </w:rPr>
        <w:t xml:space="preserve">the discussion of how season-hour and month-hour emission factors can mitigate such limitation in the original weather synchronization section as a </w:t>
      </w:r>
      <w:r w:rsidR="00BD6059">
        <w:rPr>
          <w:rFonts w:ascii="Calibri" w:eastAsia="Calibri" w:hAnsi="Calibri" w:cs="Calibri"/>
        </w:rPr>
        <w:t>concluding remark</w:t>
      </w:r>
      <w:r>
        <w:rPr>
          <w:rFonts w:ascii="Calibri" w:eastAsia="Calibri" w:hAnsi="Calibri" w:cs="Calibri"/>
        </w:rPr>
        <w:t xml:space="preserve"> of encouraging their us</w:t>
      </w:r>
      <w:r w:rsidR="00BD6059">
        <w:rPr>
          <w:rFonts w:ascii="Calibri" w:eastAsia="Calibri" w:hAnsi="Calibri" w:cs="Calibri"/>
        </w:rPr>
        <w:t>age: “</w:t>
      </w:r>
      <w:r w:rsidR="00BD6059" w:rsidRPr="00BD6059">
        <w:rPr>
          <w:rFonts w:ascii="Calibri" w:eastAsia="Calibri" w:hAnsi="Calibri" w:cs="Calibri"/>
          <w:i/>
          <w:iCs/>
          <w:u w:val="single"/>
          <w:lang w:val="en-US"/>
        </w:rPr>
        <w:t>Season-hour and month-hour average emissions factors partially mitigate this issue by aggregating emissions signals across repeated realizations of similar operating conditions (as shown in Figure 3). By averaging across all occurrences of a given hour within a season or month, these factors smooth out weather-driven volatility in renewable output, load, and dispatch that is highly sensitive to short-term meteorological variations. While they preserve diurnal structure and seasonal trends, such as midday solar availability or winter heating-driven peak, they reduce the influence of idiosyncratic weather events that may dominate individual hourly emissions estimates. Furthermore, this smoothing effect is particularly valuable when emissions accounting relies on measured building electricity data rather than co-simulated building–grid models. In such cases, analysts rarely have access to perfectly aligned weather years for both the emissions model and the building operation.</w:t>
      </w:r>
      <w:r w:rsidR="00BD6059">
        <w:rPr>
          <w:rFonts w:ascii="Calibri" w:eastAsia="Calibri" w:hAnsi="Calibri" w:cs="Calibri"/>
          <w:i/>
          <w:iCs/>
          <w:u w:val="single"/>
          <w:lang w:val="en-US"/>
        </w:rPr>
        <w:t>”</w:t>
      </w:r>
    </w:p>
    <w:p w14:paraId="5929240C"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policy implications (Section 5.3) are currently weak and vague. They must be made concrete and actionable. Instead of "should be used," frame them as specific recommendations for standards bodies (e.g., ASHRAE, ISO). For example: "We recommend that standards such as ASHRAE 228 explicitly mandate the use of season-hour or month-hour average emission factors for operational carbon accounting and prohibit the use of annual averages." Also, address the practical data availability challenge your recommendation implies.</w:t>
      </w:r>
    </w:p>
    <w:p w14:paraId="4D389055" w14:textId="0E05EE5D" w:rsidR="00C93701" w:rsidRDefault="004B17E8" w:rsidP="0096408C">
      <w:pPr>
        <w:jc w:val="both"/>
        <w:rPr>
          <w:rFonts w:ascii="Calibri" w:eastAsia="Calibri" w:hAnsi="Calibri" w:cs="Calibri"/>
        </w:rPr>
      </w:pPr>
      <w:r>
        <w:rPr>
          <w:rFonts w:ascii="Calibri" w:eastAsia="Calibri" w:hAnsi="Calibri" w:cs="Calibri"/>
          <w:b/>
          <w:bCs/>
        </w:rPr>
        <w:t xml:space="preserve">Response: </w:t>
      </w:r>
      <w:r w:rsidRPr="004B17E8">
        <w:rPr>
          <w:rFonts w:ascii="Calibri" w:eastAsia="Calibri" w:hAnsi="Calibri" w:cs="Calibri"/>
        </w:rPr>
        <w:t xml:space="preserve">Thanks for the suggestion. </w:t>
      </w:r>
      <w:r w:rsidR="00C93701">
        <w:rPr>
          <w:rFonts w:ascii="Calibri" w:eastAsia="Calibri" w:hAnsi="Calibri" w:cs="Calibri"/>
        </w:rPr>
        <w:t>We modified the policy implication section to make the recommendations more concrete and actionable for standard bodies. Here is the updated version:</w:t>
      </w:r>
    </w:p>
    <w:p w14:paraId="47344B42" w14:textId="77777777" w:rsidR="00C93701" w:rsidRPr="00C93701" w:rsidRDefault="00C93701" w:rsidP="00C93701">
      <w:pPr>
        <w:numPr>
          <w:ilvl w:val="0"/>
          <w:numId w:val="3"/>
        </w:numPr>
        <w:ind w:left="0" w:firstLine="360"/>
        <w:jc w:val="both"/>
        <w:rPr>
          <w:rFonts w:ascii="Calibri" w:eastAsia="Calibri" w:hAnsi="Calibri" w:cs="Calibri"/>
          <w:i/>
          <w:iCs/>
          <w:u w:val="single"/>
          <w:lang w:val="en-US"/>
        </w:rPr>
      </w:pPr>
      <w:r w:rsidRPr="00C93701">
        <w:rPr>
          <w:rFonts w:ascii="Calibri" w:eastAsia="Calibri" w:hAnsi="Calibri" w:cs="Calibri"/>
          <w:i/>
          <w:iCs/>
          <w:u w:val="single"/>
          <w:lang w:val="en-US"/>
        </w:rPr>
        <w:t xml:space="preserve">We recommend standards such as ASHRAE 228, EU EPBD and IEA </w:t>
      </w:r>
      <w:r w:rsidRPr="00C93701">
        <w:rPr>
          <w:rFonts w:ascii="Calibri" w:eastAsia="Calibri" w:hAnsi="Calibri" w:cs="Calibri"/>
          <w:i/>
          <w:iCs/>
          <w:u w:val="single"/>
        </w:rPr>
        <w:t xml:space="preserve">explicitly mandate the use of season-hour or month-hour average emission factors for operational carbon accounting and prohibit the use of annual averages. </w:t>
      </w:r>
      <w:r w:rsidRPr="00C93701">
        <w:rPr>
          <w:rFonts w:ascii="Calibri" w:eastAsia="Calibri" w:hAnsi="Calibri" w:cs="Calibri"/>
          <w:i/>
          <w:iCs/>
          <w:u w:val="single"/>
          <w:lang w:val="en-US"/>
        </w:rPr>
        <w:t>Exceptionally, those emission factors may not be suitable for real-time applications due to weather synchronization.</w:t>
      </w:r>
    </w:p>
    <w:p w14:paraId="0C70A496" w14:textId="4D86CB5B" w:rsidR="00C93701" w:rsidRPr="00C93701" w:rsidRDefault="00C93701" w:rsidP="00C93701">
      <w:pPr>
        <w:numPr>
          <w:ilvl w:val="0"/>
          <w:numId w:val="3"/>
        </w:numPr>
        <w:ind w:left="0" w:firstLine="360"/>
        <w:jc w:val="both"/>
        <w:rPr>
          <w:rFonts w:ascii="Calibri" w:eastAsia="Calibri" w:hAnsi="Calibri" w:cs="Calibri"/>
          <w:i/>
          <w:iCs/>
          <w:u w:val="single"/>
          <w:lang w:val="en-US"/>
        </w:rPr>
      </w:pPr>
      <w:r w:rsidRPr="00C93701">
        <w:rPr>
          <w:rFonts w:ascii="Calibri" w:eastAsia="Calibri" w:hAnsi="Calibri" w:cs="Calibri"/>
          <w:i/>
          <w:iCs/>
          <w:u w:val="single"/>
          <w:lang w:val="en-US"/>
        </w:rPr>
        <w:t>We further recommend that those standards explicitly decouple net-zero carbon buildings (NZCBs) from net-zero energy buildings (NZEBs). This decoupling action should include: (1) clear separation in reporting between lifecycle impacts associated with operational energy use (Module B6) and those associated with exported utilities (Module D2); and (2) mandatory use of season-hour or month-hour emission factors to assess environmental impact of each kWh of exported utility.</w:t>
      </w:r>
    </w:p>
    <w:p w14:paraId="413A71A2"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lastRenderedPageBreak/>
        <w:t>The limitation regarding Battery Energy Storage Systems (BESS) is correctly identified but handled too lightly. Given that BESS is a cornerstone for managing temporal grid variability and a key tool for NZCBs, its exclusion is significant. Expand this limitation section. Discuss how BESS integration would likely *increase* the error when using coarse emission factors, thereby strengthening your core argument for higher temporal resolution. Propose this as essential future work.</w:t>
      </w:r>
    </w:p>
    <w:p w14:paraId="6E2A0B8A" w14:textId="533A69AF" w:rsidR="005542CC" w:rsidRPr="005542CC" w:rsidRDefault="004B17E8" w:rsidP="0096408C">
      <w:pPr>
        <w:jc w:val="both"/>
        <w:rPr>
          <w:rFonts w:ascii="Calibri" w:eastAsia="Calibri" w:hAnsi="Calibri" w:cs="Calibri"/>
        </w:rPr>
      </w:pPr>
      <w:r>
        <w:rPr>
          <w:rFonts w:ascii="Calibri" w:eastAsia="Calibri" w:hAnsi="Calibri" w:cs="Calibri"/>
          <w:b/>
          <w:bCs/>
        </w:rPr>
        <w:t xml:space="preserve">Response: </w:t>
      </w:r>
      <w:r w:rsidR="00060AE8" w:rsidRPr="00060AE8">
        <w:rPr>
          <w:rFonts w:ascii="Calibri" w:eastAsia="Calibri" w:hAnsi="Calibri" w:cs="Calibri"/>
        </w:rPr>
        <w:t>Thanks for the suggestion.</w:t>
      </w:r>
      <w:r w:rsidR="00060AE8">
        <w:rPr>
          <w:rFonts w:ascii="Calibri" w:eastAsia="Calibri" w:hAnsi="Calibri" w:cs="Calibri"/>
          <w:b/>
          <w:bCs/>
        </w:rPr>
        <w:t xml:space="preserve"> </w:t>
      </w:r>
      <w:r w:rsidR="005542CC">
        <w:rPr>
          <w:rFonts w:ascii="Calibri" w:eastAsia="Calibri" w:hAnsi="Calibri" w:cs="Calibri"/>
        </w:rPr>
        <w:t xml:space="preserve">We expanded the discussion section on the limitation of battery energy storage system with additional literature to further emphasize the importance of temporal resolution in the environmental impact assessment for BESS: </w:t>
      </w:r>
      <w:r w:rsidR="005542CC" w:rsidRPr="005542CC">
        <w:rPr>
          <w:rFonts w:ascii="Calibri" w:eastAsia="Calibri" w:hAnsi="Calibri" w:cs="Calibri"/>
          <w:i/>
          <w:iCs/>
          <w:u w:val="single"/>
        </w:rPr>
        <w:t>“</w:t>
      </w:r>
      <w:r w:rsidR="005542CC" w:rsidRPr="005542CC">
        <w:rPr>
          <w:rFonts w:ascii="Calibri" w:eastAsia="Calibri" w:hAnsi="Calibri" w:cs="Calibri"/>
          <w:i/>
          <w:iCs/>
          <w:u w:val="single"/>
          <w:lang w:val="en-US"/>
        </w:rPr>
        <w:t>This granularity is essential as prior research that explicitly models both investment effects and dispatch order shows that regional battery deployment can either reduce or increase carbon emissions [18]. These findings indicate that emissions reductions are more likely in regions with economically competitive renewable generation, particularly solar. Since our evaluation shows solar-dominant grid regions exhibit greater temporal variability in emission rates, thereby requiring more stringent temporal resolution for accurate emissions accounting for BESS deployment. Moreover, in future near-zero-carbon power systems, coarse emission factors may remain uniformly low, failing to provide and reflect the dynamic signals necessary to incentivize flexible battery charging and discharging behavior [52].</w:t>
      </w:r>
      <w:r w:rsidR="005542CC" w:rsidRPr="005542CC">
        <w:rPr>
          <w:rFonts w:ascii="Calibri" w:eastAsia="Calibri" w:hAnsi="Calibri" w:cs="Calibri"/>
          <w:i/>
          <w:iCs/>
          <w:u w:val="single"/>
        </w:rPr>
        <w:t>”</w:t>
      </w:r>
      <w:r w:rsidR="005542CC">
        <w:rPr>
          <w:rFonts w:ascii="Calibri" w:eastAsia="Calibri" w:hAnsi="Calibri" w:cs="Calibri"/>
          <w:i/>
          <w:iCs/>
          <w:u w:val="single"/>
        </w:rPr>
        <w:t xml:space="preserve"> </w:t>
      </w:r>
      <w:r w:rsidR="005542CC">
        <w:rPr>
          <w:rFonts w:ascii="Calibri" w:eastAsia="Calibri" w:hAnsi="Calibri" w:cs="Calibri"/>
        </w:rPr>
        <w:t>The added references are shown below:</w:t>
      </w:r>
    </w:p>
    <w:p w14:paraId="78831988" w14:textId="77777777" w:rsidR="00060AE8" w:rsidRDefault="00060AE8" w:rsidP="00060AE8">
      <w:pPr>
        <w:spacing w:before="240"/>
        <w:rPr>
          <w:rFonts w:ascii="Calibri" w:eastAsia="Calibri" w:hAnsi="Calibri" w:cs="Calibri"/>
        </w:rPr>
      </w:pPr>
      <w:r w:rsidRPr="00F902FF">
        <w:rPr>
          <w:rFonts w:ascii="Calibri" w:eastAsia="Calibri" w:hAnsi="Calibri" w:cs="Calibri"/>
        </w:rPr>
        <w:t>[18] J. E. T. Bistline and D. T. Young, “Emissions impacts of future battery storage deployment on</w:t>
      </w:r>
      <w:r>
        <w:rPr>
          <w:rFonts w:ascii="Calibri" w:eastAsia="Calibri" w:hAnsi="Calibri" w:cs="Calibri"/>
        </w:rPr>
        <w:t xml:space="preserve"> </w:t>
      </w:r>
      <w:r w:rsidRPr="00F902FF">
        <w:rPr>
          <w:rFonts w:ascii="Calibri" w:eastAsia="Calibri" w:hAnsi="Calibri" w:cs="Calibri"/>
        </w:rPr>
        <w:t>regional power systems,” Applied Energy, vol. 264, Apr. 15, 2020.</w:t>
      </w:r>
      <w:r>
        <w:rPr>
          <w:rFonts w:ascii="Calibri" w:eastAsia="Calibri" w:hAnsi="Calibri" w:cs="Calibri"/>
        </w:rPr>
        <w:t xml:space="preserve"> </w:t>
      </w:r>
      <w:r w:rsidRPr="00F902FF">
        <w:rPr>
          <w:rFonts w:ascii="Calibri" w:eastAsia="Calibri" w:hAnsi="Calibri" w:cs="Calibri"/>
        </w:rPr>
        <w:t>doi:</w:t>
      </w:r>
      <w:r>
        <w:rPr>
          <w:rFonts w:ascii="Calibri" w:eastAsia="Calibri" w:hAnsi="Calibri" w:cs="Calibri"/>
        </w:rPr>
        <w:t xml:space="preserve"> </w:t>
      </w:r>
      <w:hyperlink r:id="rId10" w:history="1">
        <w:r w:rsidRPr="00C770D1">
          <w:rPr>
            <w:rStyle w:val="Hyperlink"/>
            <w:rFonts w:ascii="Calibri" w:eastAsia="Calibri" w:hAnsi="Calibri" w:cs="Calibri"/>
          </w:rPr>
          <w:t>https://doi.org/10.1016/j.apenergy.2020.114678</w:t>
        </w:r>
      </w:hyperlink>
      <w:r w:rsidRPr="00F902FF">
        <w:rPr>
          <w:rFonts w:ascii="Calibri" w:eastAsia="Calibri" w:hAnsi="Calibri" w:cs="Calibri"/>
        </w:rPr>
        <w:t>.</w:t>
      </w:r>
    </w:p>
    <w:p w14:paraId="6E34BEA8" w14:textId="77777777" w:rsidR="00060AE8" w:rsidRDefault="00060AE8" w:rsidP="0096408C">
      <w:pPr>
        <w:jc w:val="both"/>
        <w:rPr>
          <w:rFonts w:ascii="Calibri" w:eastAsia="Calibri" w:hAnsi="Calibri" w:cs="Calibri"/>
          <w:b/>
          <w:bCs/>
        </w:rPr>
      </w:pPr>
    </w:p>
    <w:p w14:paraId="106BF0F7" w14:textId="1A22C485" w:rsidR="00060AE8" w:rsidRPr="00060AE8" w:rsidRDefault="00060AE8" w:rsidP="00060AE8">
      <w:pPr>
        <w:jc w:val="both"/>
        <w:rPr>
          <w:rFonts w:ascii="Calibri" w:eastAsia="Calibri" w:hAnsi="Calibri" w:cs="Calibri"/>
        </w:rPr>
      </w:pPr>
      <w:r>
        <w:rPr>
          <w:rFonts w:ascii="Calibri" w:eastAsia="Calibri" w:hAnsi="Calibri" w:cs="Calibri"/>
        </w:rPr>
        <w:t xml:space="preserve">[52] </w:t>
      </w:r>
      <w:r w:rsidRPr="00060AE8">
        <w:rPr>
          <w:rFonts w:ascii="Calibri" w:eastAsia="Calibri" w:hAnsi="Calibri" w:cs="Calibri"/>
        </w:rPr>
        <w:t>P. Grunewald, M. Aunedi, S. M. Nosratabadi, et al., “Taking the long view on short-run marginal</w:t>
      </w:r>
    </w:p>
    <w:p w14:paraId="1807FEBD" w14:textId="77777777" w:rsidR="00060AE8" w:rsidRPr="00060AE8" w:rsidRDefault="00060AE8" w:rsidP="00060AE8">
      <w:pPr>
        <w:jc w:val="both"/>
        <w:rPr>
          <w:rFonts w:ascii="Calibri" w:eastAsia="Calibri" w:hAnsi="Calibri" w:cs="Calibri"/>
        </w:rPr>
      </w:pPr>
      <w:r w:rsidRPr="00060AE8">
        <w:rPr>
          <w:rFonts w:ascii="Calibri" w:eastAsia="Calibri" w:hAnsi="Calibri" w:cs="Calibri"/>
        </w:rPr>
        <w:t>emissions: How much carbon does flexibility and energy storage save?” Oxford Open Energy, vol. 2,</w:t>
      </w:r>
    </w:p>
    <w:p w14:paraId="1061E88C" w14:textId="05C44552" w:rsidR="00060AE8" w:rsidRPr="00060AE8" w:rsidRDefault="00060AE8" w:rsidP="00060AE8">
      <w:pPr>
        <w:jc w:val="both"/>
        <w:rPr>
          <w:rFonts w:ascii="Calibri" w:eastAsia="Calibri" w:hAnsi="Calibri" w:cs="Calibri"/>
        </w:rPr>
      </w:pPr>
      <w:r w:rsidRPr="00060AE8">
        <w:rPr>
          <w:rFonts w:ascii="Calibri" w:eastAsia="Calibri" w:hAnsi="Calibri" w:cs="Calibri"/>
        </w:rPr>
        <w:t>Feb. 1, 2023. doi: https://doi.org/10.1093/ooenergy/oiad008.</w:t>
      </w:r>
    </w:p>
    <w:p w14:paraId="3A3869B6"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conclusion is largely a summary. It must be strengthened to articulate the novel contribution more clearly. Explicitly state what your study adds beyond the work of Amaripadath et al. (2025), which is cited. Emphasize the scale (600+ real buildings vs. simulated ones), the cross-regional analysis, and the explicit quantification of error thresholds that can inform policy. The final paragraph should powerfully restate the imperative for changing industry practice.</w:t>
      </w:r>
    </w:p>
    <w:p w14:paraId="4F75327E" w14:textId="77777777" w:rsidR="00B362EE" w:rsidRDefault="00961555" w:rsidP="0096408C">
      <w:pPr>
        <w:jc w:val="both"/>
        <w:rPr>
          <w:rFonts w:ascii="Calibri" w:eastAsia="Calibri" w:hAnsi="Calibri" w:cs="Calibri"/>
        </w:rPr>
      </w:pPr>
      <w:r>
        <w:rPr>
          <w:rFonts w:ascii="Calibri" w:eastAsia="Calibri" w:hAnsi="Calibri" w:cs="Calibri"/>
          <w:b/>
          <w:bCs/>
        </w:rPr>
        <w:t xml:space="preserve">Response: </w:t>
      </w:r>
      <w:r w:rsidR="00025B55" w:rsidRPr="00025B55">
        <w:rPr>
          <w:rFonts w:ascii="Calibri" w:eastAsia="Calibri" w:hAnsi="Calibri" w:cs="Calibri"/>
        </w:rPr>
        <w:t xml:space="preserve">Thanks for the comment. </w:t>
      </w:r>
      <w:r w:rsidR="00025B55">
        <w:rPr>
          <w:rFonts w:ascii="Calibri" w:eastAsia="Calibri" w:hAnsi="Calibri" w:cs="Calibri"/>
        </w:rPr>
        <w:t xml:space="preserve">We have modified the conclusion section that emphasize more on the study contribution and impact. Additionally, we also added </w:t>
      </w:r>
      <w:r w:rsidR="00B362EE">
        <w:rPr>
          <w:rFonts w:ascii="Calibri" w:eastAsia="Calibri" w:hAnsi="Calibri" w:cs="Calibri"/>
        </w:rPr>
        <w:t xml:space="preserve">future work to imply the limitation of the study analysis. </w:t>
      </w:r>
    </w:p>
    <w:p w14:paraId="3BD3B6CA" w14:textId="77777777" w:rsidR="00B362EE" w:rsidRPr="00B362EE" w:rsidRDefault="00B362EE" w:rsidP="00B362EE">
      <w:pPr>
        <w:spacing w:before="240"/>
        <w:jc w:val="both"/>
        <w:rPr>
          <w:rFonts w:ascii="Calibri" w:eastAsia="Calibri" w:hAnsi="Calibri" w:cs="Calibri"/>
          <w:i/>
          <w:iCs/>
          <w:u w:val="single"/>
          <w:lang w:val="en-US"/>
        </w:rPr>
      </w:pPr>
      <w:r>
        <w:rPr>
          <w:rFonts w:ascii="Calibri" w:eastAsia="Calibri" w:hAnsi="Calibri" w:cs="Calibri"/>
        </w:rPr>
        <w:t>Here is the updated version of the conclusion: “</w:t>
      </w:r>
      <w:r w:rsidRPr="00B362EE">
        <w:rPr>
          <w:rFonts w:ascii="Calibri" w:eastAsia="Calibri" w:hAnsi="Calibri" w:cs="Calibri"/>
          <w:i/>
          <w:iCs/>
          <w:u w:val="single"/>
          <w:lang w:val="en-US"/>
        </w:rPr>
        <w:t xml:space="preserve">Practitioners often use annual or seasonal average emissions rates to estimate building operational and avoided carbon emissions, yet standards provide limited guidance on the accuracy of these simplifications. This study demonstrates that this gap can significantly impact net-zero carbon building assessment, retrofit valuation, utility export quantification. </w:t>
      </w:r>
      <w:r w:rsidRPr="00B362EE">
        <w:rPr>
          <w:rFonts w:ascii="Calibri" w:eastAsia="Calibri" w:hAnsi="Calibri" w:cs="Calibri"/>
          <w:i/>
          <w:iCs/>
          <w:u w:val="single"/>
          <w:lang w:val="en-US"/>
        </w:rPr>
        <w:lastRenderedPageBreak/>
        <w:t xml:space="preserve">Distinct from prior work that relies largely on simulations or single-building case studies, our analysis integrates measured hourly electricity consumption from over 600 real commercial buildings and evaluates performance across all contiguous U.S. grid regions. Using hourly emissions rates as a high-resolution benchmark, we systematically quantified the deviation and uncertainty introduced by five commonly used lower-resolution alternatives, from annual averages to month-hour averages. The results show that annual and seasonal averages substantially oversimplify grid dynamics, with median deviations exceeding 100% under projected 2050 grid scenarios. In contrast, season-hour and month-hour emission factors consistently achieve median deviations below 5%. Considering accuracy and practicality, we recommend that standards and guidelines formally adopt season-hour or month-hour emission factors as the minimum temporal resolution requirement for operational and avoided carbon emissions accounting. </w:t>
      </w:r>
    </w:p>
    <w:p w14:paraId="44182DA3" w14:textId="670E5607" w:rsidR="00B362EE" w:rsidRPr="00B362EE" w:rsidRDefault="000C6AC4" w:rsidP="00B362EE">
      <w:pPr>
        <w:spacing w:before="240"/>
        <w:jc w:val="both"/>
        <w:rPr>
          <w:rFonts w:ascii="Calibri" w:eastAsia="Calibri" w:hAnsi="Calibri" w:cs="Calibri"/>
          <w:i/>
          <w:iCs/>
          <w:u w:val="single"/>
          <w:lang w:val="en-US"/>
        </w:rPr>
      </w:pPr>
      <w:r w:rsidRPr="000C6AC4">
        <w:rPr>
          <w:rFonts w:ascii="Calibri" w:eastAsia="Calibri" w:hAnsi="Calibri" w:cs="Calibri"/>
          <w:i/>
          <w:iCs/>
          <w:u w:val="single"/>
          <w:lang w:val="en-US"/>
        </w:rPr>
        <w:t>A profound implication of these findings is that with a growing trend of increasing onsite renewable generation in buildings as a retrofit measure, our study results highlight a critical discrepancy that net-zero energy buildings do not necessarily guarantee a building is net-zero carbon in operation. Especially in solar-dominant regions where grid emission rates vary significantly in time. The problem is especially pronounced when evaluating avoided emissions for grid exports, which needs to be assessed separately from operational impact. Given that building retrofit impacts are inherently time-dependent, such as intermittent utility exports to the grid and targeted load shift interventions, the reliance on temporally coarse emission factors introduces significant uncertainty and can misrepresent true environmental benefits</w:t>
      </w:r>
      <w:r w:rsidR="00B362EE" w:rsidRPr="00B362EE">
        <w:rPr>
          <w:rFonts w:ascii="Calibri" w:eastAsia="Calibri" w:hAnsi="Calibri" w:cs="Calibri"/>
          <w:i/>
          <w:iCs/>
          <w:u w:val="single"/>
          <w:lang w:val="en-US"/>
        </w:rPr>
        <w:t xml:space="preserve">. </w:t>
      </w:r>
    </w:p>
    <w:p w14:paraId="213C30E1" w14:textId="4DC129DA" w:rsidR="00306207" w:rsidRPr="00B362EE" w:rsidRDefault="00B362EE" w:rsidP="00B362EE">
      <w:pPr>
        <w:spacing w:before="240"/>
        <w:jc w:val="both"/>
        <w:rPr>
          <w:rFonts w:ascii="Calibri" w:eastAsia="Calibri" w:hAnsi="Calibri" w:cs="Calibri"/>
          <w:i/>
          <w:iCs/>
          <w:u w:val="single"/>
          <w:lang w:val="en-US"/>
        </w:rPr>
      </w:pPr>
      <w:r w:rsidRPr="00B362EE">
        <w:rPr>
          <w:rFonts w:ascii="Calibri" w:eastAsia="Calibri" w:hAnsi="Calibri" w:cs="Calibri"/>
          <w:i/>
          <w:iCs/>
          <w:u w:val="single"/>
          <w:lang w:val="en-US"/>
        </w:rPr>
        <w:t>Future work should incorporate dynamic building energy-use projections that account for climate change, evolving occupancy patterns, and behavioral shifts, which were treated as static in this analysis. In addition, this study applied the open-source dataset of measured building electricity as an aggregated group across all grid regions, potentially underrepresenting climate-specific construction and operational characteristics. Future analyses should therefore integrate regionally calibrated models to more accurately capture geographic variability in building performance and grid interactions.</w:t>
      </w:r>
      <w:r w:rsidRPr="00B362EE">
        <w:rPr>
          <w:rFonts w:ascii="Calibri" w:eastAsia="Calibri" w:hAnsi="Calibri" w:cs="Calibri"/>
          <w:i/>
          <w:iCs/>
          <w:u w:val="single"/>
        </w:rPr>
        <w:t>”</w:t>
      </w:r>
    </w:p>
    <w:p w14:paraId="166AEBFA" w14:textId="77777777"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The manuscript requires thorough proofreading for grammatical errors, awkward phrasing, and typos. Examples include: "&lt;indings" in the abstract, "oversimplicied" (p.1), "strongly aligns the aim" (p.2), "deviations of 5-30% in operational emissions and over 100% in avoided emissions" (p.2 - is this median or range? Clarify). Such errors detract from scientific rigor and must be corrected.</w:t>
      </w:r>
    </w:p>
    <w:p w14:paraId="1EEB93A3" w14:textId="641F3784" w:rsidR="00306207" w:rsidRPr="00306207" w:rsidRDefault="004B17E8" w:rsidP="0096408C">
      <w:pPr>
        <w:jc w:val="both"/>
        <w:rPr>
          <w:rFonts w:ascii="Calibri" w:eastAsia="Calibri" w:hAnsi="Calibri" w:cs="Calibri"/>
          <w:b/>
          <w:bCs/>
        </w:rPr>
      </w:pPr>
      <w:r>
        <w:rPr>
          <w:rFonts w:ascii="Calibri" w:eastAsia="Calibri" w:hAnsi="Calibri" w:cs="Calibri"/>
          <w:b/>
          <w:bCs/>
        </w:rPr>
        <w:t xml:space="preserve">Response: </w:t>
      </w:r>
      <w:r w:rsidRPr="004B17E8">
        <w:rPr>
          <w:rFonts w:ascii="Calibri" w:eastAsia="Calibri" w:hAnsi="Calibri" w:cs="Calibri"/>
        </w:rPr>
        <w:t>Thanks for the feedback. We h</w:t>
      </w:r>
      <w:r>
        <w:rPr>
          <w:rFonts w:ascii="Calibri" w:eastAsia="Calibri" w:hAnsi="Calibri" w:cs="Calibri"/>
        </w:rPr>
        <w:t xml:space="preserve">ave carefully checked the writing of the manuscript and corrected grammatical errors, typos and any phrases that may lead to confusion. </w:t>
      </w:r>
    </w:p>
    <w:p w14:paraId="39CF113E" w14:textId="2A082B1E" w:rsidR="00306207" w:rsidRPr="00BC50C8" w:rsidRDefault="00306207" w:rsidP="0096408C">
      <w:pPr>
        <w:pStyle w:val="ListParagraph"/>
        <w:numPr>
          <w:ilvl w:val="0"/>
          <w:numId w:val="2"/>
        </w:numPr>
        <w:spacing w:before="240" w:after="240"/>
        <w:ind w:left="360"/>
        <w:jc w:val="both"/>
        <w:rPr>
          <w:rFonts w:ascii="Calibri" w:eastAsia="Calibri" w:hAnsi="Calibri" w:cs="Calibri"/>
          <w:b/>
          <w:bCs/>
          <w:color w:val="4C94D8" w:themeColor="text2" w:themeTint="80"/>
        </w:rPr>
      </w:pPr>
      <w:r w:rsidRPr="00BC50C8">
        <w:rPr>
          <w:rFonts w:ascii="Calibri" w:eastAsia="Calibri" w:hAnsi="Calibri" w:cs="Calibri"/>
          <w:b/>
          <w:bCs/>
          <w:color w:val="4C94D8" w:themeColor="text2" w:themeTint="80"/>
        </w:rPr>
        <w:t xml:space="preserve">The graphical abstract is </w:t>
      </w:r>
      <w:proofErr w:type="gramStart"/>
      <w:r w:rsidRPr="00BC50C8">
        <w:rPr>
          <w:rFonts w:ascii="Calibri" w:eastAsia="Calibri" w:hAnsi="Calibri" w:cs="Calibri"/>
          <w:b/>
          <w:bCs/>
          <w:color w:val="4C94D8" w:themeColor="text2" w:themeTint="80"/>
        </w:rPr>
        <w:t>informative</w:t>
      </w:r>
      <w:proofErr w:type="gramEnd"/>
      <w:r w:rsidRPr="00BC50C8">
        <w:rPr>
          <w:rFonts w:ascii="Calibri" w:eastAsia="Calibri" w:hAnsi="Calibri" w:cs="Calibri"/>
          <w:b/>
          <w:bCs/>
          <w:color w:val="4C94D8" w:themeColor="text2" w:themeTint="80"/>
        </w:rPr>
        <w:t xml:space="preserve"> but the "Policy implications" box is empty. This is a missed opportunity. The graphical abstract should visually summarize the key recommendation (e.g., "Standards must require season-hour resolution"). Revise it to complete the narrative flow from problem to solution.</w:t>
      </w:r>
    </w:p>
    <w:p w14:paraId="7B562C3B" w14:textId="2D3F2BC6" w:rsidR="00FD1CAB" w:rsidRDefault="00FD1CAB" w:rsidP="00FD1CAB">
      <w:pPr>
        <w:jc w:val="both"/>
        <w:rPr>
          <w:rFonts w:ascii="Calibri" w:eastAsia="Calibri" w:hAnsi="Calibri" w:cs="Calibri"/>
        </w:rPr>
      </w:pPr>
      <w:r w:rsidRPr="00FD1CAB">
        <w:rPr>
          <w:rFonts w:ascii="Calibri" w:eastAsia="Calibri" w:hAnsi="Calibri" w:cs="Calibri"/>
          <w:b/>
          <w:bCs/>
        </w:rPr>
        <w:lastRenderedPageBreak/>
        <w:t xml:space="preserve">Response: </w:t>
      </w:r>
      <w:r w:rsidRPr="00FD1CAB">
        <w:rPr>
          <w:rFonts w:ascii="Calibri" w:eastAsia="Calibri" w:hAnsi="Calibri" w:cs="Calibri"/>
        </w:rPr>
        <w:t>Thanks for the feedback.</w:t>
      </w:r>
      <w:r w:rsidR="005C7EA8">
        <w:rPr>
          <w:rFonts w:ascii="Calibri" w:eastAsia="Calibri" w:hAnsi="Calibri" w:cs="Calibri"/>
        </w:rPr>
        <w:t xml:space="preserve"> We updated the graphical abstract with more emphasize on the policy impact and takeaway message as suggested by the reviewer. The update the figure is shown below: </w:t>
      </w:r>
    </w:p>
    <w:p w14:paraId="05E3A010" w14:textId="6C13553F" w:rsidR="005C7EA8" w:rsidRPr="00FD1CAB" w:rsidRDefault="005C7EA8" w:rsidP="00FD1CAB">
      <w:pPr>
        <w:jc w:val="both"/>
        <w:rPr>
          <w:rFonts w:ascii="Calibri" w:eastAsia="Calibri" w:hAnsi="Calibri" w:cs="Calibri"/>
          <w:b/>
          <w:bCs/>
        </w:rPr>
      </w:pPr>
      <w:r>
        <w:rPr>
          <w:rFonts w:ascii="Calibri" w:eastAsia="Calibri" w:hAnsi="Calibri" w:cs="Calibri"/>
          <w:b/>
          <w:bCs/>
          <w:noProof/>
          <w14:ligatures w14:val="standardContextual"/>
        </w:rPr>
        <w:drawing>
          <wp:inline distT="0" distB="0" distL="0" distR="0" wp14:anchorId="3CBA4A72" wp14:editId="3AA70736">
            <wp:extent cx="5943600" cy="3343275"/>
            <wp:effectExtent l="0" t="0" r="0" b="0"/>
            <wp:docPr id="1722350206" name="Picture 1" descr="A diagram of a building with a map and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50206" name="Picture 1" descr="A diagram of a building with a map and a ma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921846D" w14:textId="665F914D" w:rsidR="001B5C4D" w:rsidRDefault="001B5C4D" w:rsidP="00FD1CAB">
      <w:pPr>
        <w:jc w:val="both"/>
      </w:pPr>
    </w:p>
    <w:sectPr w:rsidR="001B5C4D" w:rsidSect="003062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977"/>
    <w:multiLevelType w:val="hybridMultilevel"/>
    <w:tmpl w:val="EC609DC8"/>
    <w:lvl w:ilvl="0" w:tplc="897E3AC8">
      <w:start w:val="1"/>
      <w:numFmt w:val="decimal"/>
      <w:lvlText w:val="%1."/>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1A67D7E">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A687C4">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1624A6">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DFA68E8">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DA9DF0">
      <w:start w:val="1"/>
      <w:numFmt w:val="lowerRoman"/>
      <w:lvlText w:val="%6"/>
      <w:lvlJc w:val="left"/>
      <w:pPr>
        <w:ind w:left="42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AA6BD0">
      <w:start w:val="1"/>
      <w:numFmt w:val="decimal"/>
      <w:lvlText w:val="%7"/>
      <w:lvlJc w:val="left"/>
      <w:pPr>
        <w:ind w:left="49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A42FE58">
      <w:start w:val="1"/>
      <w:numFmt w:val="lowerLetter"/>
      <w:lvlText w:val="%8"/>
      <w:lvlJc w:val="left"/>
      <w:pPr>
        <w:ind w:left="56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E8E7C8">
      <w:start w:val="1"/>
      <w:numFmt w:val="lowerRoman"/>
      <w:lvlText w:val="%9"/>
      <w:lvlJc w:val="left"/>
      <w:pPr>
        <w:ind w:left="6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AB50EEF"/>
    <w:multiLevelType w:val="hybridMultilevel"/>
    <w:tmpl w:val="A446A932"/>
    <w:lvl w:ilvl="0" w:tplc="8A649984">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B95933"/>
    <w:multiLevelType w:val="hybridMultilevel"/>
    <w:tmpl w:val="773CAFF6"/>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2157036">
    <w:abstractNumId w:val="1"/>
  </w:num>
  <w:num w:numId="2" w16cid:durableId="1923367004">
    <w:abstractNumId w:val="2"/>
  </w:num>
  <w:num w:numId="3" w16cid:durableId="154949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07"/>
    <w:rsid w:val="0001042D"/>
    <w:rsid w:val="000207D0"/>
    <w:rsid w:val="00025B55"/>
    <w:rsid w:val="00030817"/>
    <w:rsid w:val="00034651"/>
    <w:rsid w:val="00060AE8"/>
    <w:rsid w:val="000C6AC4"/>
    <w:rsid w:val="000F3400"/>
    <w:rsid w:val="00123AA6"/>
    <w:rsid w:val="0012582B"/>
    <w:rsid w:val="00134CBF"/>
    <w:rsid w:val="00140AC3"/>
    <w:rsid w:val="00157B12"/>
    <w:rsid w:val="00163554"/>
    <w:rsid w:val="001B44CF"/>
    <w:rsid w:val="001B5C4D"/>
    <w:rsid w:val="001C0424"/>
    <w:rsid w:val="001F0C03"/>
    <w:rsid w:val="00231AE8"/>
    <w:rsid w:val="002719C0"/>
    <w:rsid w:val="002A03F7"/>
    <w:rsid w:val="002B76C9"/>
    <w:rsid w:val="002B7C12"/>
    <w:rsid w:val="002B7ECE"/>
    <w:rsid w:val="002E7EA8"/>
    <w:rsid w:val="002F433A"/>
    <w:rsid w:val="00306207"/>
    <w:rsid w:val="00315E76"/>
    <w:rsid w:val="00334958"/>
    <w:rsid w:val="00347F97"/>
    <w:rsid w:val="00366B67"/>
    <w:rsid w:val="00376359"/>
    <w:rsid w:val="00393AFE"/>
    <w:rsid w:val="0039739B"/>
    <w:rsid w:val="003A504D"/>
    <w:rsid w:val="003D4B5B"/>
    <w:rsid w:val="00467C7B"/>
    <w:rsid w:val="0047092E"/>
    <w:rsid w:val="004958B2"/>
    <w:rsid w:val="004B17E8"/>
    <w:rsid w:val="004D25CE"/>
    <w:rsid w:val="0052312D"/>
    <w:rsid w:val="005542CC"/>
    <w:rsid w:val="00554F53"/>
    <w:rsid w:val="00555843"/>
    <w:rsid w:val="00581A59"/>
    <w:rsid w:val="005A66A7"/>
    <w:rsid w:val="005B4B36"/>
    <w:rsid w:val="005C7EA8"/>
    <w:rsid w:val="00617857"/>
    <w:rsid w:val="006378B1"/>
    <w:rsid w:val="00651AE9"/>
    <w:rsid w:val="006A4ED5"/>
    <w:rsid w:val="006F4B34"/>
    <w:rsid w:val="00711008"/>
    <w:rsid w:val="007501DB"/>
    <w:rsid w:val="007543B4"/>
    <w:rsid w:val="00762223"/>
    <w:rsid w:val="00765002"/>
    <w:rsid w:val="0077488F"/>
    <w:rsid w:val="007B5F16"/>
    <w:rsid w:val="007F17D4"/>
    <w:rsid w:val="00810045"/>
    <w:rsid w:val="00817B3A"/>
    <w:rsid w:val="00845583"/>
    <w:rsid w:val="008703CA"/>
    <w:rsid w:val="00892D80"/>
    <w:rsid w:val="008A3CFB"/>
    <w:rsid w:val="008B5446"/>
    <w:rsid w:val="008D4E5D"/>
    <w:rsid w:val="00931B54"/>
    <w:rsid w:val="009603CE"/>
    <w:rsid w:val="00961555"/>
    <w:rsid w:val="00961C2B"/>
    <w:rsid w:val="0096408C"/>
    <w:rsid w:val="009A686D"/>
    <w:rsid w:val="009B2F70"/>
    <w:rsid w:val="00A43DEB"/>
    <w:rsid w:val="00AD39B7"/>
    <w:rsid w:val="00AE4B76"/>
    <w:rsid w:val="00AE4C40"/>
    <w:rsid w:val="00B362EE"/>
    <w:rsid w:val="00BC50C8"/>
    <w:rsid w:val="00BD6059"/>
    <w:rsid w:val="00BD69E8"/>
    <w:rsid w:val="00BD6BCC"/>
    <w:rsid w:val="00C219B4"/>
    <w:rsid w:val="00C3400A"/>
    <w:rsid w:val="00C461A5"/>
    <w:rsid w:val="00C52BDA"/>
    <w:rsid w:val="00C7119D"/>
    <w:rsid w:val="00C86110"/>
    <w:rsid w:val="00C93701"/>
    <w:rsid w:val="00CA212A"/>
    <w:rsid w:val="00CE00A2"/>
    <w:rsid w:val="00D40E0E"/>
    <w:rsid w:val="00D50767"/>
    <w:rsid w:val="00D7381A"/>
    <w:rsid w:val="00D73F40"/>
    <w:rsid w:val="00DB1E1D"/>
    <w:rsid w:val="00DB5EE4"/>
    <w:rsid w:val="00DF2D0F"/>
    <w:rsid w:val="00E24763"/>
    <w:rsid w:val="00E2477F"/>
    <w:rsid w:val="00E31BD6"/>
    <w:rsid w:val="00E42361"/>
    <w:rsid w:val="00E75C44"/>
    <w:rsid w:val="00E77CAF"/>
    <w:rsid w:val="00E8717B"/>
    <w:rsid w:val="00E92000"/>
    <w:rsid w:val="00EC2285"/>
    <w:rsid w:val="00ED7A0A"/>
    <w:rsid w:val="00EF75E3"/>
    <w:rsid w:val="00F46450"/>
    <w:rsid w:val="00F70ED5"/>
    <w:rsid w:val="00F73424"/>
    <w:rsid w:val="00F8012C"/>
    <w:rsid w:val="00F902FF"/>
    <w:rsid w:val="00FB04BA"/>
    <w:rsid w:val="00FB3B09"/>
    <w:rsid w:val="00FD1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950982"/>
  <w15:chartTrackingRefBased/>
  <w15:docId w15:val="{881DEF44-4164-3940-A034-FA9F0E13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207"/>
    <w:pPr>
      <w:spacing w:after="0" w:line="276" w:lineRule="auto"/>
    </w:pPr>
    <w:rPr>
      <w:rFonts w:ascii="Arial" w:eastAsia="Arial" w:hAnsi="Arial" w:cs="Arial"/>
      <w:kern w:val="0"/>
      <w:sz w:val="22"/>
      <w:szCs w:val="22"/>
      <w:lang w:val="en" w:eastAsia="en-US"/>
      <w14:ligatures w14:val="none"/>
    </w:rPr>
  </w:style>
  <w:style w:type="paragraph" w:styleId="Heading1">
    <w:name w:val="heading 1"/>
    <w:basedOn w:val="Normal"/>
    <w:next w:val="Normal"/>
    <w:link w:val="Heading1Char"/>
    <w:uiPriority w:val="9"/>
    <w:qFormat/>
    <w:rsid w:val="0030620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zh-CN"/>
      <w14:ligatures w14:val="standardContextual"/>
    </w:rPr>
  </w:style>
  <w:style w:type="paragraph" w:styleId="Heading2">
    <w:name w:val="heading 2"/>
    <w:basedOn w:val="Normal"/>
    <w:next w:val="Normal"/>
    <w:link w:val="Heading2Char"/>
    <w:uiPriority w:val="9"/>
    <w:unhideWhenUsed/>
    <w:qFormat/>
    <w:rsid w:val="0030620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zh-CN"/>
      <w14:ligatures w14:val="standardContextual"/>
    </w:rPr>
  </w:style>
  <w:style w:type="paragraph" w:styleId="Heading3">
    <w:name w:val="heading 3"/>
    <w:basedOn w:val="Normal"/>
    <w:next w:val="Normal"/>
    <w:link w:val="Heading3Char"/>
    <w:uiPriority w:val="9"/>
    <w:semiHidden/>
    <w:unhideWhenUsed/>
    <w:qFormat/>
    <w:rsid w:val="0030620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zh-CN"/>
      <w14:ligatures w14:val="standardContextual"/>
    </w:rPr>
  </w:style>
  <w:style w:type="paragraph" w:styleId="Heading4">
    <w:name w:val="heading 4"/>
    <w:basedOn w:val="Normal"/>
    <w:next w:val="Normal"/>
    <w:link w:val="Heading4Char"/>
    <w:uiPriority w:val="9"/>
    <w:semiHidden/>
    <w:unhideWhenUsed/>
    <w:qFormat/>
    <w:rsid w:val="0030620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eastAsia="zh-CN"/>
      <w14:ligatures w14:val="standardContextual"/>
    </w:rPr>
  </w:style>
  <w:style w:type="paragraph" w:styleId="Heading5">
    <w:name w:val="heading 5"/>
    <w:basedOn w:val="Normal"/>
    <w:next w:val="Normal"/>
    <w:link w:val="Heading5Char"/>
    <w:uiPriority w:val="9"/>
    <w:semiHidden/>
    <w:unhideWhenUsed/>
    <w:qFormat/>
    <w:rsid w:val="0030620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eastAsia="zh-CN"/>
      <w14:ligatures w14:val="standardContextual"/>
    </w:rPr>
  </w:style>
  <w:style w:type="paragraph" w:styleId="Heading6">
    <w:name w:val="heading 6"/>
    <w:basedOn w:val="Normal"/>
    <w:next w:val="Normal"/>
    <w:link w:val="Heading6Char"/>
    <w:uiPriority w:val="9"/>
    <w:semiHidden/>
    <w:unhideWhenUsed/>
    <w:qFormat/>
    <w:rsid w:val="0030620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eastAsia="zh-CN"/>
      <w14:ligatures w14:val="standardContextual"/>
    </w:rPr>
  </w:style>
  <w:style w:type="paragraph" w:styleId="Heading7">
    <w:name w:val="heading 7"/>
    <w:basedOn w:val="Normal"/>
    <w:next w:val="Normal"/>
    <w:link w:val="Heading7Char"/>
    <w:uiPriority w:val="9"/>
    <w:semiHidden/>
    <w:unhideWhenUsed/>
    <w:qFormat/>
    <w:rsid w:val="0030620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eastAsia="zh-CN"/>
      <w14:ligatures w14:val="standardContextual"/>
    </w:rPr>
  </w:style>
  <w:style w:type="paragraph" w:styleId="Heading8">
    <w:name w:val="heading 8"/>
    <w:basedOn w:val="Normal"/>
    <w:next w:val="Normal"/>
    <w:link w:val="Heading8Char"/>
    <w:uiPriority w:val="9"/>
    <w:semiHidden/>
    <w:unhideWhenUsed/>
    <w:qFormat/>
    <w:rsid w:val="0030620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eastAsia="zh-CN"/>
      <w14:ligatures w14:val="standardContextual"/>
    </w:rPr>
  </w:style>
  <w:style w:type="paragraph" w:styleId="Heading9">
    <w:name w:val="heading 9"/>
    <w:basedOn w:val="Normal"/>
    <w:next w:val="Normal"/>
    <w:link w:val="Heading9Char"/>
    <w:uiPriority w:val="9"/>
    <w:semiHidden/>
    <w:unhideWhenUsed/>
    <w:qFormat/>
    <w:rsid w:val="0030620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6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207"/>
    <w:rPr>
      <w:rFonts w:eastAsiaTheme="majorEastAsia" w:cstheme="majorBidi"/>
      <w:color w:val="272727" w:themeColor="text1" w:themeTint="D8"/>
    </w:rPr>
  </w:style>
  <w:style w:type="paragraph" w:styleId="Title">
    <w:name w:val="Title"/>
    <w:basedOn w:val="Normal"/>
    <w:next w:val="Normal"/>
    <w:link w:val="TitleChar"/>
    <w:uiPriority w:val="10"/>
    <w:qFormat/>
    <w:rsid w:val="00306207"/>
    <w:pPr>
      <w:spacing w:after="80" w:line="240" w:lineRule="auto"/>
      <w:contextualSpacing/>
    </w:pPr>
    <w:rPr>
      <w:rFonts w:asciiTheme="majorHAnsi" w:eastAsiaTheme="majorEastAsia" w:hAnsiTheme="majorHAnsi" w:cstheme="majorBidi"/>
      <w:spacing w:val="-10"/>
      <w:kern w:val="28"/>
      <w:sz w:val="56"/>
      <w:szCs w:val="56"/>
      <w:lang w:val="en-US" w:eastAsia="zh-CN"/>
      <w14:ligatures w14:val="standardContextual"/>
    </w:rPr>
  </w:style>
  <w:style w:type="character" w:customStyle="1" w:styleId="TitleChar">
    <w:name w:val="Title Char"/>
    <w:basedOn w:val="DefaultParagraphFont"/>
    <w:link w:val="Title"/>
    <w:uiPriority w:val="10"/>
    <w:rsid w:val="0030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20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zh-CN"/>
      <w14:ligatures w14:val="standardContextual"/>
    </w:rPr>
  </w:style>
  <w:style w:type="character" w:customStyle="1" w:styleId="SubtitleChar">
    <w:name w:val="Subtitle Char"/>
    <w:basedOn w:val="DefaultParagraphFont"/>
    <w:link w:val="Subtitle"/>
    <w:uiPriority w:val="11"/>
    <w:rsid w:val="00306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207"/>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eastAsia="zh-CN"/>
      <w14:ligatures w14:val="standardContextual"/>
    </w:rPr>
  </w:style>
  <w:style w:type="character" w:customStyle="1" w:styleId="QuoteChar">
    <w:name w:val="Quote Char"/>
    <w:basedOn w:val="DefaultParagraphFont"/>
    <w:link w:val="Quote"/>
    <w:uiPriority w:val="29"/>
    <w:rsid w:val="00306207"/>
    <w:rPr>
      <w:i/>
      <w:iCs/>
      <w:color w:val="404040" w:themeColor="text1" w:themeTint="BF"/>
    </w:rPr>
  </w:style>
  <w:style w:type="paragraph" w:styleId="ListParagraph">
    <w:name w:val="List Paragraph"/>
    <w:basedOn w:val="Normal"/>
    <w:uiPriority w:val="34"/>
    <w:qFormat/>
    <w:rsid w:val="00306207"/>
    <w:pPr>
      <w:spacing w:after="160" w:line="278" w:lineRule="auto"/>
      <w:ind w:left="720"/>
      <w:contextualSpacing/>
    </w:pPr>
    <w:rPr>
      <w:rFonts w:asciiTheme="minorHAnsi" w:eastAsiaTheme="minorEastAsia" w:hAnsiTheme="minorHAnsi" w:cstheme="minorBidi"/>
      <w:kern w:val="2"/>
      <w:sz w:val="24"/>
      <w:szCs w:val="24"/>
      <w:lang w:val="en-US" w:eastAsia="zh-CN"/>
      <w14:ligatures w14:val="standardContextual"/>
    </w:rPr>
  </w:style>
  <w:style w:type="character" w:styleId="IntenseEmphasis">
    <w:name w:val="Intense Emphasis"/>
    <w:basedOn w:val="DefaultParagraphFont"/>
    <w:uiPriority w:val="21"/>
    <w:qFormat/>
    <w:rsid w:val="00306207"/>
    <w:rPr>
      <w:i/>
      <w:iCs/>
      <w:color w:val="0F4761" w:themeColor="accent1" w:themeShade="BF"/>
    </w:rPr>
  </w:style>
  <w:style w:type="paragraph" w:styleId="IntenseQuote">
    <w:name w:val="Intense Quote"/>
    <w:basedOn w:val="Normal"/>
    <w:next w:val="Normal"/>
    <w:link w:val="IntenseQuoteChar"/>
    <w:uiPriority w:val="30"/>
    <w:qFormat/>
    <w:rsid w:val="003062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US" w:eastAsia="zh-CN"/>
      <w14:ligatures w14:val="standardContextual"/>
    </w:rPr>
  </w:style>
  <w:style w:type="character" w:customStyle="1" w:styleId="IntenseQuoteChar">
    <w:name w:val="Intense Quote Char"/>
    <w:basedOn w:val="DefaultParagraphFont"/>
    <w:link w:val="IntenseQuote"/>
    <w:uiPriority w:val="30"/>
    <w:rsid w:val="00306207"/>
    <w:rPr>
      <w:i/>
      <w:iCs/>
      <w:color w:val="0F4761" w:themeColor="accent1" w:themeShade="BF"/>
    </w:rPr>
  </w:style>
  <w:style w:type="character" w:styleId="IntenseReference">
    <w:name w:val="Intense Reference"/>
    <w:basedOn w:val="DefaultParagraphFont"/>
    <w:uiPriority w:val="32"/>
    <w:qFormat/>
    <w:rsid w:val="00306207"/>
    <w:rPr>
      <w:b/>
      <w:bCs/>
      <w:smallCaps/>
      <w:color w:val="0F4761" w:themeColor="accent1" w:themeShade="BF"/>
      <w:spacing w:val="5"/>
    </w:rPr>
  </w:style>
  <w:style w:type="character" w:styleId="Hyperlink">
    <w:name w:val="Hyperlink"/>
    <w:basedOn w:val="DefaultParagraphFont"/>
    <w:uiPriority w:val="99"/>
    <w:unhideWhenUsed/>
    <w:rsid w:val="00306207"/>
    <w:rPr>
      <w:color w:val="467886" w:themeColor="hyperlink"/>
      <w:u w:val="single"/>
    </w:rPr>
  </w:style>
  <w:style w:type="table" w:styleId="TableGrid">
    <w:name w:val="Table Grid"/>
    <w:basedOn w:val="TableNormal"/>
    <w:uiPriority w:val="39"/>
    <w:rsid w:val="00467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902FF"/>
    <w:rPr>
      <w:color w:val="605E5C"/>
      <w:shd w:val="clear" w:color="auto" w:fill="E1DFDD"/>
    </w:rPr>
  </w:style>
  <w:style w:type="character" w:styleId="FollowedHyperlink">
    <w:name w:val="FollowedHyperlink"/>
    <w:basedOn w:val="DefaultParagraphFont"/>
    <w:uiPriority w:val="99"/>
    <w:semiHidden/>
    <w:unhideWhenUsed/>
    <w:rsid w:val="009640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apenergy.2020.11467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73/pnas.221162411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s://doi.org/10.1016/j.apenergy.2020.114678" TargetMode="External"/><Relationship Id="rId4" Type="http://schemas.openxmlformats.org/officeDocument/2006/relationships/webSettings" Target="webSettings.xml"/><Relationship Id="rId9" Type="http://schemas.openxmlformats.org/officeDocument/2006/relationships/hyperlink" Target="https://doi.org/10.1016/j.apenergy.2014.03.0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897</TotalTime>
  <Pages>16</Pages>
  <Words>5865</Words>
  <Characters>35313</Characters>
  <Application>Microsoft Office Word</Application>
  <DocSecurity>0</DocSecurity>
  <Lines>511</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Aoyu Zou</dc:creator>
  <cp:keywords/>
  <dc:description/>
  <cp:lastModifiedBy>Aoyu Zou</cp:lastModifiedBy>
  <cp:revision>40</cp:revision>
  <dcterms:created xsi:type="dcterms:W3CDTF">2025-12-30T02:35:00Z</dcterms:created>
  <dcterms:modified xsi:type="dcterms:W3CDTF">2026-01-27T22:10:00Z</dcterms:modified>
</cp:coreProperties>
</file>