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w:t>
      </w:r>
      <w:r>
        <w:t xml:space="preserve">, and Stefano Schiavon</w:t>
      </w:r>
      <w:r>
        <w:rPr>
          <w:vertAlign w:val="superscript"/>
        </w:rPr>
        <w:t xml:space="preserve">1,2,3</w:t>
      </w:r>
    </w:p>
    <w:p>
      <w:pPr>
        <w:pStyle w:val="Date"/>
      </w:pPr>
      <w:r>
        <w:t xml:space="preserve">2026-03-24</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p>
      <w:pPr>
        <w:pStyle w:val="SourceCode"/>
      </w:pPr>
      <w:r>
        <w:br/>
      </w:r>
      <w:r>
        <w:rPr>
          <w:rStyle w:val="VerbatimChar"/>
        </w:rPr>
        <w:t xml:space="preserve">The downloaded binary packages are in</w:t>
      </w:r>
      <w:r>
        <w:br/>
      </w:r>
      <w:r>
        <w:rPr>
          <w:rStyle w:val="VerbatimChar"/>
        </w:rPr>
        <w:t xml:space="preserve">    /var/folders/x4/3lxftn1s4zgf32y4j4tqx4kh0000gn/T//RtmpvVXebF/downloaded_packages</w:t>
      </w:r>
    </w:p>
    <w:bookmarkStart w:id="21" w:name="abstract"/>
    <w:p>
      <w:pPr>
        <w:pStyle w:val="Heading1"/>
      </w:pPr>
      <w:r>
        <w:t xml:space="preserve">Abstract</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maintain occupant comfort.</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 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winter clothing conditions through controlled</w:t>
      </w:r>
      <w:r>
        <w:t xml:space="preserve"> </w:t>
      </w:r>
      <w:r>
        <w:t xml:space="preserve">laboratory experiments. Specifically, we aim to: (1) characterize local</w:t>
      </w:r>
      <w:r>
        <w:t xml:space="preserve"> </w:t>
      </w:r>
      <w:r>
        <w:t xml:space="preserve">and whole-body thermal sensation and comfort responses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3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 informed by computational fluid dynamics simulations</w:t>
      </w:r>
      <w:r>
        <w:t xml:space="preserve"> </w:t>
      </w:r>
      <w:r>
        <w:t xml:space="preserve">conducted as part of a broader research collaboration</w:t>
      </w:r>
      <w:r>
        <w:t xml:space="preserve"> </w:t>
      </w:r>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Sessions were scheduled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4" w:name="climate-chamber-and-apparatus"/>
    <w:p>
      <w:pPr>
        <w:pStyle w:val="Heading2"/>
      </w:pPr>
      <w:r>
        <w:t xml:space="preserve">2.2 Climate chamber and apparatus</w:t>
      </w:r>
    </w:p>
    <w:p>
      <w:pPr>
        <w:pStyle w:val="FirstParagraph"/>
      </w:pPr>
      <w:r>
        <w:t xml:space="preserve">The experiment was conducted in a climate-controlled chamber at the</w:t>
      </w:r>
      <w:r>
        <w:t xml:space="preserve"> </w:t>
      </w:r>
      <w:r>
        <w:t xml:space="preserve">Center for the Built Environment, UC Berkeley. The chamber floor area is</w:t>
      </w:r>
      <w:r>
        <w:t xml:space="preserve"> </w:t>
      </w:r>
      <w:r>
        <w:t xml:space="preserve">approximately 25 m², configured with up to three workstations to allow</w:t>
      </w:r>
      <w:r>
        <w:t xml:space="preserve"> </w:t>
      </w:r>
      <w:r>
        <w:t xml:space="preserve">simultaneous testing of multiple participants. Ambient room conditions</w:t>
      </w:r>
      <w:r>
        <w:t xml:space="preserve"> </w:t>
      </w:r>
      <w:r>
        <w:t xml:space="preserve">were maintained at approximately 22°C operative temperature, 50%</w:t>
      </w:r>
      <w:r>
        <w:t xml:space="preserve"> </w:t>
      </w:r>
      <w:r>
        <w:t xml:space="preserve">relative humidity, and background air velocity below 0.1 m/s, targeting</w:t>
      </w:r>
      <w:r>
        <w:t xml:space="preserve"> </w:t>
      </w:r>
      <w:r>
        <w:t xml:space="preserve">a whole-body thermal sensation of approximately −0.5 (slightly cool) on</w:t>
      </w:r>
      <w:r>
        <w:t xml:space="preserve"> </w:t>
      </w:r>
      <w:r>
        <w:t xml:space="preserve">the ASHRAE seven-point scale.</w:t>
      </w:r>
    </w:p>
    <w:p>
      <w:pPr>
        <w:pStyle w:val="BodyText"/>
      </w:pPr>
      <w:r>
        <w:t xml:space="preserve">A custom displacement diffuser was used to deliver conditioned air to</w:t>
      </w:r>
      <w:r>
        <w:t xml:space="preserve"> </w:t>
      </w:r>
      <w:r>
        <w:t xml:space="preserve">the ankle region of seated participants. The diffuser was positioned 0.7</w:t>
      </w:r>
      <w:r>
        <w:t xml:space="preserve"> </w:t>
      </w:r>
      <w:r>
        <w:t xml:space="preserve">m behind each workstation, directing airflow toward the participants’</w:t>
      </w:r>
      <w:r>
        <w:t xml:space="preserve"> </w:t>
      </w:r>
      <w:r>
        <w:t xml:space="preserve">lower legs from behind and simulating the approach direction of window</w:t>
      </w:r>
      <w:r>
        <w:t xml:space="preserve"> </w:t>
      </w:r>
      <w:r>
        <w:t xml:space="preserve">downdraft. The diffuser was connected to an independent air handling</w:t>
      </w:r>
      <w:r>
        <w:t xml:space="preserve"> </w:t>
      </w:r>
      <w:r>
        <w:t xml:space="preserve">unit capable of delivering supply air at the target temperatures and</w:t>
      </w:r>
      <w:r>
        <w:t xml:space="preserve"> </w:t>
      </w:r>
      <w:r>
        <w:t xml:space="preserve">flow rates. Turbulence intensity at the measurement location was</w:t>
      </w:r>
      <w:r>
        <w:t xml:space="preserve"> </w:t>
      </w:r>
      <w:r>
        <w:t xml:space="preserve">approximately 30%, consistent with values reported in prior ankle draft</w:t>
      </w:r>
      <w:r>
        <w:t xml:space="preserve"> </w:t>
      </w:r>
      <w:r>
        <w:t xml:space="preserve">studies</w:t>
      </w:r>
      <w:r>
        <w:t xml:space="preserve"> </w:t>
      </w:r>
      <w:r>
        <w:t xml:space="preserve">(</w:t>
      </w:r>
      <w:hyperlink w:anchor="X0e41857b9754d3f46055296e8711d0a459bcc8a">
        <w:r>
          <w:rPr>
            <w:rStyle w:val="Hyperlink"/>
          </w:rPr>
          <w:t xml:space="preserve">Liu et al., 2017</w:t>
        </w:r>
      </w:hyperlink>
      <w:r>
        <w:t xml:space="preserve">)</w:t>
      </w:r>
      <w:r>
        <w:t xml:space="preserve">.</w:t>
      </w:r>
    </w:p>
    <w:bookmarkEnd w:id="24"/>
    <w:bookmarkStart w:id="25" w:name="environmental-monitoring"/>
    <w:p>
      <w:pPr>
        <w:pStyle w:val="Heading2"/>
      </w:pPr>
      <w:r>
        <w:t xml:space="preserve">2.3 Environmental monitoring</w:t>
      </w:r>
    </w:p>
    <w:p>
      <w:pPr>
        <w:pStyle w:val="FirstParagraph"/>
      </w:pPr>
      <w:r>
        <w:t xml:space="preserve">Air temperature was measured at head-height at each workstation using</w:t>
      </w:r>
      <w:r>
        <w:t xml:space="preserve"> </w:t>
      </w:r>
      <w:r>
        <w:t xml:space="preserve">calibrated Atmocube monitors (Atmotech Inc., United States; air</w:t>
      </w:r>
      <w:r>
        <w:t xml:space="preserve"> </w:t>
      </w:r>
      <w:r>
        <w:t xml:space="preserve">temperature: -40 to +125°C, ± 0.5°C, relative humidity: 0 to 100%RH, ± 2</w:t>
      </w:r>
      <w:r>
        <w:t xml:space="preserve"> </w:t>
      </w:r>
      <w:r>
        <w:t xml:space="preserve">%RH, CO</w:t>
      </w:r>
      <w:r>
        <w:rPr>
          <w:vertAlign w:val="subscript"/>
        </w:rPr>
        <w:t xml:space="preserve">2</w:t>
      </w:r>
      <w:r>
        <w:t xml:space="preserve">: 0 to 5000 ppm, ± 50 ppm + 2.5% of reading at standard room</w:t>
      </w:r>
      <w:r>
        <w:t xml:space="preserve"> </w:t>
      </w:r>
      <w:r>
        <w:t xml:space="preserve">levels) positioned within 0.5 m of participants. Air velocity at ankle</w:t>
      </w:r>
      <w:r>
        <w:t xml:space="preserve"> </w:t>
      </w:r>
      <w:r>
        <w:t xml:space="preserve">level (0.1 m) was measured using AirDistSys 5000 omnidirectional</w:t>
      </w:r>
      <w:r>
        <w:t xml:space="preserve"> </w:t>
      </w:r>
      <w:r>
        <w:t xml:space="preserve">hot-wire anemometers (Sensor Electronic, Poland, air velocity: 0.05-5</w:t>
      </w:r>
      <w:r>
        <w:t xml:space="preserve"> </w:t>
      </w:r>
      <w:r>
        <w:t xml:space="preserve">m/s, accuracy: ±0.02 m/s ±2% of reading; temperature: -10 to +50°C,</w:t>
      </w:r>
      <w:r>
        <w:t xml:space="preserve"> </w:t>
      </w:r>
      <w:r>
        <w:t xml:space="preserve">accuracy: ±0.2°C, sampling interval: 1 s). Supply air temperature was</w:t>
      </w:r>
      <w:r>
        <w:t xml:space="preserve"> </w:t>
      </w:r>
      <w:r>
        <w:t xml:space="preserve">monitored continuously at the diffuser outlet. Room-level measurements</w:t>
      </w:r>
      <w:r>
        <w:t xml:space="preserve"> </w:t>
      </w:r>
      <w:r>
        <w:t xml:space="preserve">of relative humidity and CO</w:t>
      </w:r>
      <w:r>
        <w:rPr>
          <w:vertAlign w:val="subscript"/>
        </w:rPr>
        <w:t xml:space="preserve">2</w:t>
      </w:r>
      <w:r>
        <w:t xml:space="preserve"> </w:t>
      </w:r>
      <w:r>
        <w:t xml:space="preserve">concentration were recorded throughout</w:t>
      </w:r>
      <w:r>
        <w:t xml:space="preserve"> </w:t>
      </w:r>
      <w:r>
        <w:t xml:space="preserve">each session.</w:t>
      </w:r>
    </w:p>
    <w:bookmarkEnd w:id="25"/>
    <w:bookmarkStart w:id="26" w:name="participants"/>
    <w:p>
      <w:pPr>
        <w:pStyle w:val="Heading2"/>
      </w:pPr>
      <w:r>
        <w:t xml:space="preserve">2.4 Participants</w:t>
      </w:r>
    </w:p>
    <w:p>
      <w:pPr>
        <w:pStyle w:val="FirstParagraph"/>
      </w:pPr>
      <w:r>
        <w:t xml:space="preserve">We recruited participants from the university community and local area</w:t>
      </w:r>
      <w:r>
        <w:t xml:space="preserve"> </w:t>
      </w:r>
      <w:r>
        <w:t xml:space="preserve">through the Experimental Social Science Laboratory (Xlab) platform and</w:t>
      </w:r>
      <w:r>
        <w:t xml:space="preserve"> </w:t>
      </w:r>
      <w:r>
        <w:t xml:space="preserve">email outreach to individuals who had participated in previous studies</w:t>
      </w:r>
      <w:r>
        <w:t xml:space="preserve"> </w:t>
      </w:r>
      <w:r>
        <w:t xml:space="preserve">and consented to future contact. Eligible participants were between 21</w:t>
      </w:r>
      <w:r>
        <w:t xml:space="preserve"> </w:t>
      </w:r>
      <w:r>
        <w:t xml:space="preserve">and 55 years of age, fluent in English, and free from chronic</w:t>
      </w:r>
      <w:r>
        <w:t xml:space="preserve"> </w:t>
      </w:r>
      <w:r>
        <w:t xml:space="preserve">cardiorespiratory conditions or recent major surgery. Pregnant</w:t>
      </w:r>
      <w:r>
        <w:t xml:space="preserve"> </w:t>
      </w:r>
      <w:r>
        <w:t xml:space="preserve">individuals were excluded.</w:t>
      </w:r>
    </w:p>
    <w:bookmarkEnd w:id="26"/>
    <w:bookmarkStart w:id="27" w:name="clothing-protocol"/>
    <w:p>
      <w:pPr>
        <w:pStyle w:val="Heading2"/>
      </w:pPr>
      <w:r>
        <w:t xml:space="preserve">2.5 Clothing protocol</w:t>
      </w:r>
    </w:p>
    <w:p>
      <w:pPr>
        <w:pStyle w:val="FirstParagraph"/>
      </w:pPr>
      <w:r>
        <w:t xml:space="preserve">To simulate typical winter office attire, participants were instructed</w:t>
      </w:r>
      <w:r>
        <w:t xml:space="preserve"> </w:t>
      </w:r>
      <w:r>
        <w:t xml:space="preserve">to 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bookmarkEnd w:id="27"/>
    <w:bookmarkStart w:id="28" w:name="experimental-protocol"/>
    <w:p>
      <w:pPr>
        <w:pStyle w:val="Heading2"/>
      </w:pPr>
      <w:r>
        <w:t xml:space="preserve">2.6 Experimental protocol</w:t>
      </w:r>
    </w:p>
    <w:p>
      <w:pPr>
        <w:pStyle w:val="FirstParagraph"/>
      </w:pPr>
      <w:r>
        <w:t xml:space="preserve">Upon arrival for each experimental session, participants were checked</w:t>
      </w:r>
      <w:r>
        <w:t xml:space="preserve"> </w:t>
      </w:r>
      <w:r>
        <w:t xml:space="preserve">for elevated temperature and fitted with iButton skin temperature</w:t>
      </w:r>
      <w:r>
        <w:t xml:space="preserve"> </w:t>
      </w:r>
      <w:r>
        <w:t xml:space="preserve">sensors ((Thermochron, Maxim Integrated, USA, Type DS1923, 20°C to 85°C,</w:t>
      </w:r>
      <w:r>
        <w:t xml:space="preserve"> </w:t>
      </w:r>
      <w:r>
        <w:t xml:space="preserve">accuracy: ±0.1°C, resolution: 0.0625°C) at standardized locations (lower</w:t>
      </w:r>
      <w:r>
        <w:t xml:space="preserve"> </w:t>
      </w:r>
      <w:r>
        <w:t xml:space="preserve">leg, feet). Participants then entered the climate chamber and completed</w:t>
      </w:r>
      <w:r>
        <w:t xml:space="preserve"> </w:t>
      </w:r>
      <w:r>
        <w:t xml:space="preserve">a 20-minute adaptation period at their assigned workstation under</w:t>
      </w:r>
      <w:r>
        <w:t xml:space="preserve"> </w:t>
      </w:r>
      <w:r>
        <w:t xml:space="preserve">baseline conditions.</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The sequence of air speed conditions was</w:t>
      </w:r>
      <w:r>
        <w:t xml:space="preserve"> </w:t>
      </w:r>
      <w:r>
        <w:t xml:space="preserve">counterbalanced across participants and sessions. During each exposure</w:t>
      </w:r>
      <w:r>
        <w:t xml:space="preserve"> </w:t>
      </w:r>
      <w:r>
        <w:t xml:space="preserve">period, participants completed standardized questionnaires at the end of</w:t>
      </w:r>
      <w:r>
        <w:t xml:space="preserve"> </w:t>
      </w:r>
      <w:r>
        <w:t xml:space="preserve">each interval.</w:t>
      </w:r>
    </w:p>
    <w:bookmarkEnd w:id="28"/>
    <w:bookmarkStart w:id="29" w:name="subjective-measurements"/>
    <w:p>
      <w:pPr>
        <w:pStyle w:val="Heading2"/>
      </w:pPr>
      <w:r>
        <w:t xml:space="preserve">2.7 Subjective measurements</w:t>
      </w:r>
    </w:p>
    <w:p>
      <w:pPr>
        <w:pStyle w:val="FirstParagraph"/>
      </w:pPr>
      <w:r>
        <w:t xml:space="preserve">The perception of the thermal environment was assessed using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 Table XX below.</w:t>
      </w:r>
    </w:p>
    <w:p>
      <w:pPr>
        <w:pStyle w:val="Compact"/>
        <w:numPr>
          <w:ilvl w:val="0"/>
          <w:numId w:val="1001"/>
        </w:numPr>
      </w:pPr>
      <w:r>
        <w:rPr>
          <w:b/>
          <w:bCs/>
        </w:rPr>
        <w:t xml:space="preserve">Whole-body thermal sensation</w:t>
      </w:r>
      <w:r>
        <w:t xml:space="preserve">: 7-point ASHRAE scale (−3 cold to</w:t>
      </w:r>
      <w:r>
        <w:t xml:space="preserve"> </w:t>
      </w:r>
      <w:r>
        <w:t xml:space="preserve">+3 hot)</w:t>
      </w:r>
    </w:p>
    <w:p>
      <w:pPr>
        <w:pStyle w:val="Compact"/>
        <w:numPr>
          <w:ilvl w:val="0"/>
          <w:numId w:val="1001"/>
        </w:numPr>
      </w:pPr>
      <w:r>
        <w:rPr>
          <w:b/>
          <w:bCs/>
        </w:rPr>
        <w:t xml:space="preserve">Whole-body thermal comfort</w:t>
      </w:r>
      <w:r>
        <w:t xml:space="preserve">: continuous scale</w:t>
      </w:r>
    </w:p>
    <w:p>
      <w:pPr>
        <w:pStyle w:val="Compact"/>
        <w:numPr>
          <w:ilvl w:val="0"/>
          <w:numId w:val="1001"/>
        </w:numPr>
      </w:pPr>
      <w:r>
        <w:rPr>
          <w:b/>
          <w:bCs/>
        </w:rPr>
        <w:t xml:space="preserve">Whole-body thermal preference</w:t>
      </w:r>
      <w:r>
        <w:t xml:space="preserve">: 3-point scale (cooler / no change</w:t>
      </w:r>
      <w:r>
        <w:t xml:space="preserve"> </w:t>
      </w:r>
      <w:r>
        <w:t xml:space="preserve">/ warmer)</w:t>
      </w:r>
    </w:p>
    <w:p>
      <w:pPr>
        <w:pStyle w:val="Compact"/>
        <w:numPr>
          <w:ilvl w:val="0"/>
          <w:numId w:val="1001"/>
        </w:numPr>
      </w:pPr>
      <w:r>
        <w:rPr>
          <w:b/>
          <w:bCs/>
        </w:rPr>
        <w:t xml:space="preserve">Local thermal sensation at ankles</w:t>
      </w:r>
      <w:r>
        <w:t xml:space="preserve">: 7-point scale</w:t>
      </w:r>
    </w:p>
    <w:p>
      <w:pPr>
        <w:pStyle w:val="Compact"/>
        <w:numPr>
          <w:ilvl w:val="0"/>
          <w:numId w:val="1001"/>
        </w:numPr>
      </w:pPr>
      <w:r>
        <w:rPr>
          <w:b/>
          <w:bCs/>
        </w:rPr>
        <w:t xml:space="preserve">Local thermal preference at ankles</w:t>
      </w:r>
      <w:r>
        <w:t xml:space="preserve">: 3-point scale</w:t>
      </w:r>
    </w:p>
    <w:p>
      <w:pPr>
        <w:pStyle w:val="Compact"/>
        <w:numPr>
          <w:ilvl w:val="0"/>
          <w:numId w:val="1001"/>
        </w:numPr>
      </w:pPr>
      <w:r>
        <w:rPr>
          <w:b/>
          <w:bCs/>
        </w:rPr>
        <w:t xml:space="preserve">Air movement acceptability at ankles</w:t>
      </w:r>
      <w:r>
        <w:t xml:space="preserve">: 5-point scale (very</w:t>
      </w:r>
      <w:r>
        <w:t xml:space="preserve"> </w:t>
      </w:r>
      <w:r>
        <w:t xml:space="preserve">unacceptable to very acceptable)</w:t>
      </w:r>
    </w:p>
    <w:p>
      <w:pPr>
        <w:pStyle w:val="Compact"/>
        <w:numPr>
          <w:ilvl w:val="0"/>
          <w:numId w:val="1001"/>
        </w:numPr>
      </w:pPr>
      <w:r>
        <w:rPr>
          <w:b/>
          <w:bCs/>
        </w:rPr>
        <w:t xml:space="preserve">Air movement preference at ankles</w:t>
      </w:r>
      <w:r>
        <w:t xml:space="preserve">: 3-point scale (lower / no</w:t>
      </w:r>
      <w:r>
        <w:t xml:space="preserve"> </w:t>
      </w:r>
      <w:r>
        <w:t xml:space="preserve">change / higher)</w:t>
      </w:r>
    </w:p>
    <w:p>
      <w:pPr>
        <w:pStyle w:val="FirstParagraph"/>
      </w:pPr>
      <w:r>
        <w:t xml:space="preserve">Surveys were administered electronically via Qualtrics. Participants</w:t>
      </w:r>
      <w:r>
        <w:t xml:space="preserve"> </w:t>
      </w:r>
      <w:r>
        <w:t xml:space="preserve">were not required to respond to any individual question, though</w:t>
      </w:r>
      <w:r>
        <w:t xml:space="preserve"> </w:t>
      </w:r>
      <w:r>
        <w:t xml:space="preserve">completion rates were monitored.</w:t>
      </w:r>
    </w:p>
    <w:bookmarkEnd w:id="29"/>
    <w:bookmarkStart w:id="30" w:name="physiological-measurements"/>
    <w:p>
      <w:pPr>
        <w:pStyle w:val="Heading2"/>
      </w:pPr>
      <w:r>
        <w:t xml:space="preserve">2.8 Physiological measurements</w:t>
      </w:r>
    </w:p>
    <w:p>
      <w:pPr>
        <w:pStyle w:val="FirstParagraph"/>
      </w:pPr>
      <w:r>
        <w:t xml:space="preserve">Skin temperature was recorded continuously using the iButton sensors</w:t>
      </w:r>
      <w:r>
        <w:t xml:space="preserve"> </w:t>
      </w:r>
      <w:r>
        <w:t xml:space="preserve">attached with medical-grade hypoallergenic tape. Sensors were placed on</w:t>
      </w:r>
      <w:r>
        <w:t xml:space="preserve"> </w:t>
      </w:r>
      <w:r>
        <w:t xml:space="preserve">the lateral lower leg (mid-calf) and feet. Skin temperature data were</w:t>
      </w:r>
      <w:r>
        <w:t xml:space="preserve"> </w:t>
      </w:r>
      <w:r>
        <w:t xml:space="preserve">used to assess local cooling responses and as physiological correlates</w:t>
      </w:r>
      <w:r>
        <w:t xml:space="preserve"> </w:t>
      </w:r>
      <w:r>
        <w:t xml:space="preserve">of subjective thermal sensation.</w:t>
      </w:r>
    </w:p>
    <w:bookmarkEnd w:id="30"/>
    <w:bookmarkStart w:id="31" w:name="statistical-analysis-and-data-processing"/>
    <w:p>
      <w:pPr>
        <w:pStyle w:val="Heading2"/>
      </w:pPr>
      <w:r>
        <w:t xml:space="preserve">2.9 Statistical analysis and data processing</w:t>
      </w:r>
    </w:p>
    <w:bookmarkEnd w:id="31"/>
    <w:bookmarkEnd w:id="32"/>
    <w:bookmarkStart w:id="48" w:name="results"/>
    <w:p>
      <w:pPr>
        <w:pStyle w:val="Heading1"/>
      </w:pPr>
      <w:r>
        <w:t xml:space="preserve">3. Results</w:t>
      </w:r>
    </w:p>
    <w:bookmarkStart w:id="3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33" w:name="tbl-demographics"/>
          <w:p>
            <w:pPr>
              <w:jc w:val="center"/>
            </w:pPr>
            <w:pPr>
              <w:jc w:val="left"/>
              <w:spacing w:before="200"/>
              <w:pStyle w:val="ImageCaption"/>
            </w:pPr>
            <w:r>
              <w:t xml:space="preserve">Table 1: Summary of demographic information (mean ± SD) on study participants.</w:t>
            </w:r>
          </w:p>
          <w:tbl>
            <w:tblPr>
              <w:tblStyle w:val="Table"/>
              <w:tblW w:type="pct" w:w="5000"/>
              <w:tblLayout w:type="fixed"/>
              <w:tblLook w:firstRow="1" w:lastRow="0" w:firstColumn="0" w:lastColumn="0" w:noHBand="0" w:noVBand="0" w:val="0020"/>
            </w:tblPr>
            <w:tblGrid>
              <w:gridCol w:w="1714"/>
              <w:gridCol w:w="1061"/>
              <w:gridCol w:w="1061"/>
              <w:gridCol w:w="1143"/>
              <w:gridCol w:w="1143"/>
              <w:gridCol w:w="1796"/>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4" w:name="tbl-env"/>
          <w:p>
            <w:pPr>
              <w:jc w:val="center"/>
            </w:pPr>
            <w:pPr>
              <w:jc w:val="left"/>
              <w:spacing w:before="200"/>
              <w:pStyle w:val="ImageCaption"/>
            </w:pPr>
            <w:r>
              <w:t xml:space="preserve">Table 2: Summary of environmental measurements.</w:t>
            </w:r>
          </w:p>
          <w:tbl>
            <w:tblPr>
              <w:tblStyle w:val="Table"/>
              <w:tblW w:type="pct" w:w="5000"/>
              <w:tblLayout w:type="fixed"/>
              <w:tblLook w:firstRow="1" w:lastRow="0" w:firstColumn="0" w:lastColumn="0" w:noHBand="0" w:noVBand="0" w:val="0020"/>
            </w:tblPr>
            <w:tblGrid>
              <w:gridCol w:w="2900"/>
              <w:gridCol w:w="1673"/>
              <w:gridCol w:w="1673"/>
              <w:gridCol w:w="167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t_air_c</w:t>
                  </w:r>
                </w:p>
              </w:tc>
              <w:tc>
                <w:tcPr/>
                <w:p>
                  <w:pPr>
                    <w:pStyle w:val="Compact"/>
                    <w:jc w:val="left"/>
                    <w:jc w:val="center"/>
                  </w:pPr>
                  <w:r>
                    <w:t xml:space="preserve">21.88 +/- 0.23</w:t>
                  </w:r>
                </w:p>
              </w:tc>
              <w:tc>
                <w:tcPr/>
                <w:p>
                  <w:pPr>
                    <w:pStyle w:val="Compact"/>
                    <w:jc w:val="left"/>
                    <w:jc w:val="center"/>
                  </w:pPr>
                  <w:r>
                    <w:t xml:space="preserve">21.9 +/- 0.31</w:t>
                  </w:r>
                </w:p>
              </w:tc>
              <w:tc>
                <w:tcPr/>
                <w:p>
                  <w:pPr>
                    <w:pStyle w:val="Compact"/>
                    <w:jc w:val="left"/>
                    <w:jc w:val="center"/>
                  </w:pPr>
                  <w:r>
                    <w:t xml:space="preserve">21.85 +/- 0.2</w:t>
                  </w:r>
                </w:p>
              </w:tc>
            </w:tr>
            <w:tr>
              <w:tc>
                <w:tcPr/>
                <w:p>
                  <w:pPr>
                    <w:pStyle w:val="Compact"/>
                    <w:jc w:val="left"/>
                    <w:jc w:val="center"/>
                  </w:pPr>
                  <w:r>
                    <w:t xml:space="preserve">rh_percent</w:t>
                  </w:r>
                </w:p>
              </w:tc>
              <w:tc>
                <w:tcPr/>
                <w:p>
                  <w:pPr>
                    <w:pStyle w:val="Compact"/>
                    <w:jc w:val="left"/>
                    <w:jc w:val="center"/>
                  </w:pPr>
                  <w:r>
                    <w:t xml:space="preserve">54.88 +/- 5.52</w:t>
                  </w:r>
                </w:p>
              </w:tc>
              <w:tc>
                <w:tcPr/>
                <w:p>
                  <w:pPr>
                    <w:pStyle w:val="Compact"/>
                    <w:jc w:val="left"/>
                    <w:jc w:val="center"/>
                  </w:pPr>
                  <w:r>
                    <w:t xml:space="preserve">52.33 +/- 5.02</w:t>
                  </w:r>
                </w:p>
              </w:tc>
              <w:tc>
                <w:tcPr/>
                <w:p>
                  <w:pPr>
                    <w:pStyle w:val="Compact"/>
                    <w:jc w:val="left"/>
                    <w:jc w:val="center"/>
                  </w:pPr>
                  <w:r>
                    <w:t xml:space="preserve">51.23 +/- 4.76</w:t>
                  </w:r>
                </w:p>
              </w:tc>
            </w:tr>
            <w:tr>
              <w:tc>
                <w:tcPr/>
                <w:p>
                  <w:pPr>
                    <w:pStyle w:val="Compact"/>
                    <w:jc w:val="left"/>
                    <w:jc w:val="center"/>
                  </w:pPr>
                  <w:r>
                    <w:t xml:space="preserve">low_v_air_s</w:t>
                  </w:r>
                </w:p>
              </w:tc>
              <w:tc>
                <w:tcPr/>
                <w:p>
                  <w:pPr>
                    <w:pStyle w:val="Compact"/>
                    <w:jc w:val="left"/>
                    <w:jc w:val="center"/>
                  </w:pPr>
                  <w:r>
                    <w:t xml:space="preserve">0.14 +/- 0.02</w:t>
                  </w:r>
                </w:p>
              </w:tc>
              <w:tc>
                <w:tcPr/>
                <w:p>
                  <w:pPr>
                    <w:pStyle w:val="Compact"/>
                    <w:jc w:val="left"/>
                    <w:jc w:val="center"/>
                  </w:pPr>
                  <w:r>
                    <w:t xml:space="preserve">0.16 +/- 0.01</w:t>
                  </w:r>
                </w:p>
              </w:tc>
              <w:tc>
                <w:tcPr/>
                <w:p>
                  <w:pPr>
                    <w:pStyle w:val="Compact"/>
                    <w:jc w:val="left"/>
                    <w:jc w:val="center"/>
                  </w:pPr>
                  <w:r>
                    <w:t xml:space="preserve">0.18 +/- 0.01</w:t>
                  </w:r>
                </w:p>
              </w:tc>
            </w:tr>
            <w:tr>
              <w:tc>
                <w:tcPr/>
                <w:p>
                  <w:pPr>
                    <w:pStyle w:val="Compact"/>
                    <w:jc w:val="left"/>
                    <w:jc w:val="center"/>
                  </w:pPr>
                  <w:r>
                    <w:t xml:space="preserve">med_v_air_s</w:t>
                  </w:r>
                </w:p>
              </w:tc>
              <w:tc>
                <w:tcPr/>
                <w:p>
                  <w:pPr>
                    <w:pStyle w:val="Compact"/>
                    <w:jc w:val="left"/>
                    <w:jc w:val="center"/>
                  </w:pPr>
                  <w:r>
                    <w:t xml:space="preserve">0.37 +/- 0.02</w:t>
                  </w:r>
                </w:p>
              </w:tc>
              <w:tc>
                <w:tcPr/>
                <w:p>
                  <w:pPr>
                    <w:pStyle w:val="Compact"/>
                    <w:jc w:val="left"/>
                    <w:jc w:val="center"/>
                  </w:pPr>
                  <w:r>
                    <w:t xml:space="preserve">0.39 +/- 0.03</w:t>
                  </w:r>
                </w:p>
              </w:tc>
              <w:tc>
                <w:tcPr/>
                <w:p>
                  <w:pPr>
                    <w:pStyle w:val="Compact"/>
                    <w:jc w:val="left"/>
                    <w:jc w:val="center"/>
                  </w:pPr>
                  <w:r>
                    <w:t xml:space="preserve">0.42 +/- 0.03</w:t>
                  </w:r>
                </w:p>
              </w:tc>
            </w:tr>
            <w:tr>
              <w:tc>
                <w:tcPr/>
                <w:p>
                  <w:pPr>
                    <w:pStyle w:val="Compact"/>
                    <w:jc w:val="left"/>
                    <w:jc w:val="center"/>
                  </w:pPr>
                  <w:r>
                    <w:t xml:space="preserve">high_v_air_s</w:t>
                  </w:r>
                </w:p>
              </w:tc>
              <w:tc>
                <w:tcPr/>
                <w:p>
                  <w:pPr>
                    <w:pStyle w:val="Compact"/>
                    <w:jc w:val="left"/>
                    <w:jc w:val="center"/>
                  </w:pPr>
                  <w:r>
                    <w:t xml:space="preserve">0.64 +/- 0.04</w:t>
                  </w:r>
                </w:p>
              </w:tc>
              <w:tc>
                <w:tcPr/>
                <w:p>
                  <w:pPr>
                    <w:pStyle w:val="Compact"/>
                    <w:jc w:val="left"/>
                    <w:jc w:val="center"/>
                  </w:pPr>
                  <w:r>
                    <w:t xml:space="preserve">0.62 +/- 0.01</w:t>
                  </w:r>
                </w:p>
              </w:tc>
              <w:tc>
                <w:tcPr/>
                <w:p>
                  <w:pPr>
                    <w:pStyle w:val="Compact"/>
                    <w:jc w:val="left"/>
                    <w:jc w:val="center"/>
                  </w:pPr>
                  <w:r>
                    <w:t xml:space="preserve">0.65 +/- 0.03</w:t>
                  </w:r>
                </w:p>
              </w:tc>
            </w:tr>
            <w:tr>
              <w:tc>
                <w:tcPr/>
                <w:p>
                  <w:pPr>
                    <w:pStyle w:val="Compact"/>
                    <w:jc w:val="left"/>
                    <w:jc w:val="center"/>
                  </w:pPr>
                  <w:r>
                    <w:t xml:space="preserve">low_t_supply_c</w:t>
                  </w:r>
                </w:p>
              </w:tc>
              <w:tc>
                <w:tcPr/>
                <w:p>
                  <w:pPr>
                    <w:pStyle w:val="Compact"/>
                    <w:jc w:val="left"/>
                    <w:jc w:val="center"/>
                  </w:pPr>
                  <w:r>
                    <w:t xml:space="preserve">17.77 +/- 0.36</w:t>
                  </w:r>
                </w:p>
              </w:tc>
              <w:tc>
                <w:tcPr/>
                <w:p>
                  <w:pPr>
                    <w:pStyle w:val="Compact"/>
                    <w:jc w:val="left"/>
                    <w:jc w:val="center"/>
                  </w:pPr>
                  <w:r>
                    <w:t xml:space="preserve">18.33 +/- 0.24</w:t>
                  </w:r>
                </w:p>
              </w:tc>
              <w:tc>
                <w:tcPr/>
                <w:p>
                  <w:pPr>
                    <w:pStyle w:val="Compact"/>
                    <w:jc w:val="left"/>
                    <w:jc w:val="center"/>
                  </w:pPr>
                  <w:r>
                    <w:t xml:space="preserve">19.79 +/- 0.28</w:t>
                  </w:r>
                </w:p>
              </w:tc>
            </w:tr>
            <w:tr>
              <w:tc>
                <w:tcPr/>
                <w:p>
                  <w:pPr>
                    <w:pStyle w:val="Compact"/>
                    <w:jc w:val="left"/>
                    <w:jc w:val="center"/>
                  </w:pPr>
                  <w:r>
                    <w:t xml:space="preserve">med_t_supply_c</w:t>
                  </w:r>
                </w:p>
              </w:tc>
              <w:tc>
                <w:tcPr/>
                <w:p>
                  <w:pPr>
                    <w:pStyle w:val="Compact"/>
                    <w:jc w:val="left"/>
                    <w:jc w:val="center"/>
                  </w:pPr>
                  <w:r>
                    <w:t xml:space="preserve">17.64 +/- 0.26</w:t>
                  </w:r>
                </w:p>
              </w:tc>
              <w:tc>
                <w:tcPr/>
                <w:p>
                  <w:pPr>
                    <w:pStyle w:val="Compact"/>
                    <w:jc w:val="left"/>
                    <w:jc w:val="center"/>
                  </w:pPr>
                  <w:r>
                    <w:t xml:space="preserve">18.23 +/- 0.21</w:t>
                  </w:r>
                </w:p>
              </w:tc>
              <w:tc>
                <w:tcPr/>
                <w:p>
                  <w:pPr>
                    <w:pStyle w:val="Compact"/>
                    <w:jc w:val="left"/>
                    <w:jc w:val="center"/>
                  </w:pPr>
                  <w:r>
                    <w:t xml:space="preserve">19.67 +/- 0.15</w:t>
                  </w:r>
                </w:p>
              </w:tc>
            </w:tr>
            <w:tr>
              <w:tc>
                <w:tcPr/>
                <w:p>
                  <w:pPr>
                    <w:pStyle w:val="Compact"/>
                    <w:jc w:val="left"/>
                    <w:jc w:val="center"/>
                  </w:pPr>
                  <w:r>
                    <w:t xml:space="preserve">high_t_supply_c</w:t>
                  </w:r>
                </w:p>
              </w:tc>
              <w:tc>
                <w:tcPr/>
                <w:p>
                  <w:pPr>
                    <w:pStyle w:val="Compact"/>
                    <w:jc w:val="left"/>
                    <w:jc w:val="center"/>
                  </w:pPr>
                  <w:r>
                    <w:t xml:space="preserve">17.51 +/- 0.16</w:t>
                  </w:r>
                </w:p>
              </w:tc>
              <w:tc>
                <w:tcPr/>
                <w:p>
                  <w:pPr>
                    <w:pStyle w:val="Compact"/>
                    <w:jc w:val="left"/>
                    <w:jc w:val="center"/>
                  </w:pPr>
                  <w:r>
                    <w:t xml:space="preserve">18.32 +/- 0.18</w:t>
                  </w:r>
                </w:p>
              </w:tc>
              <w:tc>
                <w:tcPr/>
                <w:p>
                  <w:pPr>
                    <w:pStyle w:val="Compact"/>
                    <w:jc w:val="left"/>
                    <w:jc w:val="center"/>
                  </w:pPr>
                  <w:r>
                    <w:t xml:space="preserve">19.72 +/- 0.17</w:t>
                  </w:r>
                </w:p>
              </w:tc>
            </w:tr>
            <w:tr>
              <w:tc>
                <w:tcPr/>
                <w:p>
                  <w:pPr>
                    <w:pStyle w:val="Compact"/>
                    <w:jc w:val="left"/>
                    <w:jc w:val="center"/>
                  </w:pPr>
                  <w:r>
                    <w:t xml:space="preserve">low_turbulence_intensity</w:t>
                  </w:r>
                </w:p>
              </w:tc>
              <w:tc>
                <w:tcPr/>
                <w:p>
                  <w:pPr>
                    <w:pStyle w:val="Compact"/>
                    <w:jc w:val="left"/>
                    <w:jc w:val="center"/>
                  </w:pPr>
                  <w:r>
                    <w:t xml:space="preserve">0.36 +/- 0.02</w:t>
                  </w:r>
                </w:p>
              </w:tc>
              <w:tc>
                <w:tcPr/>
                <w:p>
                  <w:pPr>
                    <w:pStyle w:val="Compact"/>
                    <w:jc w:val="left"/>
                    <w:jc w:val="center"/>
                  </w:pPr>
                  <w:r>
                    <w:t xml:space="preserve">0.34 +/- 0.01</w:t>
                  </w:r>
                </w:p>
              </w:tc>
              <w:tc>
                <w:tcPr/>
                <w:p>
                  <w:pPr>
                    <w:pStyle w:val="Compact"/>
                    <w:jc w:val="left"/>
                    <w:jc w:val="center"/>
                  </w:pPr>
                  <w:r>
                    <w:t xml:space="preserve">0.3 +/- 0.01</w:t>
                  </w:r>
                </w:p>
              </w:tc>
            </w:tr>
            <w:tr>
              <w:tc>
                <w:tcPr/>
                <w:p>
                  <w:pPr>
                    <w:pStyle w:val="Compact"/>
                    <w:jc w:val="left"/>
                    <w:jc w:val="center"/>
                  </w:pPr>
                  <w:r>
                    <w:t xml:space="preserve">med_turbulence_intensity</w:t>
                  </w:r>
                </w:p>
              </w:tc>
              <w:tc>
                <w:tcPr/>
                <w:p>
                  <w:pPr>
                    <w:pStyle w:val="Compact"/>
                    <w:jc w:val="left"/>
                    <w:jc w:val="center"/>
                  </w:pPr>
                  <w:r>
                    <w:t xml:space="preserve">0.26 +/- 0.02</w:t>
                  </w:r>
                </w:p>
              </w:tc>
              <w:tc>
                <w:tcPr/>
                <w:p>
                  <w:pPr>
                    <w:pStyle w:val="Compact"/>
                    <w:jc w:val="left"/>
                    <w:jc w:val="center"/>
                  </w:pPr>
                  <w:r>
                    <w:t xml:space="preserve">0.23 +/- 0.01</w:t>
                  </w:r>
                </w:p>
              </w:tc>
              <w:tc>
                <w:tcPr/>
                <w:p>
                  <w:pPr>
                    <w:pStyle w:val="Compact"/>
                    <w:jc w:val="left"/>
                    <w:jc w:val="center"/>
                  </w:pPr>
                  <w:r>
                    <w:t xml:space="preserve">0.23 +/- 0.02</w:t>
                  </w:r>
                </w:p>
              </w:tc>
            </w:tr>
            <w:tr>
              <w:tc>
                <w:tcPr/>
                <w:p>
                  <w:pPr>
                    <w:pStyle w:val="Compact"/>
                    <w:jc w:val="left"/>
                    <w:jc w:val="center"/>
                  </w:pPr>
                  <w:r>
                    <w:t xml:space="preserve">high_turbulence_intensity</w:t>
                  </w:r>
                </w:p>
              </w:tc>
              <w:tc>
                <w:tcPr/>
                <w:p>
                  <w:pPr>
                    <w:pStyle w:val="Compact"/>
                    <w:jc w:val="left"/>
                    <w:jc w:val="center"/>
                  </w:pPr>
                  <w:r>
                    <w:t xml:space="preserve">0.24 +/- 0.01</w:t>
                  </w:r>
                </w:p>
              </w:tc>
              <w:tc>
                <w:tcPr/>
                <w:p>
                  <w:pPr>
                    <w:pStyle w:val="Compact"/>
                    <w:jc w:val="left"/>
                    <w:jc w:val="center"/>
                  </w:pPr>
                  <w:r>
                    <w:t xml:space="preserve">0.24 +/- 0.01</w:t>
                  </w:r>
                </w:p>
              </w:tc>
              <w:tc>
                <w:tcPr/>
                <w:p>
                  <w:pPr>
                    <w:pStyle w:val="Compact"/>
                    <w:jc w:val="left"/>
                    <w:jc w:val="center"/>
                  </w:pPr>
                  <w:r>
                    <w:t xml:space="preserve">0.23 +/- 0.01</w:t>
                  </w:r>
                </w:p>
              </w:tc>
            </w:tr>
          </w:tbl>
          <w:bookmarkEnd w:id="34"/>
          <w:p/>
        </w:tc>
      </w:tr>
    </w:tbl>
    <w:bookmarkEnd w:id="35"/>
    <w:bookmarkStart w:id="40" w:name="thermal-sensation-and-comfort-responses"/>
    <w:p>
      <w:pPr>
        <w:pStyle w:val="Heading2"/>
      </w:pPr>
      <w:r>
        <w:t xml:space="preserve">3.2 Thermal sensation and comfort responses</w:t>
      </w:r>
    </w:p>
    <w:tbl>
      <w:tblPr>
        <w:tblStyle w:val="Table"/>
        <w:tblW w:type="pct" w:w="5000"/>
        <w:tblLayout w:type="fixed"/>
        <w:tblLook w:firstRow="0" w:lastRow="0" w:firstColumn="0" w:lastColumn="0" w:noHBand="0" w:noVBand="0" w:val="0000"/>
      </w:tblPr>
      <w:tblGrid>
        <w:gridCol w:w="7920"/>
      </w:tblGrid>
      <w:tr>
        <w:tc>
          <w:tcPr/>
          <w:bookmarkStart w:id="39" w:name="fig-thermal-perception"/>
          <w:p>
            <w:pPr>
              <w:pStyle w:val="Compact"/>
              <w:jc w:val="center"/>
            </w:pPr>
            <w:r>
              <w:drawing>
                <wp:inline>
                  <wp:extent cx="5943600" cy="5846245"/>
                  <wp:effectExtent b="0" l="0" r="0" t="0"/>
                  <wp:docPr descr="" title="" id="37" name="Picture"/>
                  <a:graphic>
                    <a:graphicData uri="http://schemas.openxmlformats.org/drawingml/2006/picture">
                      <pic:pic>
                        <pic:nvPicPr>
                          <pic:cNvPr descr="figs/thermal_perception.png" id="38" name="Picture"/>
                          <pic:cNvPicPr>
                            <a:picLocks noChangeArrowheads="1" noChangeAspect="1"/>
                          </pic:cNvPicPr>
                        </pic:nvPicPr>
                        <pic:blipFill>
                          <a:blip r:embed="rId36"/>
                          <a:stretch>
                            <a:fillRect/>
                          </a:stretch>
                        </pic:blipFill>
                        <pic:spPr bwMode="auto">
                          <a:xfrm>
                            <a:off x="0" y="0"/>
                            <a:ext cx="5943600" cy="58462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Thermal sensation; and (b) thermal</w:t>
            </w:r>
            <w:r>
              <w:t xml:space="preserve"> </w:t>
            </w:r>
            <w:r>
              <w:t xml:space="preserve">acceptability.</w:t>
            </w:r>
          </w:p>
          <w:bookmarkEnd w:id="39"/>
        </w:tc>
      </w:tr>
    </w:tbl>
    <w:bookmarkEnd w:id="40"/>
    <w:bookmarkStart w:id="45" w:name="air-movement-acceptability-at-ankles"/>
    <w:p>
      <w:pPr>
        <w:pStyle w:val="Heading2"/>
      </w:pPr>
      <w:r>
        <w:t xml:space="preserve">3.3 Air movement acceptability at ankles</w:t>
      </w:r>
    </w:p>
    <w:tbl>
      <w:tblPr>
        <w:tblStyle w:val="Table"/>
        <w:tblW w:type="pct" w:w="5000"/>
        <w:tblLayout w:type="fixed"/>
        <w:tblLook w:firstRow="0" w:lastRow="0" w:firstColumn="0" w:lastColumn="0" w:noHBand="0" w:noVBand="0" w:val="0000"/>
      </w:tblPr>
      <w:tblGrid>
        <w:gridCol w:w="7920"/>
      </w:tblGrid>
      <w:tr>
        <w:tc>
          <w:tcPr/>
          <w:bookmarkStart w:id="44" w:name="fig-air-move-acc-pref"/>
          <w:p>
            <w:pPr>
              <w:pStyle w:val="Compact"/>
              <w:jc w:val="center"/>
            </w:pPr>
            <w:r>
              <w:drawing>
                <wp:inline>
                  <wp:extent cx="3208646" cy="4328282"/>
                  <wp:effectExtent b="0" l="0" r="0" t="0"/>
                  <wp:docPr descr="" title="" id="42" name="Picture"/>
                  <a:graphic>
                    <a:graphicData uri="http://schemas.openxmlformats.org/drawingml/2006/picture">
                      <pic:pic>
                        <pic:nvPicPr>
                          <pic:cNvPr descr="figs/air_movement_acc_pref.png" id="43" name="Picture"/>
                          <pic:cNvPicPr>
                            <a:picLocks noChangeArrowheads="1" noChangeAspect="1"/>
                          </pic:cNvPicPr>
                        </pic:nvPicPr>
                        <pic:blipFill>
                          <a:blip r:embed="rId41"/>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Air movement acceptability; and (b) air movement</w:t>
            </w:r>
            <w:r>
              <w:t xml:space="preserve"> </w:t>
            </w:r>
            <w:r>
              <w:t xml:space="preserve">preference.</w:t>
            </w:r>
          </w:p>
          <w:bookmarkEnd w:id="44"/>
        </w:tc>
      </w:tr>
    </w:tbl>
    <w:bookmarkEnd w:id="45"/>
    <w:bookmarkStart w:id="46" w:name="dissatisfaction-with-ankle-draft"/>
    <w:p>
      <w:pPr>
        <w:pStyle w:val="Heading2"/>
      </w:pPr>
      <w:r>
        <w:t xml:space="preserve">3.4 Dissatisfaction with ankle draft</w:t>
      </w:r>
    </w:p>
    <w:bookmarkEnd w:id="46"/>
    <w:bookmarkStart w:id="47" w:name="updated-model-for-winter-conditions"/>
    <w:p>
      <w:pPr>
        <w:pStyle w:val="Heading2"/>
      </w:pPr>
      <w:r>
        <w:t xml:space="preserve">3.5 Updated model for winter conditions</w:t>
      </w:r>
    </w:p>
    <w:bookmarkEnd w:id="47"/>
    <w:bookmarkEnd w:id="48"/>
    <w:bookmarkStart w:id="54" w:name="discussion"/>
    <w:p>
      <w:pPr>
        <w:pStyle w:val="Heading1"/>
      </w:pPr>
      <w:r>
        <w:t xml:space="preserve">4. Discussion</w:t>
      </w:r>
    </w:p>
    <w:p>
      <w:pPr>
        <w:pStyle w:val="FirstParagraph"/>
      </w:pPr>
      <w:r>
        <w:t xml:space="preserve">The primary finding of this study is [summary of main result regarding</w:t>
      </w:r>
      <w:r>
        <w:t xml:space="preserve"> </w:t>
      </w:r>
      <w:r>
        <w:t xml:space="preserve">winter clothing effect on ankle draft sensitivity].</w:t>
      </w:r>
    </w:p>
    <w:bookmarkStart w:id="49" w:name="comparison-with-prior-research"/>
    <w:p>
      <w:pPr>
        <w:pStyle w:val="Heading2"/>
      </w:pPr>
      <w:r>
        <w:t xml:space="preserve">4.1 Comparison with prior research</w:t>
      </w:r>
    </w:p>
    <w:bookmarkEnd w:id="49"/>
    <w:bookmarkStart w:id="50" w:name="mechanisms"/>
    <w:p>
      <w:pPr>
        <w:pStyle w:val="Heading2"/>
      </w:pPr>
      <w:r>
        <w:t xml:space="preserve">4.2 Mechanisms</w:t>
      </w:r>
    </w:p>
    <w:bookmarkEnd w:id="50"/>
    <w:bookmarkStart w:id="51" w:name="implications-for-building-design"/>
    <w:p>
      <w:pPr>
        <w:pStyle w:val="Heading2"/>
      </w:pPr>
      <w:r>
        <w:t xml:space="preserve">4.3 Implications for building design</w:t>
      </w:r>
    </w:p>
    <w:bookmarkEnd w:id="51"/>
    <w:bookmarkStart w:id="52" w:name="relationship-to-standards"/>
    <w:p>
      <w:pPr>
        <w:pStyle w:val="Heading2"/>
      </w:pPr>
      <w:r>
        <w:t xml:space="preserve">4.4 Relationship to standards</w:t>
      </w:r>
    </w:p>
    <w:bookmarkEnd w:id="52"/>
    <w:bookmarkStart w:id="53" w:name="limitations"/>
    <w:p>
      <w:pPr>
        <w:pStyle w:val="Heading2"/>
      </w:pPr>
      <w:r>
        <w:t xml:space="preserve">4.5 Limitations</w:t>
      </w:r>
    </w:p>
    <w:bookmarkEnd w:id="53"/>
    <w:bookmarkEnd w:id="54"/>
    <w:bookmarkStart w:id="56" w:name="conclusions"/>
    <w:p>
      <w:pPr>
        <w:pStyle w:val="Heading1"/>
      </w:pPr>
      <w:r>
        <w:t xml:space="preserve">5. Conclusions</w:t>
      </w:r>
    </w:p>
    <w:bookmarkStart w:id="55" w:name="limitations-1"/>
    <w:p>
      <w:pPr>
        <w:pStyle w:val="Heading2"/>
      </w:pPr>
      <w:r>
        <w:t xml:space="preserve">5.1 Limitations</w:t>
      </w:r>
    </w:p>
    <w:bookmarkEnd w:id="55"/>
    <w:bookmarkEnd w:id="56"/>
    <w:bookmarkStart w:id="57" w:name="conclusions-1"/>
    <w:p>
      <w:pPr>
        <w:pStyle w:val="Heading1"/>
      </w:pPr>
      <w:r>
        <w:t xml:space="preserve">6. Conclusions</w:t>
      </w:r>
    </w:p>
    <w:bookmarkEnd w:id="57"/>
    <w:bookmarkStart w:id="58"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Stefano Schiavon</w:t>
      </w:r>
      <w:r>
        <w:t xml:space="preserve">:</w:t>
      </w:r>
      <w:r>
        <w:t xml:space="preserve"> </w:t>
      </w:r>
      <w:r>
        <w:t xml:space="preserve">Conceptualization, Funding acquisition, Methodology, Project</w:t>
      </w:r>
      <w:r>
        <w:t xml:space="preserve"> </w:t>
      </w:r>
      <w:r>
        <w:t xml:space="preserve">administration, Supervision, Writing - review &amp; editing.</w:t>
      </w:r>
    </w:p>
    <w:bookmarkEnd w:id="58"/>
    <w:bookmarkStart w:id="59" w:name="declaration-of-competing-interest"/>
    <w:p>
      <w:pPr>
        <w:pStyle w:val="Heading1"/>
      </w:pPr>
      <w:r>
        <w:t xml:space="preserve">Declaration of competing interest</w:t>
      </w:r>
    </w:p>
    <w:p>
      <w:pPr>
        <w:pStyle w:val="FirstParagraph"/>
      </w:pPr>
      <w:r>
        <w:t xml:space="preserve">All authors declare XYZ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59"/>
    <w:bookmarkStart w:id="60" w:name="data-availability"/>
    <w:p>
      <w:pPr>
        <w:pStyle w:val="Heading1"/>
      </w:pPr>
      <w:r>
        <w:t xml:space="preserve">7. 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 XXX.</w:t>
      </w:r>
    </w:p>
    <w:bookmarkEnd w:id="60"/>
    <w:bookmarkStart w:id="61" w:name="X071796dd6bc546c91e96cca1cf5ff96599de61f"/>
    <w:p>
      <w:pPr>
        <w:pStyle w:val="Heading1"/>
      </w:pPr>
      <w:r>
        <w:t xml:space="preserve">8. Declaration of Generative AI and AI-assisted technologies in the writing process</w:t>
      </w:r>
    </w:p>
    <w:p>
      <w:pPr>
        <w:pStyle w:val="FirstParagraph"/>
      </w:pPr>
      <w:r>
        <w:t xml:space="preserve">During the preparation of this work, the authors utilized the chatbot</w:t>
      </w:r>
      <w:r>
        <w:t xml:space="preserve"> </w:t>
      </w:r>
      <w:r>
        <w:t xml:space="preserve">ChatGPT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61"/>
    <w:bookmarkStart w:id="62" w:name="acknowledgements"/>
    <w:p>
      <w:pPr>
        <w:pStyle w:val="Heading1"/>
      </w:pPr>
      <w:r>
        <w:t xml:space="preserve">Acknowledgements</w:t>
      </w:r>
    </w:p>
    <w:p>
      <w:pPr>
        <w:pStyle w:val="FirstParagraph"/>
      </w:pPr>
      <w:r>
        <w:t xml:space="preserve">The Center for the Built Environment at the University of California,</w:t>
      </w:r>
      <w:r>
        <w:t xml:space="preserve"> </w:t>
      </w:r>
      <w:r>
        <w:t xml:space="preserve">Berkeley supported this research. The authors also want to thank</w:t>
      </w:r>
      <w:r>
        <w:t xml:space="preserve"> </w:t>
      </w:r>
      <w:r>
        <w:t xml:space="preserve">dedicated undergraduate students Heijin Hong, Lana Fiona Lilienstein,</w:t>
      </w:r>
      <w:r>
        <w:t xml:space="preserve"> </w:t>
      </w:r>
      <w:r>
        <w:t xml:space="preserve">Kevin Kim and Gayle Boyd for their voluntary support throughout the</w:t>
      </w:r>
      <w:r>
        <w:t xml:space="preserve"> </w:t>
      </w:r>
      <w:r>
        <w:t xml:space="preserve">experimental phase.</w:t>
      </w:r>
    </w:p>
    <w:bookmarkEnd w:id="62"/>
    <w:bookmarkStart w:id="72" w:name="references"/>
    <w:p>
      <w:pPr>
        <w:pStyle w:val="Heading1"/>
      </w:pPr>
      <w:r>
        <w:t xml:space="preserve">References</w:t>
      </w:r>
    </w:p>
    <w:bookmarkStart w:id="71" w:name="refs"/>
    <w:bookmarkStart w:id="63"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63"/>
    <w:bookmarkStart w:id="65"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64">
        <w:r>
          <w:rPr>
            <w:rStyle w:val="Hyperlink"/>
          </w:rPr>
          <w:t xml:space="preserve">https://doi.org/10.1016/j.buildenv.2018.06.022</w:t>
        </w:r>
      </w:hyperlink>
    </w:p>
    <w:bookmarkEnd w:id="65"/>
    <w:bookmarkStart w:id="66"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66"/>
    <w:bookmarkStart w:id="68"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67">
        <w:r>
          <w:rPr>
            <w:rStyle w:val="Hyperlink"/>
          </w:rPr>
          <w:t xml:space="preserve">https://doi.org/10.1111/ina.12364</w:t>
        </w:r>
      </w:hyperlink>
    </w:p>
    <w:bookmarkEnd w:id="68"/>
    <w:bookmarkStart w:id="70"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69">
        <w:r>
          <w:rPr>
            <w:rStyle w:val="Hyperlink"/>
          </w:rPr>
          <w:t xml:space="preserve">https://doi.org/10.1016/j.buildenv.2015.11.009</w:t>
        </w:r>
      </w:hyperlink>
    </w:p>
    <w:bookmarkEnd w:id="70"/>
    <w:bookmarkEnd w:id="71"/>
    <w:bookmarkEnd w:id="72"/>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25049132" w:numId="1">
    <w:abstractNumId w:val="0"/>
  </w:num>
  <w:num w16cid:durableId="802499594"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69" Target="https://doi.org/10.1016/j.buildenv.2015.11.009" TargetMode="External" /><Relationship Type="http://schemas.openxmlformats.org/officeDocument/2006/relationships/hyperlink" Id="rId64" Target="https://doi.org/10.1016/j.buildenv.2018.06.022" TargetMode="External" /><Relationship Type="http://schemas.openxmlformats.org/officeDocument/2006/relationships/hyperlink" Id="rId67" Target="https://doi.org/10.1111/ina.12364"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16/j.buildenv.2015.11.009" TargetMode="External" /><Relationship Type="http://schemas.openxmlformats.org/officeDocument/2006/relationships/hyperlink" Id="rId64" Target="https://doi.org/10.1016/j.buildenv.2018.06.022" TargetMode="External" /><Relationship Type="http://schemas.openxmlformats.org/officeDocument/2006/relationships/hyperlink" Id="rId67" Target="https://doi.org/10.1111/ina.12364"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 and Stefano Schiavon1,2,3</dc:creator>
  <cp:keywords/>
  <dcterms:created xsi:type="dcterms:W3CDTF">2026-03-24T18:03:20Z</dcterms:created>
  <dcterms:modified xsi:type="dcterms:W3CDTF">2026-03-24T18:03:20Z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by-author">
    <vt:lpwstr/>
  </property>
  <property fmtid="{D5CDD505-2E9C-101B-9397-08002B2CF9AE}" pid="7" name="csl">
    <vt:lpwstr>apa.csl</vt:lpwstr>
  </property>
  <property fmtid="{D5CDD505-2E9C-101B-9397-08002B2CF9AE}" pid="8" name="date">
    <vt:lpwstr>2026-03-24</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