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8.png" ContentType="image/png"/>
  <Override PartName="/word/media/rId56.png" ContentType="image/png"/>
  <Override PartName="/word/media/rId67.png" ContentType="image/png"/>
  <Override PartName="/word/media/rId46.png" ContentType="image/png"/>
  <Override PartName="/word/media/rId51.png" ContentType="image/png"/>
  <Override PartName="/word/media/rId42.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Thermal comfort responses to ankle-level draft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1,4</w:t>
      </w:r>
      <w:r>
        <w:t xml:space="preserve">, and Stefano Schiavon</w:t>
      </w:r>
      <w:r>
        <w:rPr>
          <w:vertAlign w:val="superscript"/>
        </w:rPr>
        <w:t xml:space="preserve">1,2,3</w:t>
      </w:r>
    </w:p>
    <w:p>
      <w:pPr>
        <w:pStyle w:val="Date"/>
      </w:pPr>
      <w:r>
        <w:t xml:space="preserve">2026-04-29</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r>
        <w:br/>
      </w:r>
      <w:r>
        <w:rPr>
          <w:vertAlign w:val="superscript"/>
        </w:rPr>
        <w:t xml:space="preserve">4</w:t>
      </w:r>
      <w:r>
        <w:t xml:space="preserve"> </w:t>
      </w:r>
      <w:r>
        <w:t xml:space="preserve">Department of Architecture, School of Design, Shanghai Jiao Tong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bookmarkEnd w:id="21"/>
    <w:bookmarkStart w:id="22"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 When outdoor temperatures drop,</w:t>
      </w:r>
      <w:r>
        <w:t xml:space="preserve"> </w:t>
      </w:r>
      <w:r>
        <w:t xml:space="preserve">the 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ref-heiselbergDraftComfortReview1994">
        <w:r>
          <w:rPr>
            <w:rStyle w:val="Hyperlink"/>
          </w:rPr>
          <w:t xml:space="preserve">Heiselberg, 1994</w:t>
        </w:r>
      </w:hyperlink>
      <w:r>
        <w:t xml:space="preserve"> </w:t>
      </w:r>
      <w:r>
        <w:t xml:space="preserve">)</w:t>
      </w:r>
      <w:r>
        <w:t xml:space="preserve">. Building designers</w:t>
      </w:r>
      <w:r>
        <w:t xml:space="preserve"> </w:t>
      </w:r>
      <w:r>
        <w:t xml:space="preserve">typically address this issue by installing perimeter heating systems,</w:t>
      </w:r>
      <w:r>
        <w:t xml:space="preserve"> </w:t>
      </w:r>
      <w:r>
        <w:t xml:space="preserve">such as radiators or in-floor heating, to counteract the downdraft</w:t>
      </w:r>
      <w:r>
        <w:t xml:space="preserve"> </w:t>
      </w:r>
      <w:r>
        <w:t xml:space="preserve">effect and to prevent thermal discomfort in the ankle region.</w:t>
      </w:r>
    </w:p>
    <w:p>
      <w:pPr>
        <w:pStyle w:val="BodyText"/>
      </w:pPr>
      <w:r>
        <w:t xml:space="preserve">The current approach to evaluating ankle draft risk relies on a</w:t>
      </w:r>
      <w:r>
        <w:t xml:space="preserve"> </w:t>
      </w:r>
      <w:r>
        <w:t xml:space="preserve">predictive model presented in</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This model, now incorporated into</w:t>
      </w:r>
      <w:r>
        <w:t xml:space="preserve"> </w:t>
      </w:r>
      <w:r>
        <w:t xml:space="preserve">ASHRAE Standard 55</w:t>
      </w:r>
      <w:r>
        <w:t xml:space="preserve"> </w:t>
      </w:r>
      <w:r>
        <w:t xml:space="preserve">(</w:t>
      </w:r>
      <w:hyperlink w:anchor="ref-ashraeANSIASHRAEStandard2023">
        <w:r>
          <w:rPr>
            <w:rStyle w:val="Hyperlink"/>
          </w:rPr>
          <w:t xml:space="preserve">ASHRAE, 2023</w:t>
        </w:r>
      </w:hyperlink>
      <w:r>
        <w:t xml:space="preserve">)</w:t>
      </w:r>
      <w:r>
        <w:t xml:space="preserve">, was derived from</w:t>
      </w:r>
      <w:r>
        <w:t xml:space="preserve"> </w:t>
      </w:r>
      <w:r>
        <w:t xml:space="preserve">laboratory experiments conducted under cooling conditions typical of</w:t>
      </w:r>
      <w:r>
        <w:t xml:space="preserve"> </w:t>
      </w:r>
      <w:r>
        <w:t xml:space="preserve">underfloor air distribution (UFAD) and displacement ventilation systems.</w:t>
      </w:r>
      <w:r>
        <w:t xml:space="preserve"> </w:t>
      </w:r>
      <w:r>
        <w:t xml:space="preserve">Importantly, participants in these foundational studies, including an</w:t>
      </w:r>
      <w:r>
        <w:t xml:space="preserve"> </w:t>
      </w:r>
      <w:r>
        <w:t xml:space="preserve">earlier investigation by</w:t>
      </w:r>
      <w:r>
        <w:t xml:space="preserve"> </w:t>
      </w:r>
      <w:r>
        <w:t xml:space="preserve">Schiavon et al. (</w:t>
      </w:r>
      <w:hyperlink w:anchor="ref-schiavonSensationDraftUncovered2016">
        <w:r>
          <w:rPr>
            <w:rStyle w:val="Hyperlink"/>
          </w:rPr>
          <w:t xml:space="preserve">2016</w:t>
        </w:r>
      </w:hyperlink>
      <w:r>
        <w:t xml:space="preserve">)</w:t>
      </w:r>
      <w:r>
        <w:t xml:space="preserve">, wore</w:t>
      </w:r>
      <w:r>
        <w:t xml:space="preserve"> </w:t>
      </w:r>
      <w:r>
        <w:t xml:space="preserve">summer clothing with exposed ankles, resulting in clothing insulation</w:t>
      </w:r>
      <w:r>
        <w:t xml:space="preserve"> </w:t>
      </w:r>
      <w:r>
        <w:t xml:space="preserve">levels of approximately 0.5 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Földváry Ličina et al., 2018</w:t>
        </w:r>
      </w:hyperlink>
      <w:r>
        <w:t xml:space="preserve">)</w:t>
      </w:r>
      <w:r>
        <w:t xml:space="preserve"> </w:t>
      </w:r>
      <w:r>
        <w:t xml:space="preserve">indicates that median</w:t>
      </w:r>
      <w:r>
        <w:t xml:space="preserve"> </w:t>
      </w:r>
      <w:r>
        <w:t xml:space="preserve">clothing insulation in office environments during heating seasons is</w:t>
      </w:r>
      <w:r>
        <w:t xml:space="preserve"> </w:t>
      </w:r>
      <w:r>
        <w:t xml:space="preserve">approximately 0.75 clo, with occupants commonly wearing long trousers,</w:t>
      </w:r>
      <w:r>
        <w:t xml:space="preserve"> </w:t>
      </w:r>
      <w:r>
        <w:t xml:space="preserve">closed-toe shoes and socks that cover the ankle region. This discrepancy</w:t>
      </w:r>
      <w:r>
        <w:t xml:space="preserve"> </w:t>
      </w:r>
      <w:r>
        <w:t xml:space="preserve">raises an important question: does the existing ankle draft model,</w:t>
      </w:r>
      <w:r>
        <w:t xml:space="preserve"> </w:t>
      </w:r>
      <w:r>
        <w:t xml:space="preserve">calibrated for summer conditions with exposed skin, accurately predict</w:t>
      </w:r>
      <w:r>
        <w:t xml:space="preserve"> </w:t>
      </w:r>
      <w:r>
        <w:t xml:space="preserve">discomfort when ankles are covered by 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perimeter heating systems that are larger than necessary, or</w:t>
      </w:r>
      <w:r>
        <w:t xml:space="preserve"> </w:t>
      </w:r>
      <w:r>
        <w:t xml:space="preserve">installing them in situations where they could be avoided entirely. This</w:t>
      </w:r>
      <w:r>
        <w:t xml:space="preserve"> </w:t>
      </w:r>
      <w:r>
        <w:t xml:space="preserve">has consequences for both first costs and operational energy</w:t>
      </w:r>
      <w:r>
        <w:t xml:space="preserve"> </w:t>
      </w:r>
      <w:r>
        <w:t xml:space="preserve">consumption, as perimeter heating systems contribute to building energy</w:t>
      </w:r>
      <w:r>
        <w:t xml:space="preserve"> </w:t>
      </w:r>
      <w:r>
        <w:t xml:space="preserve">use and associated carbon emissions. Conversely, if the model</w:t>
      </w:r>
      <w:r>
        <w:t xml:space="preserve"> </w:t>
      </w:r>
      <w:r>
        <w:t xml:space="preserve">underestimates risk, occupants may experience discomfort that</w:t>
      </w:r>
      <w:r>
        <w:t xml:space="preserve"> </w:t>
      </w:r>
      <w:r>
        <w:t xml:space="preserve">compromises satisfaction and productivity.</w:t>
      </w:r>
    </w:p>
    <w:p>
      <w:pPr>
        <w:pStyle w:val="BodyText"/>
      </w:pPr>
      <w:r>
        <w:t xml:space="preserve">The objective of this study is to evaluate thermal comfort responses to</w:t>
      </w:r>
      <w:r>
        <w:t xml:space="preserve"> </w:t>
      </w:r>
      <w:r>
        <w:t xml:space="preserve">ankle-level draft under typical winter clothing conditions through</w:t>
      </w:r>
      <w:r>
        <w:t xml:space="preserve"> </w:t>
      </w:r>
      <w:r>
        <w:t xml:space="preserve">controlled laboratory experiments. Specifically, we aim to: (1)</w:t>
      </w:r>
      <w:r>
        <w:t xml:space="preserve"> </w:t>
      </w:r>
      <w:r>
        <w:t xml:space="preserve">characterize whole-body and local thermal perception across a range of</w:t>
      </w:r>
      <w:r>
        <w:t xml:space="preserve"> </w:t>
      </w:r>
      <w:r>
        <w:t xml:space="preserve">supply air temperatures and air speeds representative of window</w:t>
      </w:r>
      <w:r>
        <w:t xml:space="preserve"> </w:t>
      </w:r>
      <w:r>
        <w:t xml:space="preserve">downdraft conditions; (2) compare observed dissatisfaction rates with</w:t>
      </w:r>
      <w:r>
        <w:t xml:space="preserve"> </w:t>
      </w:r>
      <w:r>
        <w:t xml:space="preserve">predictions from the existing ankle draft model; and (3) assess whether</w:t>
      </w:r>
      <w:r>
        <w:t xml:space="preserve"> </w:t>
      </w:r>
      <w:r>
        <w:t xml:space="preserve">the current ASHRAE 55 criteria require adjustment for winter scenarios.</w:t>
      </w:r>
      <w:r>
        <w:t xml:space="preserve"> </w:t>
      </w:r>
      <w:r>
        <w:t xml:space="preserve">The findings are intended to inform guidance on perimeter heating</w:t>
      </w:r>
      <w:r>
        <w:t xml:space="preserve"> </w:t>
      </w:r>
      <w:r>
        <w:t xml:space="preserve">requirements and support more energy-efficient building design without</w:t>
      </w:r>
      <w:r>
        <w:t xml:space="preserve"> </w:t>
      </w:r>
      <w:r>
        <w:t xml:space="preserve">compromising occupant comfort.</w:t>
      </w:r>
    </w:p>
    <w:bookmarkEnd w:id="22"/>
    <w:bookmarkStart w:id="38" w:name="sec-methods"/>
    <w:p>
      <w:pPr>
        <w:pStyle w:val="Heading1"/>
      </w:pPr>
      <w:r>
        <w:t xml:space="preserve">2. Methods</w:t>
      </w:r>
    </w:p>
    <w:bookmarkStart w:id="23"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(15°C, 17°C,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 informed by computational fluid dynamics simulations</w:t>
      </w:r>
      <w:r>
        <w:t xml:space="preserve"> </w:t>
      </w:r>
      <w:r>
        <w:t xml:space="preserve">conducted as part of a broader research collaboration.</w:t>
      </w:r>
    </w:p>
    <w:p>
      <w:pPr>
        <w:pStyle w:val="BodyText"/>
      </w:pPr>
      <w:r>
        <w:t xml:space="preserve">PLACEHOLDER EXPERIMENTAL PROTOCOL GRAPHIC</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with participants experiencing</w:t>
      </w:r>
      <w:r>
        <w:t xml:space="preserve"> </w:t>
      </w:r>
      <w:r>
        <w:t xml:space="preserve">all three air speed conditions within that session in a counterbalanced</w:t>
      </w:r>
      <w:r>
        <w:t xml:space="preserve"> </w:t>
      </w:r>
      <w:r>
        <w:t xml:space="preserve">order. Sessions were scheduled on separate days to minimize carryover</w:t>
      </w:r>
      <w:r>
        <w:t xml:space="preserve"> </w:t>
      </w:r>
      <w:r>
        <w:t xml:space="preserve">effects and subjects were allowed to attend the three sessions in their</w:t>
      </w:r>
      <w:r>
        <w:t xml:space="preserve"> </w:t>
      </w:r>
      <w:r>
        <w:t xml:space="preserve">preferred order.</w:t>
      </w:r>
    </w:p>
    <w:bookmarkEnd w:id="23"/>
    <w:bookmarkStart w:id="24" w:name="climate-chamber-and-apparatus"/>
    <w:p>
      <w:pPr>
        <w:pStyle w:val="Heading2"/>
      </w:pPr>
      <w:r>
        <w:t xml:space="preserve">2.2 Climate chamber and apparatus</w:t>
      </w:r>
    </w:p>
    <w:p>
      <w:pPr>
        <w:pStyle w:val="FirstParagraph"/>
      </w:pPr>
      <w:r>
        <w:t xml:space="preserve">The experiment was conducted in a climate-controlled chamber at the</w:t>
      </w:r>
      <w:r>
        <w:t xml:space="preserve"> </w:t>
      </w:r>
      <w:r>
        <w:t xml:space="preserve">Center for the Built Environment, UC Berkeley. The chamber floor area is</w:t>
      </w:r>
      <w:r>
        <w:t xml:space="preserve"> </w:t>
      </w:r>
      <w:r>
        <w:t xml:space="preserve">approximately 25 m². We set up three workstations to allow simultaneous</w:t>
      </w:r>
      <w:r>
        <w:t xml:space="preserve"> </w:t>
      </w:r>
      <w:r>
        <w:t xml:space="preserve">testing of multiple participants and three seats for reacclimatization</w:t>
      </w:r>
      <w:r>
        <w:t xml:space="preserve"> </w:t>
      </w:r>
      <w:r>
        <w:t xml:space="preserve">during breaks in the back of the room. Ambient room conditions were</w:t>
      </w:r>
      <w:r>
        <w:t xml:space="preserve"> </w:t>
      </w:r>
      <w:r>
        <w:t xml:space="preserve">maintained at approximately 22°C operative temperature, 50% relative</w:t>
      </w:r>
      <w:r>
        <w:t xml:space="preserve"> </w:t>
      </w:r>
      <w:r>
        <w:t xml:space="preserve">humidity, and background air velocity below 0.1 m/s, targeting a</w:t>
      </w:r>
      <w:r>
        <w:t xml:space="preserve"> </w:t>
      </w:r>
      <w:r>
        <w:t xml:space="preserve">whole-body thermal sensation of approximately −0.5 (slightly cool) on</w:t>
      </w:r>
      <w:r>
        <w:t xml:space="preserve"> </w:t>
      </w:r>
      <w:r>
        <w:t xml:space="preserve">the ASHRAE seven-point scale as calculated using the CBE Comfort Tool</w:t>
      </w:r>
      <w:r>
        <w:t xml:space="preserve"> </w:t>
      </w:r>
      <w:r>
        <w:t xml:space="preserve">(</w:t>
      </w:r>
      <w:hyperlink w:anchor="ref-tartariniCBEThermalComfort2020">
        <w:r>
          <w:rPr>
            <w:rStyle w:val="Hyperlink"/>
          </w:rPr>
          <w:t xml:space="preserve">Tartarini et al., 2020</w:t>
        </w:r>
      </w:hyperlink>
      <w:r>
        <w:t xml:space="preserve">)</w:t>
      </w:r>
      <w:r>
        <w:t xml:space="preserve">.</w:t>
      </w:r>
    </w:p>
    <w:p>
      <w:pPr>
        <w:pStyle w:val="BodyText"/>
      </w:pPr>
      <w:r>
        <w:t xml:space="preserve">PLACEHOLDER CHAMBER SETUP GRAPHIC</w:t>
      </w:r>
    </w:p>
    <w:p>
      <w:pPr>
        <w:pStyle w:val="BodyText"/>
      </w:pPr>
      <w:r>
        <w:t xml:space="preserve">A custom displacement diffuser was used to deliver conditioned air to</w:t>
      </w:r>
      <w:r>
        <w:t xml:space="preserve"> </w:t>
      </w:r>
      <w:r>
        <w:t xml:space="preserve">the ankle region of participants seated at the three workstations. The</w:t>
      </w:r>
      <w:r>
        <w:t xml:space="preserve"> </w:t>
      </w:r>
      <w:r>
        <w:t xml:space="preserve">diffuser was positioned 0.7 m behind each workstation, directing airflow</w:t>
      </w:r>
      <w:r>
        <w:t xml:space="preserve"> </w:t>
      </w:r>
      <w:r>
        <w:t xml:space="preserve">toward the participants’ lower legs from behind and simulating the</w:t>
      </w:r>
      <w:r>
        <w:t xml:space="preserve"> </w:t>
      </w:r>
      <w:r>
        <w:t xml:space="preserve">approach direction of window downdraft. The diffuser was connected to an</w:t>
      </w:r>
      <w:r>
        <w:t xml:space="preserve"> </w:t>
      </w:r>
      <w:r>
        <w:t xml:space="preserve">independent air handling unit capable of delivering supply air at the</w:t>
      </w:r>
      <w:r>
        <w:t xml:space="preserve"> </w:t>
      </w:r>
      <w:r>
        <w:t xml:space="preserve">target temperatures and flow rates. The three supply air temperatures</w:t>
      </w:r>
      <w:r>
        <w:t xml:space="preserve"> </w:t>
      </w:r>
      <w:r>
        <w:t xml:space="preserve">(15°C, 17°C, 19°C) represent temperatures at the VAV outlet and air flow</w:t>
      </w:r>
      <w:r>
        <w:t xml:space="preserve"> </w:t>
      </w:r>
      <w:r>
        <w:t xml:space="preserve">rates were controlled by damper adjustment. Turbulence intensity at the</w:t>
      </w:r>
      <w:r>
        <w:t xml:space="preserve"> </w:t>
      </w:r>
      <w:r>
        <w:t xml:space="preserve">measurement location was approximately 30% (see</w:t>
      </w:r>
      <w:r>
        <w:t xml:space="preserve"> </w:t>
      </w:r>
      <w:hyperlink w:anchor="tbl-env">
        <w:r>
          <w:rPr>
            <w:rStyle w:val="Hyperlink"/>
          </w:rPr>
          <w:t xml:space="preserve">Table 3</w:t>
        </w:r>
      </w:hyperlink>
      <w:r>
        <w:t xml:space="preserve">), consistent</w:t>
      </w:r>
      <w:r>
        <w:t xml:space="preserve"> </w:t>
      </w:r>
      <w:r>
        <w:t xml:space="preserve">with values reported in prior ankle draft studies</w:t>
      </w:r>
      <w:r>
        <w:t xml:space="preserve"> </w:t>
      </w:r>
      <w:r>
        <w:t xml:space="preserve">(</w:t>
      </w:r>
      <w:hyperlink w:anchor="X0e41857b9754d3f46055296e8711d0a459bcc8a">
        <w:r>
          <w:rPr>
            <w:rStyle w:val="Hyperlink"/>
          </w:rPr>
          <w:t xml:space="preserve">Liu et al., 2017</w:t>
        </w:r>
      </w:hyperlink>
      <w:r>
        <w:t xml:space="preserve">)</w:t>
      </w:r>
      <w:r>
        <w:t xml:space="preserve">. The three seats in the back</w:t>
      </w:r>
      <w:r>
        <w:t xml:space="preserve"> </w:t>
      </w:r>
      <w:r>
        <w:t xml:space="preserve">of the room were not affected by the diffusors targeting the three</w:t>
      </w:r>
      <w:r>
        <w:t xml:space="preserve"> </w:t>
      </w:r>
      <w:r>
        <w:t xml:space="preserve">workstations only.</w:t>
      </w:r>
    </w:p>
    <w:bookmarkEnd w:id="24"/>
    <w:bookmarkStart w:id="25" w:name="environmental-monitoring"/>
    <w:p>
      <w:pPr>
        <w:pStyle w:val="Heading2"/>
      </w:pPr>
      <w:r>
        <w:t xml:space="preserve">2.3 Environmental monitoring</w:t>
      </w:r>
    </w:p>
    <w:p>
      <w:pPr>
        <w:pStyle w:val="FirstParagraph"/>
      </w:pPr>
      <w:r>
        <w:t xml:space="preserve">Air temperature was measured at head-height at each workstation using</w:t>
      </w:r>
      <w:r>
        <w:t xml:space="preserve"> </w:t>
      </w:r>
      <w:r>
        <w:t xml:space="preserve">calibrated Atmocube monitors (Atmotech Inc., United States; air</w:t>
      </w:r>
      <w:r>
        <w:t xml:space="preserve"> </w:t>
      </w:r>
      <w:r>
        <w:t xml:space="preserve">temperature: -40 to +125°C, ± 0.5°C, relative humidity: 0 to 100%RH, ± 2</w:t>
      </w:r>
      <w:r>
        <w:t xml:space="preserve"> </w:t>
      </w:r>
      <w:r>
        <w:t xml:space="preserve">%RH, CO</w:t>
      </w:r>
      <w:r>
        <w:rPr>
          <w:vertAlign w:val="subscript"/>
        </w:rPr>
        <w:t xml:space="preserve">2</w:t>
      </w:r>
      <w:r>
        <w:t xml:space="preserve">: 0 to 5000 ppm, ± 50 ppm + 2.5% of reading at standard room</w:t>
      </w:r>
      <w:r>
        <w:t xml:space="preserve"> </w:t>
      </w:r>
      <w:r>
        <w:t xml:space="preserve">levels) positioned within 0.5 m of participants. Air velocity at ankle</w:t>
      </w:r>
      <w:r>
        <w:t xml:space="preserve"> </w:t>
      </w:r>
      <w:r>
        <w:t xml:space="preserve">level (0.1 m) was measured using AirDistSys 5000 omnidirectional</w:t>
      </w:r>
      <w:r>
        <w:t xml:space="preserve"> </w:t>
      </w:r>
      <w:r>
        <w:t xml:space="preserve">hot-wire anemometers (Sensor Electronic, Poland, air velocity: 0.05-5</w:t>
      </w:r>
      <w:r>
        <w:t xml:space="preserve"> </w:t>
      </w:r>
      <w:r>
        <w:t xml:space="preserve">m/s, accuracy: ±0.02 m/s ±2% of reading; temperature: -10 to +50°C,</w:t>
      </w:r>
      <w:r>
        <w:t xml:space="preserve"> </w:t>
      </w:r>
      <w:r>
        <w:t xml:space="preserve">accuracy: ±0.2°C, sampling interval: 1 s). Supply air temperature was</w:t>
      </w:r>
      <w:r>
        <w:t xml:space="preserve"> </w:t>
      </w:r>
      <w:r>
        <w:t xml:space="preserve">monitored continuously at the diffuser outlet. Room-level measurements</w:t>
      </w:r>
      <w:r>
        <w:t xml:space="preserve"> </w:t>
      </w:r>
      <w:r>
        <w:t xml:space="preserve">of relative humidity and CO</w:t>
      </w:r>
      <w:r>
        <w:rPr>
          <w:vertAlign w:val="subscript"/>
        </w:rPr>
        <w:t xml:space="preserve">2</w:t>
      </w:r>
      <w:r>
        <w:t xml:space="preserve"> </w:t>
      </w:r>
      <w:r>
        <w:t xml:space="preserve">concentration were recorded throughout</w:t>
      </w:r>
      <w:r>
        <w:t xml:space="preserve"> </w:t>
      </w:r>
      <w:r>
        <w:t xml:space="preserve">each session.</w:t>
      </w:r>
    </w:p>
    <w:bookmarkEnd w:id="25"/>
    <w:bookmarkStart w:id="26" w:name="participants"/>
    <w:p>
      <w:pPr>
        <w:pStyle w:val="Heading2"/>
      </w:pPr>
      <w:r>
        <w:t xml:space="preserve">2.4 Participants</w:t>
      </w:r>
    </w:p>
    <w:p>
      <w:pPr>
        <w:pStyle w:val="FirstParagraph"/>
      </w:pPr>
      <w:r>
        <w:t xml:space="preserve">We recruited participants from the university community and local area</w:t>
      </w:r>
      <w:r>
        <w:t xml:space="preserve"> </w:t>
      </w:r>
      <w:r>
        <w:t xml:space="preserve">through the Experimental Social Science Laboratory (Xlab) platform and</w:t>
      </w:r>
      <w:r>
        <w:t xml:space="preserve"> </w:t>
      </w:r>
      <w:r>
        <w:t xml:space="preserve">email outreach to individuals who had participated in previous studies</w:t>
      </w:r>
      <w:r>
        <w:t xml:space="preserve"> </w:t>
      </w:r>
      <w:r>
        <w:t xml:space="preserve">and consented to future contact. Eligible participants were between 21</w:t>
      </w:r>
      <w:r>
        <w:t xml:space="preserve"> </w:t>
      </w:r>
      <w:r>
        <w:t xml:space="preserve">and 55 years of age, fluent in English, and free from chronic</w:t>
      </w:r>
      <w:r>
        <w:t xml:space="preserve"> </w:t>
      </w:r>
      <w:r>
        <w:t xml:space="preserve">cardiorespiratory conditions or recent major surgery. Pregnant</w:t>
      </w:r>
      <w:r>
        <w:t xml:space="preserve"> </w:t>
      </w:r>
      <w:r>
        <w:t xml:space="preserve">individuals were excluded.</w:t>
      </w:r>
    </w:p>
    <w:bookmarkEnd w:id="26"/>
    <w:bookmarkStart w:id="27" w:name="clothing-protocol"/>
    <w:p>
      <w:pPr>
        <w:pStyle w:val="Heading2"/>
      </w:pPr>
      <w:r>
        <w:t xml:space="preserve">2.5 Clothing protocol</w:t>
      </w:r>
    </w:p>
    <w:p>
      <w:pPr>
        <w:pStyle w:val="FirstParagraph"/>
      </w:pPr>
      <w:r>
        <w:t xml:space="preserve">To simulate typical winter office attire, participants were instructed</w:t>
      </w:r>
      <w:r>
        <w:t xml:space="preserve"> </w:t>
      </w:r>
      <w:r>
        <w:t xml:space="preserve">to wear a long-sleeve top, long trousers (ending just above the ankle),</w:t>
      </w:r>
      <w:r>
        <w:t xml:space="preserve"> </w:t>
      </w:r>
      <w:r>
        <w:t xml:space="preserve">thin socks, and closed-toe shoes. This ensemble targets a clothing</w:t>
      </w:r>
      <w:r>
        <w:t xml:space="preserve"> </w:t>
      </w:r>
      <w:r>
        <w:t xml:space="preserve">insulation of approximately 0.75 clo, consistent with the median value</w:t>
      </w:r>
      <w:r>
        <w:t xml:space="preserve"> </w:t>
      </w:r>
      <w:r>
        <w:t xml:space="preserve">observed in office buildings during heating seasons</w:t>
      </w:r>
      <w:r>
        <w:t xml:space="preserve"> </w:t>
      </w:r>
      <w:r>
        <w:t xml:space="preserve">(</w:t>
      </w:r>
      <w:hyperlink w:anchor="X9df5917af8f84de39d37f25bb914b381b4d01ad">
        <w:r>
          <w:rPr>
            <w:rStyle w:val="Hyperlink"/>
          </w:rPr>
          <w:t xml:space="preserve">Földváry Ličina et al., 2018</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bookmarkEnd w:id="27"/>
    <w:bookmarkStart w:id="28" w:name="experimental-protocol"/>
    <w:p>
      <w:pPr>
        <w:pStyle w:val="Heading2"/>
      </w:pPr>
      <w:r>
        <w:t xml:space="preserve">2.6 Experimental protocol</w:t>
      </w:r>
    </w:p>
    <w:p>
      <w:pPr>
        <w:pStyle w:val="FirstParagraph"/>
      </w:pPr>
      <w:r>
        <w:t xml:space="preserve">Upon arrival for each experimental session, participants were checked</w:t>
      </w:r>
      <w:r>
        <w:t xml:space="preserve"> </w:t>
      </w:r>
      <w:r>
        <w:t xml:space="preserve">for elevated temperature and fitted with skin temperature sensors.</w:t>
      </w:r>
      <w:r>
        <w:t xml:space="preserve"> </w:t>
      </w:r>
      <w:r>
        <w:t xml:space="preserve">Participants then entered the climate chamber and completed a 20-minute</w:t>
      </w:r>
      <w:r>
        <w:t xml:space="preserve"> </w:t>
      </w:r>
      <w:r>
        <w:t xml:space="preserve">adaptation period at their assigned workstation under baseline</w:t>
      </w:r>
      <w:r>
        <w:t xml:space="preserve"> </w:t>
      </w:r>
      <w:r>
        <w:t xml:space="preserve">conditions.</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The sequence of air speed conditions was</w:t>
      </w:r>
      <w:r>
        <w:t xml:space="preserve"> </w:t>
      </w:r>
      <w:r>
        <w:t xml:space="preserve">counterbalanced across participants and sessions. During each exposure</w:t>
      </w:r>
      <w:r>
        <w:t xml:space="preserve"> </w:t>
      </w:r>
      <w:r>
        <w:t xml:space="preserve">period, participants completed standardized questionnaires at the end of</w:t>
      </w:r>
      <w:r>
        <w:t xml:space="preserve"> </w:t>
      </w:r>
      <w:r>
        <w:t xml:space="preserve">each interval.</w:t>
      </w:r>
    </w:p>
    <w:bookmarkEnd w:id="28"/>
    <w:bookmarkStart w:id="30" w:name="subjective-measurements"/>
    <w:p>
      <w:pPr>
        <w:pStyle w:val="Heading2"/>
      </w:pPr>
      <w:r>
        <w:t xml:space="preserve">2.7 Subjective measurements</w:t>
      </w:r>
    </w:p>
    <w:p>
      <w:pPr>
        <w:pStyle w:val="FirstParagraph"/>
      </w:pPr>
      <w:r>
        <w:t xml:space="preserve">The perception of the thermal environment was assessed using validated</w:t>
      </w:r>
      <w:r>
        <w:t xml:space="preserve"> </w:t>
      </w:r>
      <w:r>
        <w:t xml:space="preserve">scales consistent with prior ankle draft research and ASHRAE Standard 55</w:t>
      </w:r>
      <w:r>
        <w:t xml:space="preserve"> </w:t>
      </w:r>
      <w:r>
        <w:t xml:space="preserve">requirements. Constructs and their scales used in the questionnaires are</w:t>
      </w:r>
      <w:r>
        <w:t xml:space="preserve"> </w:t>
      </w:r>
      <w:r>
        <w:t xml:space="preserve">summarized in</w:t>
      </w:r>
      <w:r>
        <w:t xml:space="preserve"> </w:t>
      </w:r>
      <w:hyperlink w:anchor="tbl-scales">
        <w:r>
          <w:rPr>
            <w:rStyle w:val="Hyperlink"/>
          </w:rPr>
          <w:t xml:space="preserve">Table 1</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29" w:name="tbl-scales"/>
          <w:p>
            <w:pPr>
              <w:jc w:val="center"/>
            </w:pPr>
            <w:pPr>
              <w:jc w:val="left"/>
              <w:spacing w:before="200"/>
              <w:pStyle w:val="ImageCaption"/>
            </w:pPr>
            <w:r>
              <w:t xml:space="preserve">Table 1: Survey constructs and measurement scales</w:t>
            </w:r>
          </w:p>
          <w:tbl>
            <w:tblPr>
              <w:tblStyle w:val="Table"/>
              <w:tblW w:type="pct" w:w="5000"/>
              <w:tblLayout w:type="fixed"/>
              <w:tblLook w:firstRow="1" w:lastRow="0" w:firstColumn="0" w:lastColumn="0" w:noHBand="0" w:noVBand="0" w:val="0020"/>
            </w:tblPr>
            <w:tblGrid>
              <w:gridCol w:w="1188"/>
              <w:gridCol w:w="1980"/>
              <w:gridCol w:w="1188"/>
              <w:gridCol w:w="3564"/>
            </w:tblGrid>
            <w:tr>
              <w:trPr>
                <w:tblHeader w:val="on"/>
              </w:trPr>
              <w:tc>
                <w:tcPr/>
                <w:p>
                  <w:pPr>
                    <w:pStyle w:val="Compact"/>
                    <w:jc w:val="left"/>
                    <w:jc w:val="center"/>
                  </w:pPr>
                  <w:r>
                    <w:t xml:space="preserve">Construct</w:t>
                  </w:r>
                </w:p>
              </w:tc>
              <w:tc>
                <w:tcPr/>
                <w:p>
                  <w:pPr>
                    <w:pStyle w:val="Compact"/>
                    <w:jc w:val="left"/>
                    <w:jc w:val="center"/>
                  </w:pPr>
                  <w:r>
                    <w:t xml:space="preserve">Question</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How do you feel right now?</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Right now do you find this environment…?</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Right now would you prefer to be…?</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Please rate your acceptance of the current thermal environment</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Thermal satisfaction</w:t>
                  </w:r>
                </w:p>
              </w:tc>
              <w:tc>
                <w:tcPr/>
                <w:p>
                  <w:pPr>
                    <w:pStyle w:val="Compact"/>
                    <w:jc w:val="left"/>
                    <w:jc w:val="center"/>
                  </w:pPr>
                  <w:r>
                    <w:t xml:space="preserve">How satisfied are you with the thermal environment right now?</w:t>
                  </w:r>
                </w:p>
              </w:tc>
              <w:tc>
                <w:tcPr/>
                <w:p>
                  <w:pPr>
                    <w:pStyle w:val="Compact"/>
                    <w:jc w:val="left"/>
                    <w:jc w:val="center"/>
                  </w:pPr>
                  <w:r>
                    <w:t xml:space="preserve">7-point continuous</w:t>
                  </w:r>
                </w:p>
              </w:tc>
              <w:tc>
                <w:tcPr/>
                <w:p>
                  <w:pPr>
                    <w:pStyle w:val="Compact"/>
                    <w:jc w:val="left"/>
                    <w:jc w:val="center"/>
                  </w:pPr>
                  <w:r>
                    <w:t xml:space="preserve">−3 (very dissatisfied) −2 (dissatisfied) −1 (slightly dissatisfied) 0 (neither nor) +1 (slightly satisfied) +2 (satisfied) +3 (very satisfied)</w:t>
                  </w:r>
                </w:p>
              </w:tc>
            </w:tr>
            <w:tr>
              <w:tc>
                <w:tcPr/>
                <w:p>
                  <w:pPr>
                    <w:pStyle w:val="Compact"/>
                    <w:jc w:val="left"/>
                    <w:jc w:val="center"/>
                  </w:pPr>
                  <w:r>
                    <w:t xml:space="preserve">Thermal pleasantness</w:t>
                  </w:r>
                </w:p>
              </w:tc>
              <w:tc>
                <w:tcPr/>
                <w:p>
                  <w:pPr>
                    <w:pStyle w:val="Compact"/>
                    <w:jc w:val="left"/>
                    <w:jc w:val="center"/>
                  </w:pPr>
                  <w:r>
                    <w:t xml:space="preserve">Right now do you find this thermal environment…?</w:t>
                  </w:r>
                </w:p>
              </w:tc>
              <w:tc>
                <w:tcPr/>
                <w:p>
                  <w:pPr>
                    <w:pStyle w:val="Compact"/>
                    <w:jc w:val="left"/>
                    <w:jc w:val="center"/>
                  </w:pPr>
                  <w:r>
                    <w:t xml:space="preserve">7-point continuous</w:t>
                  </w:r>
                </w:p>
              </w:tc>
              <w:tc>
                <w:tcPr/>
                <w:p>
                  <w:pPr>
                    <w:pStyle w:val="Compact"/>
                    <w:jc w:val="left"/>
                    <w:jc w:val="center"/>
                  </w:pPr>
                  <w:r>
                    <w:t xml:space="preserve">−3 (very unpleasant) −2 (unpleasant) −1 (slightly unpleasant) 0 (neutral) +1 (slightly pleasant) +2 (pleasant) +3 (very pleasant)</w:t>
                  </w:r>
                </w:p>
              </w:tc>
            </w:tr>
            <w:tr>
              <w:tc>
                <w:tcPr/>
                <w:p>
                  <w:pPr>
                    <w:pStyle w:val="Compact"/>
                    <w:jc w:val="left"/>
                    <w:jc w:val="center"/>
                  </w:pPr>
                  <w:r>
                    <w:t xml:space="preserve">Air movement acceptability at ankles</w:t>
                  </w:r>
                </w:p>
              </w:tc>
              <w:tc>
                <w:tcPr/>
                <w:p>
                  <w:pPr>
                    <w:pStyle w:val="Compact"/>
                    <w:jc w:val="left"/>
                    <w:jc w:val="center"/>
                  </w:pPr>
                  <w:r>
                    <w:t xml:space="preserve">Please rate your acceptance of air movement at your ankles</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Right now around my ankles I would prefer…?</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Air quality preference</w:t>
                  </w:r>
                </w:p>
              </w:tc>
              <w:tc>
                <w:tcPr/>
                <w:p>
                  <w:pPr>
                    <w:pStyle w:val="Compact"/>
                    <w:jc w:val="left"/>
                    <w:jc w:val="center"/>
                  </w:pPr>
                  <w:r>
                    <w:t xml:space="preserve">Please rate your acceptance of the current air quality in the room</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Clothing change</w:t>
                  </w:r>
                </w:p>
              </w:tc>
              <w:tc>
                <w:tcPr/>
                <w:p>
                  <w:pPr>
                    <w:pStyle w:val="Compact"/>
                    <w:jc w:val="left"/>
                    <w:jc w:val="center"/>
                  </w:pPr>
                  <w:r>
                    <w:t xml:space="preserve">Did you adjust your upper body clothing?</w:t>
                  </w:r>
                </w:p>
              </w:tc>
              <w:tc>
                <w:tcPr/>
                <w:p>
                  <w:pPr>
                    <w:pStyle w:val="Compact"/>
                    <w:jc w:val="left"/>
                    <w:jc w:val="center"/>
                  </w:pPr>
                  <w:r>
                    <w:t xml:space="preserve">binary</w:t>
                  </w:r>
                </w:p>
              </w:tc>
              <w:tc>
                <w:tcPr/>
                <w:p>
                  <w:pPr>
                    <w:pStyle w:val="Compact"/>
                    <w:jc w:val="left"/>
                    <w:jc w:val="center"/>
                  </w:pPr>
                  <w:r>
                    <w:t xml:space="preserve">—</w:t>
                  </w:r>
                </w:p>
              </w:tc>
            </w:tr>
          </w:tbl>
          <w:bookmarkEnd w:id="29"/>
          <w:p/>
        </w:tc>
      </w:tr>
    </w:tbl>
    <w:p>
      <w:pPr>
        <w:pStyle w:val="BodyText"/>
      </w:pPr>
      <w:r>
        <w:t xml:space="preserve">Surveys were administered electronically via Qualtrics. Participants</w:t>
      </w:r>
      <w:r>
        <w:t xml:space="preserve"> </w:t>
      </w:r>
      <w:r>
        <w:t xml:space="preserve">were not required to respond to any individual question, though</w:t>
      </w:r>
      <w:r>
        <w:t xml:space="preserve"> </w:t>
      </w:r>
      <w:r>
        <w:t xml:space="preserve">completion rates were monitored.</w:t>
      </w:r>
    </w:p>
    <w:bookmarkEnd w:id="30"/>
    <w:bookmarkStart w:id="31" w:name="physiological-measurements"/>
    <w:p>
      <w:pPr>
        <w:pStyle w:val="Heading2"/>
      </w:pPr>
      <w:r>
        <w:t xml:space="preserve">2.8 Physiological measurements</w:t>
      </w:r>
    </w:p>
    <w:p>
      <w:pPr>
        <w:pStyle w:val="FirstParagraph"/>
      </w:pPr>
      <w:r>
        <w:t xml:space="preserve">Skin temperature was recorded continuously using iButton sensors</w:t>
      </w:r>
      <w:r>
        <w:t xml:space="preserve"> </w:t>
      </w:r>
      <w:r>
        <w:t xml:space="preserve">(Thermochron, Maxim Integrated, USA, Type DS1923; measurement range:</w:t>
      </w:r>
      <w:r>
        <w:t xml:space="preserve"> </w:t>
      </w:r>
      <w:r>
        <w:t xml:space="preserve">20°C to 85°C; accuracy: ±0.5°C; resolution: 0.0625°C) attached with</w:t>
      </w:r>
      <w:r>
        <w:t xml:space="preserve"> </w:t>
      </w:r>
      <w:r>
        <w:t xml:space="preserve">medical-grade hypoallergenic tape. Sensor was placed on the lateral</w:t>
      </w:r>
      <w:r>
        <w:t xml:space="preserve"> </w:t>
      </w:r>
      <w:r>
        <w:t xml:space="preserve">lower leg (mid-calf). Skin temperature data were used to assess local</w:t>
      </w:r>
      <w:r>
        <w:t xml:space="preserve"> </w:t>
      </w:r>
      <w:r>
        <w:t xml:space="preserve">cooling responses and as physiological correlates of subjective thermal</w:t>
      </w:r>
      <w:r>
        <w:t xml:space="preserve"> </w:t>
      </w:r>
      <w:r>
        <w:t xml:space="preserve">sensation.</w:t>
      </w:r>
    </w:p>
    <w:bookmarkEnd w:id="31"/>
    <w:bookmarkStart w:id="36" w:name="statistical-analysis"/>
    <w:p>
      <w:pPr>
        <w:pStyle w:val="Heading2"/>
      </w:pPr>
      <w:r>
        <w:t xml:space="preserve">2.9 Statistical analysis</w:t>
      </w:r>
    </w:p>
    <w:bookmarkStart w:id="32" w:name="variable-processing"/>
    <w:p>
      <w:pPr>
        <w:pStyle w:val="Heading3"/>
      </w:pPr>
      <w:r>
        <w:t xml:space="preserve">2.9.1 Variable processing</w:t>
      </w:r>
    </w:p>
    <w:p>
      <w:pPr>
        <w:pStyle w:val="FirstParagraph"/>
      </w:pPr>
      <w:r>
        <w:t xml:space="preserve">Thermal sensation votes were collected on a continuous scale. For</w:t>
      </w:r>
      <w:r>
        <w:t xml:space="preserve"> </w:t>
      </w:r>
      <w:r>
        <w:t xml:space="preserve">descriptive analyses, these values were mapped to the corresponding</w:t>
      </w:r>
      <w:r>
        <w:t xml:space="preserve"> </w:t>
      </w:r>
      <w:r>
        <w:t xml:space="preserve">categorical sensation levels, whereas the original continuous values</w:t>
      </w:r>
      <w:r>
        <w:t xml:space="preserve"> </w:t>
      </w:r>
      <w:r>
        <w:t xml:space="preserve">were retained for statistical modeling. Ankle airflow acceptability was</w:t>
      </w:r>
      <w:r>
        <w:t xml:space="preserve"> </w:t>
      </w:r>
      <w:r>
        <w:t xml:space="preserve">dichotomized as acceptable or unacceptable for subsequent analyses. The</w:t>
      </w:r>
      <w:r>
        <w:t xml:space="preserve"> </w:t>
      </w:r>
      <w:r>
        <w:t xml:space="preserve">original recorded votes for thermal acceptability, thermal preference,</w:t>
      </w:r>
      <w:r>
        <w:t xml:space="preserve"> </w:t>
      </w:r>
      <w:r>
        <w:t xml:space="preserve">ankle thermal preference, and ankle airflow preference were retained</w:t>
      </w:r>
      <w:r>
        <w:t xml:space="preserve"> </w:t>
      </w:r>
      <w:r>
        <w:t xml:space="preserve">without further processing. Consistent with the definition used by</w:t>
      </w:r>
      <w:r>
        <w:t xml:space="preserve"> </w:t>
      </w:r>
      <w:r>
        <w:t xml:space="preserve">Liu et al. (</w:t>
      </w:r>
      <w:hyperlink w:anchor="X0e41857b9754d3f46055296e8711d0a459bcc8a">
        <w:r>
          <w:rPr>
            <w:rStyle w:val="Hyperlink"/>
          </w:rPr>
          <w:t xml:space="preserve">2017</w:t>
        </w:r>
      </w:hyperlink>
      <w:r>
        <w:t xml:space="preserve">)</w:t>
      </w:r>
      <w:r>
        <w:t xml:space="preserve">, ankle draft dissatisfaction was</w:t>
      </w:r>
      <w:r>
        <w:t xml:space="preserve"> </w:t>
      </w:r>
      <w:r>
        <w:t xml:space="preserve">defined as an ankle thermal sensation vote below 0 together with an</w:t>
      </w:r>
      <w:r>
        <w:t xml:space="preserve"> </w:t>
      </w:r>
      <w:r>
        <w:t xml:space="preserve">ankle airflow acceptability vote below 0.</w:t>
      </w:r>
    </w:p>
    <w:bookmarkEnd w:id="32"/>
    <w:bookmarkStart w:id="33" w:name="within-subject-comparisons"/>
    <w:p>
      <w:pPr>
        <w:pStyle w:val="Heading3"/>
      </w:pPr>
      <w:r>
        <w:t xml:space="preserve">2.9.2 Within-subject comparisons</w:t>
      </w:r>
    </w:p>
    <w:p>
      <w:pPr>
        <w:pStyle w:val="FirstParagraph"/>
      </w:pPr>
      <w:r>
        <w:t xml:space="preserve">This study used a within-subject repeated-measures design, comparisons</w:t>
      </w:r>
      <w:r>
        <w:t xml:space="preserve"> </w:t>
      </w:r>
      <w:r>
        <w:t xml:space="preserve">between experimental conditions were conducted within participants.</w:t>
      </w:r>
      <w:r>
        <w:t xml:space="preserve"> </w:t>
      </w:r>
      <w:r>
        <w:t xml:space="preserve">Continuous variables were analyzed using paired-samples t-tests, with</w:t>
      </w:r>
      <w:r>
        <w:t xml:space="preserve"> </w:t>
      </w:r>
      <w:r>
        <w:t xml:space="preserve">paired Cohen’s d reported as the effect size. Ordinal variables were</w:t>
      </w:r>
      <w:r>
        <w:t xml:space="preserve"> </w:t>
      </w:r>
      <w:r>
        <w:t xml:space="preserve">analyzed using the paired Wilcoxon signed-rank test, with the test</w:t>
      </w:r>
      <w:r>
        <w:t xml:space="preserve"> </w:t>
      </w:r>
      <w:r>
        <w:t xml:space="preserve">statistic based on the normal approximation and effect size r reported.</w:t>
      </w:r>
      <w:r>
        <w:t xml:space="preserve"> </w:t>
      </w:r>
      <w:r>
        <w:t xml:space="preserve">For multiple pairwise comparisons within each family of tests, p-values</w:t>
      </w:r>
      <w:r>
        <w:t xml:space="preserve"> </w:t>
      </w:r>
      <w:r>
        <w:t xml:space="preserve">were adjusted using the Benjamini-Hochberg method</w:t>
      </w:r>
      <w:r>
        <w:t xml:space="preserve"> </w:t>
      </w:r>
      <w:r>
        <w:t xml:space="preserve">(</w:t>
      </w:r>
      <w:hyperlink w:anchor="ref-benjaminiHighberg1995">
        <w:r>
          <w:rPr>
            <w:rStyle w:val="Hyperlink"/>
          </w:rPr>
          <w:t xml:space="preserve">Benjamini &amp; Hochberg, 1995</w:t>
        </w:r>
      </w:hyperlink>
      <w:r>
        <w:t xml:space="preserve">)</w:t>
      </w:r>
      <w:r>
        <w:t xml:space="preserve">.</w:t>
      </w:r>
    </w:p>
    <w:bookmarkEnd w:id="33"/>
    <w:bookmarkStart w:id="34" w:name="X2acb978ebcf08cf54083d7a11183751fcd1e0a3"/>
    <w:p>
      <w:pPr>
        <w:pStyle w:val="Heading3"/>
      </w:pPr>
      <w:r>
        <w:t xml:space="preserve">2.9.3 Evaluation of the existing ankle draft model</w:t>
      </w:r>
    </w:p>
    <w:p>
      <w:pPr>
        <w:pStyle w:val="FirstParagraph"/>
      </w:pPr>
      <w:r>
        <w:t xml:space="preserve">To evaluate the performance of the existing ankle draft model under the</w:t>
      </w:r>
      <w:r>
        <w:t xml:space="preserve"> </w:t>
      </w:r>
      <w:r>
        <w:t xml:space="preserve">conditions of this study, the existing model was applied to the</w:t>
      </w:r>
      <w:r>
        <w:t xml:space="preserve"> </w:t>
      </w:r>
      <w:r>
        <w:t xml:space="preserve">experimental data to calculate the predicted percentage of</w:t>
      </w:r>
      <w:r>
        <w:t xml:space="preserve"> </w:t>
      </w:r>
      <w:r>
        <w:t xml:space="preserve">dissatisfaction with ankle draft at each observation point. The</w:t>
      </w:r>
      <w:r>
        <w:t xml:space="preserve"> </w:t>
      </w:r>
      <w:r>
        <w:t xml:space="preserve">predictions were then averaged by experimental condition and compared</w:t>
      </w:r>
      <w:r>
        <w:t xml:space="preserve"> </w:t>
      </w:r>
      <w:r>
        <w:t xml:space="preserve">with the observed dissatisfaction percentages. In addition, calibration</w:t>
      </w:r>
      <w:r>
        <w:t xml:space="preserve"> </w:t>
      </w:r>
      <w:r>
        <w:t xml:space="preserve">curves were used to quantitatively assess the predictive performance of</w:t>
      </w:r>
      <w:r>
        <w:t xml:space="preserve"> </w:t>
      </w:r>
      <w:r>
        <w:t xml:space="preserve">the existing model in this study’s dataset</w:t>
      </w:r>
      <w:r>
        <w:t xml:space="preserve"> </w:t>
      </w:r>
      <w:r>
        <w:t xml:space="preserve">(</w:t>
      </w:r>
      <w:hyperlink w:anchor="ref-vancalster2016">
        <w:r>
          <w:rPr>
            <w:rStyle w:val="Hyperlink"/>
          </w:rPr>
          <w:t xml:space="preserve">Van Calster et al., 2016</w:t>
        </w:r>
      </w:hyperlink>
      <w:r>
        <w:t xml:space="preserve">)</w:t>
      </w:r>
      <w:r>
        <w:t xml:space="preserve">. The</w:t>
      </w:r>
      <w:r>
        <w:t xml:space="preserve"> </w:t>
      </w:r>
      <w:r>
        <w:t xml:space="preserve">calibration intercept and slope, AUC, and Brier score were reported. All</w:t>
      </w:r>
      <w:r>
        <w:t xml:space="preserve"> </w:t>
      </w:r>
      <w:r>
        <w:t xml:space="preserve">analyses were implemented using the R package</w:t>
      </w:r>
      <w:r>
        <w:t xml:space="preserve"> </w:t>
      </w:r>
      <w:r>
        <w:rPr>
          <w:rStyle w:val="VerbatimChar"/>
        </w:rPr>
        <w:t xml:space="preserve">CalibrationCurves</w:t>
      </w:r>
      <w:r>
        <w:t xml:space="preserve"> </w:t>
      </w:r>
      <w:r>
        <w:t xml:space="preserve">(</w:t>
      </w:r>
      <w:hyperlink w:anchor="ref-deCockCalibrationCurves2023">
        <w:r>
          <w:rPr>
            <w:rStyle w:val="Hyperlink"/>
          </w:rPr>
          <w:t xml:space="preserve">De Cock et al., 2025</w:t>
        </w:r>
      </w:hyperlink>
      <w:r>
        <w:t xml:space="preserve">)</w:t>
      </w:r>
      <w:r>
        <w:t xml:space="preserve">.</w:t>
      </w:r>
    </w:p>
    <w:bookmarkEnd w:id="34"/>
    <w:bookmarkStart w:id="35" w:name="development-of-the-new-ankle-draft-model"/>
    <w:p>
      <w:pPr>
        <w:pStyle w:val="Heading3"/>
      </w:pPr>
      <w:r>
        <w:t xml:space="preserve">2.9.4 Development of the new ankle draft model</w:t>
      </w:r>
    </w:p>
    <w:p>
      <w:pPr>
        <w:pStyle w:val="FirstParagraph"/>
      </w:pPr>
      <w:r>
        <w:t xml:space="preserve">Ankle draft dissatisfaction was modeled using a generalized linear mixed</w:t>
      </w:r>
      <w:r>
        <w:t xml:space="preserve"> </w:t>
      </w:r>
      <w:r>
        <w:t xml:space="preserve">model with a binomial distribution and logit link, as the outcome was</w:t>
      </w:r>
      <w:r>
        <w:t xml:space="preserve"> </w:t>
      </w:r>
      <w:r>
        <w:t xml:space="preserve">binary and repeated observations were correlated within subjects.</w:t>
      </w:r>
      <w:r>
        <w:t xml:space="preserve"> </w:t>
      </w:r>
      <w:r>
        <w:t xml:space="preserve">Subject was included as a random intercept to account for</w:t>
      </w:r>
      <w:r>
        <w:t xml:space="preserve"> </w:t>
      </w:r>
      <w:r>
        <w:t xml:space="preserve">between-subject heterogeneity and within-subject dependence arising from</w:t>
      </w:r>
      <w:r>
        <w:t xml:space="preserve"> </w:t>
      </w:r>
      <w:r>
        <w:t xml:space="preserve">repeated measurements. To enable an integrated analysis of the effects</w:t>
      </w:r>
      <w:r>
        <w:t xml:space="preserve"> </w:t>
      </w:r>
      <w:r>
        <w:t xml:space="preserve">of different clothing conditions on ankle draft dissatisfaction, data</w:t>
      </w:r>
      <w:r>
        <w:t xml:space="preserve"> </w:t>
      </w:r>
      <w:r>
        <w:t xml:space="preserve">from</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were also included in the</w:t>
      </w:r>
      <w:r>
        <w:t xml:space="preserve"> </w:t>
      </w:r>
      <w:r>
        <w:t xml:space="preserve">modeling dataset. Continuous predictors were mean-centered using the</w:t>
      </w:r>
      <w:r>
        <w:t xml:space="preserve"> </w:t>
      </w:r>
      <w:r>
        <w:t xml:space="preserve">overall means of the combined dataset before model fitting.</w:t>
      </w:r>
    </w:p>
    <w:p>
      <w:pPr>
        <w:pStyle w:val="BodyText"/>
      </w:pPr>
      <w:r>
        <w:t xml:space="preserve">In this generalized linear mixed model, the inverse-logit transformation</w:t>
      </w:r>
      <w:r>
        <w:t xml:space="preserve"> </w:t>
      </w:r>
      <w:r>
        <w:t xml:space="preserve">is nonlinear. As a result, direct back-transformation of the</w:t>
      </w:r>
      <w:r>
        <w:t xml:space="preserve"> </w:t>
      </w:r>
      <w:r>
        <w:t xml:space="preserve">fixed-effects linear predictor yields a conditional probability,</w:t>
      </w:r>
      <w:r>
        <w:t xml:space="preserve"> </w:t>
      </w:r>
      <w:r>
        <w:t xml:space="preserve">representing an individual-level prediction when the random effect is</w:t>
      </w:r>
      <w:r>
        <w:t xml:space="preserve"> </w:t>
      </w:r>
      <w:r>
        <w:t xml:space="preserve">set to zero, rather than a population-averaged probability. To</w:t>
      </w:r>
      <w:r>
        <w:t xml:space="preserve"> </w:t>
      </w:r>
      <w:r>
        <w:t xml:space="preserve">characterize the average risk of dissatisfaction at the population</w:t>
      </w:r>
      <w:r>
        <w:t xml:space="preserve"> </w:t>
      </w:r>
      <w:r>
        <w:t xml:space="preserve">level, marginal probabilities were therefore used instead of conditional</w:t>
      </w:r>
      <w:r>
        <w:t xml:space="preserve"> </w:t>
      </w:r>
      <w:r>
        <w:t xml:space="preserve">probabilities</w:t>
      </w:r>
      <w:r>
        <w:t xml:space="preserve"> </w:t>
      </w:r>
      <w:r>
        <w:t xml:space="preserve">(</w:t>
      </w:r>
      <w:hyperlink w:anchor="ref-neuhausKalbfleischHauck1991">
        <w:r>
          <w:rPr>
            <w:rStyle w:val="Hyperlink"/>
          </w:rPr>
          <w:t xml:space="preserve">Neuhaus et al., 1991</w:t>
        </w:r>
      </w:hyperlink>
      <w:r>
        <w:t xml:space="preserve">)</w:t>
      </w:r>
      <w:r>
        <w:t xml:space="preserve">. Specifically, fixed-effect</w:t>
      </w:r>
      <w:r>
        <w:t xml:space="preserve"> </w:t>
      </w:r>
      <w:r>
        <w:t xml:space="preserve">estimates and the variance of the random intercept were extracted from</w:t>
      </w:r>
      <w:r>
        <w:t xml:space="preserve"> </w:t>
      </w:r>
      <w:r>
        <w:t xml:space="preserve">the fitted model, assuming that the random intercept followed a normal</w:t>
      </w:r>
      <w:r>
        <w:t xml:space="preserve"> </w:t>
      </w:r>
      <w:r>
        <w:t xml:space="preserve">distribution with mean zero. Integration over the random effects was</w:t>
      </w:r>
      <w:r>
        <w:t xml:space="preserve"> </w:t>
      </w:r>
      <w:r>
        <w:t xml:space="preserve">then approximated using Monte Carlo simulation (K = 10,000, random seed</w:t>
      </w:r>
      <w:r>
        <w:t xml:space="preserve"> </w:t>
      </w:r>
      <w:r>
        <w:t xml:space="preserve">= 1), and the marginal predicted probability was calculated for each</w:t>
      </w:r>
      <w:r>
        <w:t xml:space="preserve"> </w:t>
      </w:r>
      <w:r>
        <w:t xml:space="preserve">combination of predictor values.</w:t>
      </w:r>
    </w:p>
    <w:p>
      <w:pPr>
        <w:pStyle w:val="BodyText"/>
      </w:pPr>
      <w:r>
        <w:t xml:space="preserve">Because these marginal probabilities generally cannot be written as a</w:t>
      </w:r>
      <w:r>
        <w:t xml:space="preserve"> </w:t>
      </w:r>
      <w:r>
        <w:t xml:space="preserve">simple closed-form equation, the Monte Carlo-simulated marginal</w:t>
      </w:r>
      <w:r>
        <w:t xml:space="preserve"> </w:t>
      </w:r>
      <w:r>
        <w:t xml:space="preserve">probabilities were used to fit an approximate linear equation for</w:t>
      </w:r>
      <w:r>
        <w:t xml:space="preserve"> </w:t>
      </w:r>
      <w:r>
        <w:t xml:space="preserve">logit(P). Applying the inverse-logit transformation to the fitted</w:t>
      </w:r>
      <w:r>
        <w:t xml:space="preserve"> </w:t>
      </w:r>
      <w:r>
        <w:t xml:space="preserve">equation yielded a closed-form prediction equation. The accuracy of this</w:t>
      </w:r>
      <w:r>
        <w:t xml:space="preserve"> </w:t>
      </w:r>
      <w:r>
        <w:t xml:space="preserve">approximation was evaluated using coefficient of determination (R</w:t>
      </w:r>
      <w:r>
        <w:rPr>
          <w:vertAlign w:val="superscript"/>
        </w:rPr>
        <w:t xml:space="preserve">2</w:t>
      </w:r>
      <w:r>
        <w:t xml:space="preserve">).</w:t>
      </w:r>
    </w:p>
    <w:bookmarkEnd w:id="35"/>
    <w:bookmarkEnd w:id="36"/>
    <w:bookmarkStart w:id="37" w:name="software"/>
    <w:p>
      <w:pPr>
        <w:pStyle w:val="Heading2"/>
      </w:pPr>
      <w:r>
        <w:t xml:space="preserve">2.10 Software</w:t>
      </w:r>
    </w:p>
    <w:p>
      <w:pPr>
        <w:pStyle w:val="FirstParagraph"/>
      </w:pPr>
      <w:r>
        <w:t xml:space="preserve">All data processing, statistical analyses, and model fitting were</w:t>
      </w:r>
      <w:r>
        <w:t xml:space="preserve"> </w:t>
      </w:r>
      <w:r>
        <w:t xml:space="preserve">performed in R (version 4.4.1). The main packages used were tidyverse</w:t>
      </w:r>
      <w:r>
        <w:t xml:space="preserve"> </w:t>
      </w:r>
      <w:r>
        <w:t xml:space="preserve">(version 2.0.0), lme4 (version 2.0.1), rstatix (version 0.7.3), and</w:t>
      </w:r>
      <w:r>
        <w:t xml:space="preserve"> </w:t>
      </w:r>
      <w:r>
        <w:t xml:space="preserve">CalibrationCurves (version 3.0.0).</w:t>
      </w:r>
    </w:p>
    <w:bookmarkEnd w:id="37"/>
    <w:bookmarkEnd w:id="38"/>
    <w:bookmarkStart w:id="83" w:name="results"/>
    <w:p>
      <w:pPr>
        <w:pStyle w:val="Heading1"/>
      </w:pPr>
      <w:r>
        <w:t xml:space="preserve">3. Results</w:t>
      </w:r>
    </w:p>
    <w:bookmarkStart w:id="41"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39" w:name="tbl-demographics"/>
          <w:p>
            <w:pPr>
              <w:jc w:val="center"/>
            </w:pPr>
            <w:pPr>
              <w:jc w:val="left"/>
              <w:spacing w:before="200"/>
              <w:pStyle w:val="ImageCaption"/>
            </w:pPr>
            <w:r>
              <w:t xml:space="preserve">Table 2: Summary of demographic information (mean ± SD) on study participants.</w:t>
            </w:r>
          </w:p>
          <w:tbl>
            <w:tblPr>
              <w:tblStyle w:val="Table"/>
              <w:tblW w:type="pct" w:w="5000"/>
              <w:tblLayout w:type="fixed"/>
              <w:tblLook w:firstRow="1" w:lastRow="0" w:firstColumn="0" w:lastColumn="0" w:noHBand="0" w:noVBand="0" w:val="0020"/>
            </w:tblPr>
            <w:tblGrid>
              <w:gridCol w:w="1614"/>
              <w:gridCol w:w="999"/>
              <w:gridCol w:w="1153"/>
              <w:gridCol w:w="1230"/>
              <w:gridCol w:w="1230"/>
              <w:gridCol w:w="1691"/>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23.5 (+/- 5.9)</w:t>
                  </w:r>
                </w:p>
              </w:tc>
              <w:tc>
                <w:tcPr/>
                <w:p>
                  <w:pPr>
                    <w:pStyle w:val="Compact"/>
                    <w:jc w:val="left"/>
                    <w:jc w:val="center"/>
                  </w:pPr>
                  <w:r>
                    <w:t xml:space="preserve">1.70 (+/- 0.10)</w:t>
                  </w:r>
                </w:p>
              </w:tc>
              <w:tc>
                <w:tcPr/>
                <w:p>
                  <w:pPr>
                    <w:pStyle w:val="Compact"/>
                    <w:jc w:val="left"/>
                    <w:jc w:val="center"/>
                  </w:pPr>
                  <w:r>
                    <w:t xml:space="preserve">69.0 (+/- 11.8)</w:t>
                  </w:r>
                </w:p>
              </w:tc>
              <w:tc>
                <w:tcPr/>
                <w:p>
                  <w:pPr>
                    <w:pStyle w:val="Compact"/>
                    <w:jc w:val="left"/>
                    <w:jc w:val="center"/>
                  </w:pPr>
                  <w:r>
                    <w:t xml:space="preserve">23.9 (+/- 4.1)</w:t>
                  </w:r>
                </w:p>
              </w:tc>
            </w:tr>
            <w:tr>
              <w:tc>
                <w:tcPr/>
                <w:p>
                  <w:pPr>
                    <w:pStyle w:val="Compact"/>
                    <w:jc w:val="left"/>
                    <w:jc w:val="center"/>
                  </w:pPr>
                  <w:r>
                    <w:t xml:space="preserve">Female</w:t>
                  </w:r>
                </w:p>
              </w:tc>
              <w:tc>
                <w:tcPr/>
                <w:p>
                  <w:pPr>
                    <w:pStyle w:val="Compact"/>
                    <w:jc w:val="right"/>
                    <w:jc w:val="center"/>
                  </w:pPr>
                  <w:r>
                    <w:t xml:space="preserve">28</w:t>
                  </w:r>
                </w:p>
              </w:tc>
              <w:tc>
                <w:tcPr/>
                <w:p>
                  <w:pPr>
                    <w:pStyle w:val="Compact"/>
                    <w:jc w:val="left"/>
                    <w:jc w:val="center"/>
                  </w:pPr>
                  <w:r>
                    <w:t xml:space="preserve">23.5 (+/- 6.4)</w:t>
                  </w:r>
                </w:p>
              </w:tc>
              <w:tc>
                <w:tcPr/>
                <w:p>
                  <w:pPr>
                    <w:pStyle w:val="Compact"/>
                    <w:jc w:val="left"/>
                    <w:jc w:val="center"/>
                  </w:pPr>
                  <w:r>
                    <w:t xml:space="preserve">1.65 (+/- 0.06)</w:t>
                  </w:r>
                </w:p>
              </w:tc>
              <w:tc>
                <w:tcPr/>
                <w:p>
                  <w:pPr>
                    <w:pStyle w:val="Compact"/>
                    <w:jc w:val="left"/>
                    <w:jc w:val="center"/>
                  </w:pPr>
                  <w:r>
                    <w:t xml:space="preserve">65.6 (+/- 11.5)</w:t>
                  </w:r>
                </w:p>
              </w:tc>
              <w:tc>
                <w:tcPr/>
                <w:p>
                  <w:pPr>
                    <w:pStyle w:val="Compact"/>
                    <w:jc w:val="left"/>
                    <w:jc w:val="center"/>
                  </w:pPr>
                  <w:r>
                    <w:t xml:space="preserve">24.3 (+/- 4.7)</w:t>
                  </w:r>
                </w:p>
              </w:tc>
            </w:tr>
            <w:tr>
              <w:tc>
                <w:tcPr/>
                <w:p>
                  <w:pPr>
                    <w:pStyle w:val="Compact"/>
                    <w:jc w:val="left"/>
                    <w:jc w:val="center"/>
                  </w:pPr>
                  <w:r>
                    <w:t xml:space="preserve">Male</w:t>
                  </w:r>
                </w:p>
              </w:tc>
              <w:tc>
                <w:tcPr/>
                <w:p>
                  <w:pPr>
                    <w:pStyle w:val="Compact"/>
                    <w:jc w:val="right"/>
                    <w:jc w:val="center"/>
                  </w:pPr>
                  <w:r>
                    <w:t xml:space="preserve">20</w:t>
                  </w:r>
                </w:p>
              </w:tc>
              <w:tc>
                <w:tcPr/>
                <w:p>
                  <w:pPr>
                    <w:pStyle w:val="Compact"/>
                    <w:jc w:val="left"/>
                    <w:jc w:val="center"/>
                  </w:pPr>
                  <w:r>
                    <w:t xml:space="preserve">23.9 (+/- 5.6)</w:t>
                  </w:r>
                </w:p>
              </w:tc>
              <w:tc>
                <w:tcPr/>
                <w:p>
                  <w:pPr>
                    <w:pStyle w:val="Compact"/>
                    <w:jc w:val="left"/>
                    <w:jc w:val="center"/>
                  </w:pPr>
                  <w:r>
                    <w:t xml:space="preserve">1.79 (+/- 0.09)</w:t>
                  </w:r>
                </w:p>
              </w:tc>
              <w:tc>
                <w:tcPr/>
                <w:p>
                  <w:pPr>
                    <w:pStyle w:val="Compact"/>
                    <w:jc w:val="left"/>
                    <w:jc w:val="center"/>
                  </w:pPr>
                  <w:r>
                    <w:t xml:space="preserve">74.8 (+/- 9.6)</w:t>
                  </w:r>
                </w:p>
              </w:tc>
              <w:tc>
                <w:tcPr/>
                <w:p>
                  <w:pPr>
                    <w:pStyle w:val="Compact"/>
                    <w:jc w:val="left"/>
                    <w:jc w:val="center"/>
                  </w:pPr>
                  <w:r>
                    <w:t xml:space="preserve">23.4 (+/- 3.0)</w:t>
                  </w:r>
                </w:p>
              </w:tc>
            </w:tr>
            <w:tr>
              <w:tc>
                <w:tcPr/>
                <w:p>
                  <w:pPr>
                    <w:pStyle w:val="Compact"/>
                    <w:jc w:val="left"/>
                    <w:jc w:val="center"/>
                  </w:pPr>
                  <w:r>
                    <w:t xml:space="preserve">Third Gender / Other</w:t>
                  </w:r>
                </w:p>
              </w:tc>
              <w:tc>
                <w:tcPr/>
                <w:p>
                  <w:pPr>
                    <w:pStyle w:val="Compact"/>
                    <w:jc w:val="right"/>
                    <w:jc w:val="center"/>
                  </w:pPr>
                  <w:r>
                    <w:t xml:space="preserve">3</w:t>
                  </w:r>
                </w:p>
              </w:tc>
              <w:tc>
                <w:tcPr/>
                <w:p>
                  <w:pPr>
                    <w:pStyle w:val="Compact"/>
                    <w:jc w:val="left"/>
                    <w:jc w:val="center"/>
                  </w:pPr>
                  <w:r>
                    <w:t xml:space="preserve">22.0 (+/- 1.0)</w:t>
                  </w:r>
                </w:p>
              </w:tc>
              <w:tc>
                <w:tcPr/>
                <w:p>
                  <w:pPr>
                    <w:pStyle w:val="Compact"/>
                    <w:jc w:val="left"/>
                    <w:jc w:val="center"/>
                  </w:pPr>
                  <w:r>
                    <w:t xml:space="preserve">1.61 (+/- 0.02)</w:t>
                  </w:r>
                </w:p>
              </w:tc>
              <w:tc>
                <w:tcPr/>
                <w:p>
                  <w:pPr>
                    <w:pStyle w:val="Compact"/>
                    <w:jc w:val="left"/>
                    <w:jc w:val="center"/>
                  </w:pPr>
                  <w:r>
                    <w:t xml:space="preserve">62.0 (+/- 14.9)</w:t>
                  </w:r>
                </w:p>
              </w:tc>
              <w:tc>
                <w:tcPr/>
                <w:p>
                  <w:pPr>
                    <w:pStyle w:val="Compact"/>
                    <w:jc w:val="left"/>
                    <w:jc w:val="center"/>
                  </w:pPr>
                  <w:r>
                    <w:t xml:space="preserve">23.9 (+/- 5.7)</w:t>
                  </w:r>
                </w:p>
              </w:tc>
            </w:tr>
          </w:tbl>
          <w:bookmarkEnd w:id="39"/>
          <w:p/>
        </w:tc>
      </w:tr>
    </w:tbl>
    <w:p>
      <w:pPr>
        <w:pStyle w:val="BodyText"/>
      </w:pPr>
      <w:hyperlink w:anchor="tbl-demographics">
        <w:r>
          <w:rPr>
            <w:rStyle w:val="Hyperlink"/>
          </w:rPr>
          <w:t xml:space="preserve">Table 2</w:t>
        </w:r>
      </w:hyperlink>
      <w:r>
        <w:t xml:space="preserve"> </w:t>
      </w:r>
      <w:r>
        <w:t xml:space="preserve">summarizes the demographic information of the study</w:t>
      </w:r>
      <w:r>
        <w:t xml:space="preserve"> </w:t>
      </w:r>
      <w:r>
        <w:t xml:space="preserve">subjects. A total of</w:t>
      </w:r>
      <w:r>
        <w:t xml:space="preserve"> </w:t>
      </w:r>
      <w:r>
        <w:t xml:space="preserve">51</w:t>
      </w:r>
      <w:r>
        <w:t xml:space="preserve"> </w:t>
      </w:r>
      <w:r>
        <w:t xml:space="preserve">subjects participated in the study</w:t>
      </w:r>
      <w:r>
        <w:t xml:space="preserve"> </w:t>
      </w:r>
      <w:r>
        <w:t xml:space="preserve">(28</w:t>
      </w:r>
      <w:r>
        <w:t xml:space="preserve"> </w:t>
      </w:r>
      <w:r>
        <w:t xml:space="preserve">female,</w:t>
      </w:r>
      <w:r>
        <w:t xml:space="preserve"> </w:t>
      </w:r>
      <w:r>
        <w:t xml:space="preserve">20</w:t>
      </w:r>
      <w:r>
        <w:t xml:space="preserve"> </w:t>
      </w:r>
      <w:r>
        <w:t xml:space="preserve">male,</w:t>
      </w:r>
      <w:r>
        <w:t xml:space="preserve"> </w:t>
      </w:r>
      <w:r>
        <w:t xml:space="preserve">3</w:t>
      </w:r>
      <w:r>
        <w:t xml:space="preserve"> </w:t>
      </w:r>
      <w:r>
        <w:t xml:space="preserve">other), with a mean age of</w:t>
      </w:r>
      <w:r>
        <w:t xml:space="preserve"> </w:t>
      </w:r>
      <w:r>
        <w:t xml:space="preserve">23.5 (+/- 5.9)</w:t>
      </w:r>
      <w:r>
        <w:t xml:space="preserve"> </w:t>
      </w:r>
      <w:r>
        <w:t xml:space="preserve">years.</w:t>
      </w:r>
    </w:p>
    <w:tbl>
      <w:tblPr>
        <w:tblStyle w:val="Table"/>
        <w:tblW w:type="pct" w:w="5000"/>
        <w:tblLayout w:type="fixed"/>
        <w:tblLook w:firstRow="0" w:lastRow="0" w:firstColumn="0" w:lastColumn="0" w:noHBand="0" w:noVBand="0" w:val="0000"/>
      </w:tblPr>
      <w:tblGrid>
        <w:gridCol w:w="7920"/>
      </w:tblGrid>
      <w:tr>
        <w:tc>
          <w:tcPr/>
          <w:bookmarkStart w:id="40" w:name="tbl-env"/>
          <w:p>
            <w:pPr>
              <w:jc w:val="center"/>
            </w:pPr>
            <w:pPr>
              <w:jc w:val="left"/>
              <w:spacing w:before="200"/>
              <w:pStyle w:val="ImageCaption"/>
            </w:pPr>
            <w:r>
              <w:t xml:space="preserve">Table 3: Summary of environmental measurements.</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Air temperature, head level (°C)</w:t>
                  </w:r>
                </w:p>
              </w:tc>
              <w:tc>
                <w:tcPr/>
                <w:p>
                  <w:pPr>
                    <w:pStyle w:val="Compact"/>
                    <w:jc w:val="left"/>
                    <w:jc w:val="center"/>
                  </w:pPr>
                  <w:r>
                    <w:t xml:space="preserve">21.9 ( +/- 0.2)</w:t>
                  </w:r>
                </w:p>
              </w:tc>
              <w:tc>
                <w:tcPr/>
                <w:p>
                  <w:pPr>
                    <w:pStyle w:val="Compact"/>
                    <w:jc w:val="left"/>
                    <w:jc w:val="center"/>
                  </w:pPr>
                  <w:r>
                    <w:t xml:space="preserve">21.9 ( +/- 0.3)</w:t>
                  </w:r>
                </w:p>
              </w:tc>
              <w:tc>
                <w:tcPr/>
                <w:p>
                  <w:pPr>
                    <w:pStyle w:val="Compact"/>
                    <w:jc w:val="left"/>
                    <w:jc w:val="center"/>
                  </w:pPr>
                  <w:r>
                    <w:t xml:space="preserve">21.9 ( +/- 0.2)</w:t>
                  </w:r>
                </w:p>
              </w:tc>
            </w:tr>
            <w:tr>
              <w:tc>
                <w:tcPr/>
                <w:p>
                  <w:pPr>
                    <w:pStyle w:val="Compact"/>
                    <w:jc w:val="left"/>
                    <w:jc w:val="center"/>
                  </w:pPr>
                  <w:r>
                    <w:t xml:space="preserve">Relative humidity (%)</w:t>
                  </w:r>
                </w:p>
              </w:tc>
              <w:tc>
                <w:tcPr/>
                <w:p>
                  <w:pPr>
                    <w:pStyle w:val="Compact"/>
                    <w:jc w:val="left"/>
                    <w:jc w:val="center"/>
                  </w:pPr>
                  <w:r>
                    <w:t xml:space="preserve">54.9 ( +/- 5.5)</w:t>
                  </w:r>
                </w:p>
              </w:tc>
              <w:tc>
                <w:tcPr/>
                <w:p>
                  <w:pPr>
                    <w:pStyle w:val="Compact"/>
                    <w:jc w:val="left"/>
                    <w:jc w:val="center"/>
                  </w:pPr>
                  <w:r>
                    <w:t xml:space="preserve">52.3 ( +/- 5)</w:t>
                  </w:r>
                </w:p>
              </w:tc>
              <w:tc>
                <w:tcPr/>
                <w:p>
                  <w:pPr>
                    <w:pStyle w:val="Compact"/>
                    <w:jc w:val="left"/>
                    <w:jc w:val="center"/>
                  </w:pPr>
                  <w:r>
                    <w:t xml:space="preserve">51.2 ( +/- 4.8)</w:t>
                  </w:r>
                </w:p>
              </w:tc>
            </w:tr>
            <w:tr>
              <w:tc>
                <w:tcPr/>
                <w:p>
                  <w:pPr>
                    <w:pStyle w:val="Compact"/>
                    <w:jc w:val="left"/>
                    <w:jc w:val="center"/>
                  </w:pPr>
                  <w:r>
                    <w:t xml:space="preserve">Air temperature, ankle level (°C)</w:t>
                  </w:r>
                </w:p>
              </w:tc>
              <w:tc>
                <w:tcPr/>
                <w:p>
                  <w:pPr>
                    <w:pStyle w:val="Compact"/>
                    <w:jc w:val="left"/>
                    <w:jc w:val="center"/>
                  </w:pPr>
                  <w:r>
                    <w:t xml:space="preserve">17.6 ( +/- 0.2)</w:t>
                  </w:r>
                </w:p>
              </w:tc>
              <w:tc>
                <w:tcPr/>
                <w:p>
                  <w:pPr>
                    <w:pStyle w:val="Compact"/>
                    <w:jc w:val="left"/>
                    <w:jc w:val="center"/>
                  </w:pPr>
                  <w:r>
                    <w:t xml:space="preserve">18.3 ( +/- 0.2)</w:t>
                  </w:r>
                </w:p>
              </w:tc>
              <w:tc>
                <w:tcPr/>
                <w:p>
                  <w:pPr>
                    <w:pStyle w:val="Compact"/>
                    <w:jc w:val="left"/>
                    <w:jc w:val="center"/>
                  </w:pPr>
                  <w:r>
                    <w:t xml:space="preserve">19.7 ( +/- 0.2)</w:t>
                  </w:r>
                </w:p>
              </w:tc>
            </w:tr>
            <w:tr>
              <w:tc>
                <w:tcPr/>
                <w:p>
                  <w:pPr>
                    <w:pStyle w:val="Compact"/>
                    <w:jc w:val="left"/>
                    <w:jc w:val="center"/>
                  </w:pPr>
                  <w:r>
                    <w:t xml:space="preserve">Air speed, low (m/s)</w:t>
                  </w:r>
                </w:p>
              </w:tc>
              <w:tc>
                <w:tcPr/>
                <w:p>
                  <w:pPr>
                    <w:pStyle w:val="Compact"/>
                    <w:jc w:val="left"/>
                    <w:jc w:val="center"/>
                  </w:pPr>
                  <w:r>
                    <w:t xml:space="preserve">0.14 ( +/- 0.02)</w:t>
                  </w:r>
                </w:p>
              </w:tc>
              <w:tc>
                <w:tcPr/>
                <w:p>
                  <w:pPr>
                    <w:pStyle w:val="Compact"/>
                    <w:jc w:val="left"/>
                    <w:jc w:val="center"/>
                  </w:pPr>
                  <w:r>
                    <w:t xml:space="preserve">0.16 ( +/- 0.01)</w:t>
                  </w:r>
                </w:p>
              </w:tc>
              <w:tc>
                <w:tcPr/>
                <w:p>
                  <w:pPr>
                    <w:pStyle w:val="Compact"/>
                    <w:jc w:val="left"/>
                    <w:jc w:val="center"/>
                  </w:pPr>
                  <w:r>
                    <w:t xml:space="preserve">0.18 ( +/- 0.01)</w:t>
                  </w:r>
                </w:p>
              </w:tc>
            </w:tr>
            <w:tr>
              <w:tc>
                <w:tcPr/>
                <w:p>
                  <w:pPr>
                    <w:pStyle w:val="Compact"/>
                    <w:jc w:val="left"/>
                    <w:jc w:val="center"/>
                  </w:pPr>
                  <w:r>
                    <w:t xml:space="preserve">Air speed, medium (m/s)</w:t>
                  </w:r>
                </w:p>
              </w:tc>
              <w:tc>
                <w:tcPr/>
                <w:p>
                  <w:pPr>
                    <w:pStyle w:val="Compact"/>
                    <w:jc w:val="left"/>
                    <w:jc w:val="center"/>
                  </w:pPr>
                  <w:r>
                    <w:t xml:space="preserve">0.37 ( +/- 0.02)</w:t>
                  </w:r>
                </w:p>
              </w:tc>
              <w:tc>
                <w:tcPr/>
                <w:p>
                  <w:pPr>
                    <w:pStyle w:val="Compact"/>
                    <w:jc w:val="left"/>
                    <w:jc w:val="center"/>
                  </w:pPr>
                  <w:r>
                    <w:t xml:space="preserve">0.39 ( +/- 0.03)</w:t>
                  </w:r>
                </w:p>
              </w:tc>
              <w:tc>
                <w:tcPr/>
                <w:p>
                  <w:pPr>
                    <w:pStyle w:val="Compact"/>
                    <w:jc w:val="left"/>
                    <w:jc w:val="center"/>
                  </w:pPr>
                  <w:r>
                    <w:t xml:space="preserve">0.42 ( +/- 0.03)</w:t>
                  </w:r>
                </w:p>
              </w:tc>
            </w:tr>
            <w:tr>
              <w:tc>
                <w:tcPr/>
                <w:p>
                  <w:pPr>
                    <w:pStyle w:val="Compact"/>
                    <w:jc w:val="left"/>
                    <w:jc w:val="center"/>
                  </w:pPr>
                  <w:r>
                    <w:t xml:space="preserve">Air speed, high (m/s)</w:t>
                  </w:r>
                </w:p>
              </w:tc>
              <w:tc>
                <w:tcPr/>
                <w:p>
                  <w:pPr>
                    <w:pStyle w:val="Compact"/>
                    <w:jc w:val="left"/>
                    <w:jc w:val="center"/>
                  </w:pPr>
                  <w:r>
                    <w:t xml:space="preserve">0.64 ( +/- 0.04)</w:t>
                  </w:r>
                </w:p>
              </w:tc>
              <w:tc>
                <w:tcPr/>
                <w:p>
                  <w:pPr>
                    <w:pStyle w:val="Compact"/>
                    <w:jc w:val="left"/>
                    <w:jc w:val="center"/>
                  </w:pPr>
                  <w:r>
                    <w:t xml:space="preserve">0.62 ( +/- 0.01)</w:t>
                  </w:r>
                </w:p>
              </w:tc>
              <w:tc>
                <w:tcPr/>
                <w:p>
                  <w:pPr>
                    <w:pStyle w:val="Compact"/>
                    <w:jc w:val="left"/>
                    <w:jc w:val="center"/>
                  </w:pPr>
                  <w:r>
                    <w:t xml:space="preserve">0.65 ( +/- 0.03)</w:t>
                  </w:r>
                </w:p>
              </w:tc>
            </w:tr>
            <w:tr>
              <w:tc>
                <w:tcPr/>
                <w:p>
                  <w:pPr>
                    <w:pStyle w:val="Compact"/>
                    <w:jc w:val="left"/>
                    <w:jc w:val="center"/>
                  </w:pPr>
                  <w:r>
                    <w:t xml:space="preserve">Turbulence, low (%)</w:t>
                  </w:r>
                </w:p>
              </w:tc>
              <w:tc>
                <w:tcPr/>
                <w:p>
                  <w:pPr>
                    <w:pStyle w:val="Compact"/>
                    <w:jc w:val="left"/>
                    <w:jc w:val="center"/>
                  </w:pPr>
                  <w:r>
                    <w:t xml:space="preserve">0.36 ( +/- 0.02)</w:t>
                  </w:r>
                </w:p>
              </w:tc>
              <w:tc>
                <w:tcPr/>
                <w:p>
                  <w:pPr>
                    <w:pStyle w:val="Compact"/>
                    <w:jc w:val="left"/>
                    <w:jc w:val="center"/>
                  </w:pPr>
                  <w:r>
                    <w:t xml:space="preserve">0.34 ( +/- 0.01)</w:t>
                  </w:r>
                </w:p>
              </w:tc>
              <w:tc>
                <w:tcPr/>
                <w:p>
                  <w:pPr>
                    <w:pStyle w:val="Compact"/>
                    <w:jc w:val="left"/>
                    <w:jc w:val="center"/>
                  </w:pPr>
                  <w:r>
                    <w:t xml:space="preserve">0.3 ( +/- 0.01)</w:t>
                  </w:r>
                </w:p>
              </w:tc>
            </w:tr>
            <w:tr>
              <w:tc>
                <w:tcPr/>
                <w:p>
                  <w:pPr>
                    <w:pStyle w:val="Compact"/>
                    <w:jc w:val="left"/>
                    <w:jc w:val="center"/>
                  </w:pPr>
                  <w:r>
                    <w:t xml:space="preserve">Turbulence, medium (%)</w:t>
                  </w:r>
                </w:p>
              </w:tc>
              <w:tc>
                <w:tcPr/>
                <w:p>
                  <w:pPr>
                    <w:pStyle w:val="Compact"/>
                    <w:jc w:val="left"/>
                    <w:jc w:val="center"/>
                  </w:pPr>
                  <w:r>
                    <w:t xml:space="preserve">0.26 ( +/- 0.02)</w:t>
                  </w:r>
                </w:p>
              </w:tc>
              <w:tc>
                <w:tcPr/>
                <w:p>
                  <w:pPr>
                    <w:pStyle w:val="Compact"/>
                    <w:jc w:val="left"/>
                    <w:jc w:val="center"/>
                  </w:pPr>
                  <w:r>
                    <w:t xml:space="preserve">0.23 ( +/- 0.01)</w:t>
                  </w:r>
                </w:p>
              </w:tc>
              <w:tc>
                <w:tcPr/>
                <w:p>
                  <w:pPr>
                    <w:pStyle w:val="Compact"/>
                    <w:jc w:val="left"/>
                    <w:jc w:val="center"/>
                  </w:pPr>
                  <w:r>
                    <w:t xml:space="preserve">0.23 ( +/- 0.02)</w:t>
                  </w:r>
                </w:p>
              </w:tc>
            </w:tr>
            <w:tr>
              <w:tc>
                <w:tcPr/>
                <w:p>
                  <w:pPr>
                    <w:pStyle w:val="Compact"/>
                    <w:jc w:val="left"/>
                    <w:jc w:val="center"/>
                  </w:pPr>
                  <w:r>
                    <w:t xml:space="preserve">Turbulence, high (%)</w:t>
                  </w:r>
                </w:p>
              </w:tc>
              <w:tc>
                <w:tcPr/>
                <w:p>
                  <w:pPr>
                    <w:pStyle w:val="Compact"/>
                    <w:jc w:val="left"/>
                    <w:jc w:val="center"/>
                  </w:pPr>
                  <w:r>
                    <w:t xml:space="preserve">0.24 ( +/- 0.01)</w:t>
                  </w:r>
                </w:p>
              </w:tc>
              <w:tc>
                <w:tcPr/>
                <w:p>
                  <w:pPr>
                    <w:pStyle w:val="Compact"/>
                    <w:jc w:val="left"/>
                    <w:jc w:val="center"/>
                  </w:pPr>
                  <w:r>
                    <w:t xml:space="preserve">0.24 ( +/- 0.01)</w:t>
                  </w:r>
                </w:p>
              </w:tc>
              <w:tc>
                <w:tcPr/>
                <w:p>
                  <w:pPr>
                    <w:pStyle w:val="Compact"/>
                    <w:jc w:val="left"/>
                    <w:jc w:val="center"/>
                  </w:pPr>
                  <w:r>
                    <w:t xml:space="preserve">0.23 ( +/- 0.01)</w:t>
                  </w:r>
                </w:p>
              </w:tc>
            </w:tr>
          </w:tbl>
          <w:bookmarkEnd w:id="40"/>
          <w:p/>
        </w:tc>
      </w:tr>
    </w:tbl>
    <w:p>
      <w:pPr>
        <w:pStyle w:val="BodyText"/>
      </w:pPr>
      <w:hyperlink w:anchor="tbl-env">
        <w:r>
          <w:rPr>
            <w:rStyle w:val="Hyperlink"/>
          </w:rPr>
          <w:t xml:space="preserve">Table 3</w:t>
        </w:r>
      </w:hyperlink>
      <w:r>
        <w:t xml:space="preserve"> </w:t>
      </w:r>
      <w:r>
        <w:t xml:space="preserve">provides an overview of the measured environmental conditions.</w:t>
      </w:r>
      <w:r>
        <w:t xml:space="preserve"> </w:t>
      </w:r>
      <w:r>
        <w:t xml:space="preserve">Across all three sessions, head-level air temperature remained stable at</w:t>
      </w:r>
      <w:r>
        <w:t xml:space="preserve"> </w:t>
      </w:r>
      <w:r>
        <w:t xml:space="preserve">21.9 ( +/- 0.2)</w:t>
      </w:r>
      <w:r>
        <w:t xml:space="preserve"> </w:t>
      </w:r>
      <w:r>
        <w:t xml:space="preserve">°C,</w:t>
      </w:r>
      <w:r>
        <w:t xml:space="preserve"> </w:t>
      </w:r>
      <w:r>
        <w:t xml:space="preserve">21.9 ( +/- 0.3)</w:t>
      </w:r>
      <w:r>
        <w:t xml:space="preserve"> </w:t>
      </w:r>
      <w:r>
        <w:t xml:space="preserve">°C, and</w:t>
      </w:r>
      <w:r>
        <w:t xml:space="preserve"> </w:t>
      </w:r>
      <w:r>
        <w:t xml:space="preserve">21.9 ( +/- 0.2)</w:t>
      </w:r>
      <w:r>
        <w:t xml:space="preserve"> </w:t>
      </w:r>
      <w:r>
        <w:t xml:space="preserve">°C, and relative humidity was comparable across sessions, confirming</w:t>
      </w:r>
      <w:r>
        <w:t xml:space="preserve"> </w:t>
      </w:r>
      <w:r>
        <w:t xml:space="preserve">stable background thermal conditions.</w:t>
      </w:r>
    </w:p>
    <w:p>
      <w:pPr>
        <w:pStyle w:val="BodyText"/>
      </w:pPr>
      <w:r>
        <w:t xml:space="preserve">As the primary experimental manipulation, we set supply air temperatures</w:t>
      </w:r>
      <w:r>
        <w:t xml:space="preserve"> </w:t>
      </w:r>
      <w:r>
        <w:t xml:space="preserve">to 15°C, 17°C, and 19°C to simulate the effect of window downdraft.</w:t>
      </w:r>
      <w:r>
        <w:t xml:space="preserve"> </w:t>
      </w:r>
      <w:r>
        <w:t xml:space="preserve">Ankle-level temperatures were slightly higher than the supply</w:t>
      </w:r>
      <w:r>
        <w:t xml:space="preserve"> </w:t>
      </w:r>
      <w:r>
        <w:t xml:space="preserve">temperature due to mixing with the warmer ambient air, but remained</w:t>
      </w:r>
      <w:r>
        <w:t xml:space="preserve"> </w:t>
      </w:r>
      <w:r>
        <w:t xml:space="preserve">stable across all sessions. Within each session, we exposed subjects to</w:t>
      </w:r>
      <w:r>
        <w:t xml:space="preserve"> </w:t>
      </w:r>
      <w:r>
        <w:t xml:space="preserve">three airspeed levels at separate workstations. We measured consistent</w:t>
      </w:r>
      <w:r>
        <w:t xml:space="preserve"> </w:t>
      </w:r>
      <w:r>
        <w:t xml:space="preserve">air speeds across all three workstations and sessions, confirming</w:t>
      </w:r>
      <w:r>
        <w:t xml:space="preserve"> </w:t>
      </w:r>
      <w:r>
        <w:t xml:space="preserve">reliable reproduction of the low, medium, and high airspeed conditions.</w:t>
      </w:r>
      <w:r>
        <w:t xml:space="preserve"> </w:t>
      </w:r>
      <w:r>
        <w:t xml:space="preserve">Turbulence intensities remained low throughout, indicating stable and</w:t>
      </w:r>
      <w:r>
        <w:t xml:space="preserve"> </w:t>
      </w:r>
      <w:r>
        <w:t xml:space="preserve">controlled airflow.</w:t>
      </w:r>
    </w:p>
    <w:bookmarkEnd w:id="41"/>
    <w:bookmarkStart w:id="50" w:name="whole-body-thermal-perception"/>
    <w:p>
      <w:pPr>
        <w:pStyle w:val="Heading2"/>
      </w:pPr>
      <w:r>
        <w:t xml:space="preserve">3.2 Whole body thermal perception</w:t>
      </w:r>
    </w:p>
    <w:p>
      <w:pPr>
        <w:pStyle w:val="FirstParagraph"/>
      </w:pPr>
      <w:hyperlink w:anchor="fig-thermal-perception-overall">
        <w:r>
          <w:rPr>
            <w:rStyle w:val="Hyperlink"/>
          </w:rPr>
          <w:t xml:space="preserve">Figure 1</w:t>
        </w:r>
      </w:hyperlink>
      <w:r>
        <w:t xml:space="preserve"> </w:t>
      </w:r>
      <w:r>
        <w:t xml:space="preserve">presents whole-body thermal sensation</w:t>
      </w:r>
      <w:r>
        <w:t xml:space="preserve"> </w:t>
      </w:r>
      <w:r>
        <w:t xml:space="preserve">and preference responses across all experimental conditions. Thermal</w:t>
      </w:r>
      <w:r>
        <w:t xml:space="preserve"> </w:t>
      </w:r>
      <w:r>
        <w:t xml:space="preserve">sensation votes were predominantly in the neutral to slightly cool</w:t>
      </w:r>
      <w:r>
        <w:t xml:space="preserve"> </w:t>
      </w:r>
      <w:r>
        <w:t xml:space="preserve">range, with</w:t>
      </w:r>
      <w:r>
        <w:t xml:space="preserve"> </w:t>
      </w:r>
      <w:r>
        <w:t xml:space="preserve">81%–92%</w:t>
      </w:r>
      <w:r>
        <w:t xml:space="preserve"> </w:t>
      </w:r>
      <w:r>
        <w:t xml:space="preserve">of participants reporting sensations between</w:t>
      </w:r>
      <w:r>
        <w:t xml:space="preserve"> </w:t>
      </w:r>
      <w:r>
        <w:t xml:space="preserve">“Cool”</w:t>
      </w:r>
      <w:r>
        <w:t xml:space="preserve"> </w:t>
      </w:r>
      <w:r>
        <w:t xml:space="preserve">and</w:t>
      </w:r>
      <w:r>
        <w:t xml:space="preserve"> </w:t>
      </w:r>
      <w:r>
        <w:t xml:space="preserve">“Neutral”</w:t>
      </w:r>
      <w:r>
        <w:t xml:space="preserve"> </w:t>
      </w:r>
      <w:r>
        <w:t xml:space="preserve">across</w:t>
      </w:r>
      <w:r>
        <w:t xml:space="preserve"> </w:t>
      </w:r>
      <w:r>
        <w:t xml:space="preserve">conditions. At the lowest supply air temperature (15°C),</w:t>
      </w:r>
      <w:r>
        <w:t xml:space="preserve"> </w:t>
      </w:r>
      <w:r>
        <w:t xml:space="preserve">43% of participants</w:t>
      </w:r>
      <w:r>
        <w:t xml:space="preserve"> </w:t>
      </w:r>
      <w:r>
        <w:t xml:space="preserve">reported feeling slightly cool at the highest air speed, compared to</w:t>
      </w:r>
      <w:r>
        <w:t xml:space="preserve"> </w:t>
      </w:r>
      <w:r>
        <w:t xml:space="preserve">28% at the lowest air</w:t>
      </w:r>
      <w:r>
        <w:t xml:space="preserve"> </w:t>
      </w:r>
      <w:r>
        <w:t xml:space="preserve">speed. This pattern was less pronounced at warmer supply temperatures.</w:t>
      </w:r>
    </w:p>
    <w:p>
      <w:pPr>
        <w:pStyle w:val="BodyText"/>
      </w:pPr>
      <w:r>
        <w:t xml:space="preserve">Thermal preference responses indicated that participants were generally</w:t>
      </w:r>
      <w:r>
        <w:t xml:space="preserve"> </w:t>
      </w:r>
      <w:r>
        <w:t xml:space="preserve">satisfied with the thermal conditions. Across all conditions,</w:t>
      </w:r>
      <w:r>
        <w:t xml:space="preserve"> </w:t>
      </w:r>
      <w:r>
        <w:t xml:space="preserve">47%–65%</w:t>
      </w:r>
      <w:r>
        <w:t xml:space="preserve"> </w:t>
      </w:r>
      <w:r>
        <w:t xml:space="preserve">of participants preferred</w:t>
      </w:r>
      <w:r>
        <w:t xml:space="preserve"> </w:t>
      </w:r>
      <w:r>
        <w:t xml:space="preserve">“No change”</w:t>
      </w:r>
      <w:r>
        <w:t xml:space="preserve"> </w:t>
      </w:r>
      <w:r>
        <w:t xml:space="preserve">to the thermal environment. The</w:t>
      </w:r>
      <w:r>
        <w:t xml:space="preserve"> </w:t>
      </w:r>
      <w:r>
        <w:t xml:space="preserve">proportion preferring warmer conditions ranged from</w:t>
      </w:r>
      <w:r>
        <w:t xml:space="preserve"> </w:t>
      </w:r>
      <w:r>
        <w:t xml:space="preserve">25% to 45%,</w:t>
      </w:r>
      <w:r>
        <w:t xml:space="preserve"> </w:t>
      </w:r>
      <w:r>
        <w:t xml:space="preserve">with the highest values observed during the 15°C supply air temperature</w:t>
      </w:r>
      <w:r>
        <w:t xml:space="preserve"> </w:t>
      </w:r>
      <w:r>
        <w:t xml:space="preserve">sessions.</w:t>
      </w:r>
    </w:p>
    <w:tbl>
      <w:tblPr>
        <w:tblStyle w:val="Table"/>
        <w:tblW w:type="pct" w:w="5000"/>
        <w:tblLayout w:type="fixed"/>
        <w:tblLook w:firstRow="0" w:lastRow="0" w:firstColumn="0" w:lastColumn="0" w:noHBand="0" w:noVBand="0" w:val="0000"/>
      </w:tblPr>
      <w:tblGrid>
        <w:gridCol w:w="7920"/>
      </w:tblGrid>
      <w:tr>
        <w:tc>
          <w:tcPr/>
          <w:bookmarkStart w:id="45" w:name="fig-thermal-perception-overall"/>
          <w:p>
            <w:pPr>
              <w:pStyle w:val="Compact"/>
              <w:jc w:val="center"/>
            </w:pPr>
            <w:r>
              <w:drawing>
                <wp:inline>
                  <wp:extent cx="3208646" cy="4328282"/>
                  <wp:effectExtent b="0" l="0" r="0" t="0"/>
                  <wp:docPr descr="" title="" id="43" name="Picture"/>
                  <a:graphic>
                    <a:graphicData uri="http://schemas.openxmlformats.org/drawingml/2006/picture">
                      <pic:pic>
                        <pic:nvPicPr>
                          <pic:cNvPr descr="figs/thermal_perception_overall.png" id="44" name="Picture"/>
                          <pic:cNvPicPr>
                            <a:picLocks noChangeArrowheads="1" noChangeAspect="1"/>
                          </pic:cNvPicPr>
                        </pic:nvPicPr>
                        <pic:blipFill>
                          <a:blip r:embed="rId42"/>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Thermal sensation (a) and thermal preference (b) for whole</w:t>
            </w:r>
            <w:r>
              <w:t xml:space="preserve"> </w:t>
            </w:r>
            <w:r>
              <w:t xml:space="preserve">body.</w:t>
            </w:r>
          </w:p>
          <w:bookmarkEnd w:id="45"/>
        </w:tc>
      </w:tr>
    </w:tbl>
    <w:p>
      <w:pPr>
        <w:pStyle w:val="BodyText"/>
      </w:pPr>
      <w:hyperlink w:anchor="fig-thermal-acceptability-overall">
        <w:r>
          <w:rPr>
            <w:rStyle w:val="Hyperlink"/>
          </w:rPr>
          <w:t xml:space="preserve">Figure 2</w:t>
        </w:r>
      </w:hyperlink>
      <w:r>
        <w:t xml:space="preserve"> </w:t>
      </w:r>
      <w:r>
        <w:t xml:space="preserve">shows thermal acceptability responses</w:t>
      </w:r>
      <w:r>
        <w:t xml:space="preserve"> </w:t>
      </w:r>
      <w:r>
        <w:t xml:space="preserve">for whole-body conditions. Overall, acceptability was high across all</w:t>
      </w:r>
      <w:r>
        <w:t xml:space="preserve"> </w:t>
      </w:r>
      <w:r>
        <w:t xml:space="preserve">conditions, ranging from 85% to</w:t>
      </w:r>
      <w:r>
        <w:t xml:space="preserve"> </w:t>
      </w:r>
      <w:r>
        <w:t xml:space="preserve">98%. Acceptability rates were highest during the</w:t>
      </w:r>
      <w:r>
        <w:t xml:space="preserve"> </w:t>
      </w:r>
      <w:r>
        <w:t xml:space="preserve">19°C supply air temperature sessions</w:t>
      </w:r>
      <w:r>
        <w:t xml:space="preserve"> </w:t>
      </w:r>
      <w:r>
        <w:t xml:space="preserve">(90%–98%)</w:t>
      </w:r>
      <w:r>
        <w:t xml:space="preserve"> </w:t>
      </w:r>
      <w:r>
        <w:t xml:space="preserve">and lowest at 15°C</w:t>
      </w:r>
      <w:r>
        <w:t xml:space="preserve"> </w:t>
      </w:r>
      <w:r>
        <w:t xml:space="preserve">(85%–91%).</w:t>
      </w:r>
      <w:r>
        <w:t xml:space="preserve"> </w:t>
      </w:r>
      <w:r>
        <w:t xml:space="preserve">Within each supply air temperature condition, air speed had minimal</w:t>
      </w:r>
      <w:r>
        <w:t xml:space="preserve"> </w:t>
      </w:r>
      <w:r>
        <w:t xml:space="preserve">effect on whole-body thermal acceptability.</w:t>
      </w:r>
    </w:p>
    <w:tbl>
      <w:tblPr>
        <w:tblStyle w:val="Table"/>
        <w:tblW w:type="pct" w:w="5000"/>
        <w:tblLayout w:type="fixed"/>
        <w:tblLook w:firstRow="0" w:lastRow="0" w:firstColumn="0" w:lastColumn="0" w:noHBand="0" w:noVBand="0" w:val="0000"/>
      </w:tblPr>
      <w:tblGrid>
        <w:gridCol w:w="7920"/>
      </w:tblGrid>
      <w:tr>
        <w:tc>
          <w:tcPr/>
          <w:bookmarkStart w:id="49" w:name="fig-thermal-acceptability-overall"/>
          <w:p>
            <w:pPr>
              <w:pStyle w:val="Compact"/>
              <w:jc w:val="center"/>
            </w:pPr>
            <w:r>
              <w:drawing>
                <wp:inline>
                  <wp:extent cx="5943600" cy="2597231"/>
                  <wp:effectExtent b="0" l="0" r="0" t="0"/>
                  <wp:docPr descr="" title="" id="47" name="Picture"/>
                  <a:graphic>
                    <a:graphicData uri="http://schemas.openxmlformats.org/drawingml/2006/picture">
                      <pic:pic>
                        <pic:nvPicPr>
                          <pic:cNvPr descr="figs/thermal_acceptability_overall.png" id="48" name="Picture"/>
                          <pic:cNvPicPr>
                            <a:picLocks noChangeArrowheads="1" noChangeAspect="1"/>
                          </pic:cNvPicPr>
                        </pic:nvPicPr>
                        <pic:blipFill>
                          <a:blip r:embed="rId46"/>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Thermal acceptability for whole</w:t>
            </w:r>
            <w:r>
              <w:t xml:space="preserve"> </w:t>
            </w:r>
            <w:r>
              <w:t xml:space="preserve">body.</w:t>
            </w:r>
          </w:p>
          <w:bookmarkEnd w:id="49"/>
        </w:tc>
      </w:tr>
    </w:tbl>
    <w:bookmarkEnd w:id="50"/>
    <w:bookmarkStart w:id="66" w:name="ankle-level-observations"/>
    <w:p>
      <w:pPr>
        <w:pStyle w:val="Heading2"/>
      </w:pPr>
      <w:r>
        <w:t xml:space="preserve">3.3 Ankle level observations</w:t>
      </w:r>
    </w:p>
    <w:bookmarkStart w:id="55" w:name="thermal-perception"/>
    <w:p>
      <w:pPr>
        <w:pStyle w:val="Heading3"/>
      </w:pPr>
      <w:r>
        <w:t xml:space="preserve">3.3.1 Thermal perception</w:t>
      </w:r>
    </w:p>
    <w:p>
      <w:pPr>
        <w:pStyle w:val="FirstParagraph"/>
      </w:pPr>
      <w:hyperlink w:anchor="fig-thermal-perception-ankle">
        <w:r>
          <w:rPr>
            <w:rStyle w:val="Hyperlink"/>
          </w:rPr>
          <w:t xml:space="preserve">Figure 3</w:t>
        </w:r>
      </w:hyperlink>
      <w:r>
        <w:t xml:space="preserve"> </w:t>
      </w:r>
      <w:r>
        <w:t xml:space="preserve">presents thermal sensation and preference</w:t>
      </w:r>
      <w:r>
        <w:t xml:space="preserve"> </w:t>
      </w:r>
      <w:r>
        <w:t xml:space="preserve">responses at the ankle level. Compared to whole-body responses,</w:t>
      </w:r>
      <w:r>
        <w:t xml:space="preserve"> </w:t>
      </w:r>
      <w:r>
        <w:t xml:space="preserve">participants reported cooler sensations at the ankles. The proportion</w:t>
      </w:r>
      <w:r>
        <w:t xml:space="preserve"> </w:t>
      </w:r>
      <w:r>
        <w:t xml:space="preserve">reporting sensations on the cool side of neutral (cold, cool, or</w:t>
      </w:r>
      <w:r>
        <w:t xml:space="preserve"> </w:t>
      </w:r>
      <w:r>
        <w:t xml:space="preserve">slightly cool) ranged from</w:t>
      </w:r>
      <w:r>
        <w:t xml:space="preserve"> </w:t>
      </w:r>
      <w:r>
        <w:t xml:space="preserve">38% to 66%</w:t>
      </w:r>
      <w:r>
        <w:t xml:space="preserve"> </w:t>
      </w:r>
      <w:r>
        <w:t xml:space="preserve">across conditions. At the coldest supply air temperature (15°C) with</w:t>
      </w:r>
      <w:r>
        <w:t xml:space="preserve"> </w:t>
      </w:r>
      <w:r>
        <w:t xml:space="preserve">high air speed,</w:t>
      </w:r>
      <w:r>
        <w:t xml:space="preserve"> </w:t>
      </w:r>
      <w:r>
        <w:t xml:space="preserve">66%</w:t>
      </w:r>
      <w:r>
        <w:t xml:space="preserve"> </w:t>
      </w:r>
      <w:r>
        <w:t xml:space="preserve">of participants reported cool sensations at the ankles, compared to</w:t>
      </w:r>
      <w:r>
        <w:t xml:space="preserve"> </w:t>
      </w:r>
      <w:r>
        <w:t xml:space="preserve">39%</w:t>
      </w:r>
      <w:r>
        <w:t xml:space="preserve"> </w:t>
      </w:r>
      <w:r>
        <w:t xml:space="preserve">at 19°C with low air speed.</w:t>
      </w:r>
    </w:p>
    <w:p>
      <w:pPr>
        <w:pStyle w:val="BodyText"/>
      </w:pPr>
      <w:r>
        <w:t xml:space="preserve">Thermal preference at the ankle level reflected this cooling effect. The</w:t>
      </w:r>
      <w:r>
        <w:t xml:space="preserve"> </w:t>
      </w:r>
      <w:r>
        <w:t xml:space="preserve">proportion of participants preferring warmer ankles ranged from</w:t>
      </w:r>
      <w:r>
        <w:t xml:space="preserve"> </w:t>
      </w:r>
      <w:r>
        <w:t xml:space="preserve">28% to 53%.</w:t>
      </w:r>
      <w:r>
        <w:t xml:space="preserve"> </w:t>
      </w:r>
      <w:r>
        <w:t xml:space="preserve">At the most demanding condition (15°C, high air speed),</w:t>
      </w:r>
      <w:r>
        <w:t xml:space="preserve"> </w:t>
      </w:r>
      <w:r>
        <w:t xml:space="preserve">53% preferred warmer</w:t>
      </w:r>
      <w:r>
        <w:t xml:space="preserve"> </w:t>
      </w:r>
      <w:r>
        <w:t xml:space="preserve">ankles, while at the mildest condition (19°C, low air speed), this</w:t>
      </w:r>
      <w:r>
        <w:t xml:space="preserve"> </w:t>
      </w:r>
      <w:r>
        <w:t xml:space="preserve">proportion decreased to</w:t>
      </w:r>
      <w:r>
        <w:t xml:space="preserve"> </w:t>
      </w:r>
      <w:r>
        <w:t xml:space="preserve">31%.</w:t>
      </w:r>
    </w:p>
    <w:tbl>
      <w:tblPr>
        <w:tblStyle w:val="Table"/>
        <w:tblW w:type="pct" w:w="5000"/>
        <w:tblLayout w:type="fixed"/>
        <w:tblLook w:firstRow="0" w:lastRow="0" w:firstColumn="0" w:lastColumn="0" w:noHBand="0" w:noVBand="0" w:val="0000"/>
      </w:tblPr>
      <w:tblGrid>
        <w:gridCol w:w="7920"/>
      </w:tblGrid>
      <w:tr>
        <w:tc>
          <w:tcPr/>
          <w:bookmarkStart w:id="54" w:name="fig-thermal-perception-ankle"/>
          <w:p>
            <w:pPr>
              <w:pStyle w:val="Compact"/>
              <w:jc w:val="center"/>
            </w:pPr>
            <w:r>
              <w:drawing>
                <wp:inline>
                  <wp:extent cx="3208646" cy="4328282"/>
                  <wp:effectExtent b="0" l="0" r="0" t="0"/>
                  <wp:docPr descr="" title="" id="52" name="Picture"/>
                  <a:graphic>
                    <a:graphicData uri="http://schemas.openxmlformats.org/drawingml/2006/picture">
                      <pic:pic>
                        <pic:nvPicPr>
                          <pic:cNvPr descr="figs/thermal_perception_ankle.png" id="53" name="Picture"/>
                          <pic:cNvPicPr>
                            <a:picLocks noChangeArrowheads="1" noChangeAspect="1"/>
                          </pic:cNvPicPr>
                        </pic:nvPicPr>
                        <pic:blipFill>
                          <a:blip r:embed="rId51"/>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Thermal sensation (a) and thermal preference (b) at ankle</w:t>
            </w:r>
            <w:r>
              <w:t xml:space="preserve"> </w:t>
            </w:r>
            <w:r>
              <w:t xml:space="preserve">level.</w:t>
            </w:r>
          </w:p>
          <w:bookmarkEnd w:id="54"/>
        </w:tc>
      </w:tr>
    </w:tbl>
    <w:bookmarkEnd w:id="55"/>
    <w:bookmarkStart w:id="60" w:name="air-movement-perception"/>
    <w:p>
      <w:pPr>
        <w:pStyle w:val="Heading3"/>
      </w:pPr>
      <w:r>
        <w:t xml:space="preserve">3.3.2 Air movement perception</w:t>
      </w:r>
    </w:p>
    <w:p>
      <w:pPr>
        <w:pStyle w:val="FirstParagraph"/>
      </w:pPr>
      <w:hyperlink w:anchor="fig-air-move-acc-pref">
        <w:r>
          <w:rPr>
            <w:rStyle w:val="Hyperlink"/>
          </w:rPr>
          <w:t xml:space="preserve">Figure 4</w:t>
        </w:r>
      </w:hyperlink>
      <w:r>
        <w:t xml:space="preserve"> </w:t>
      </w:r>
      <w:r>
        <w:t xml:space="preserve">shows air movement acceptability and preference</w:t>
      </w:r>
      <w:r>
        <w:t xml:space="preserve"> </w:t>
      </w:r>
      <w:r>
        <w:t xml:space="preserve">at the ankle level. Despite the localized cooling, air movement at the</w:t>
      </w:r>
      <w:r>
        <w:t xml:space="preserve"> </w:t>
      </w:r>
      <w:r>
        <w:t xml:space="preserve">ankles was rated acceptable by</w:t>
      </w:r>
      <w:r>
        <w:t xml:space="preserve"> </w:t>
      </w:r>
      <w:r>
        <w:t xml:space="preserve">80%–94%</w:t>
      </w:r>
      <w:r>
        <w:t xml:space="preserve"> </w:t>
      </w:r>
      <w:r>
        <w:t xml:space="preserve">of participants across all conditions. Acceptability was highest at 19°C</w:t>
      </w:r>
      <w:r>
        <w:t xml:space="preserve"> </w:t>
      </w:r>
      <w:r>
        <w:t xml:space="preserve">(83%–94%)</w:t>
      </w:r>
      <w:r>
        <w:t xml:space="preserve"> </w:t>
      </w:r>
      <w:r>
        <w:t xml:space="preserve">and lowest at 17°C</w:t>
      </w:r>
      <w:r>
        <w:t xml:space="preserve"> </w:t>
      </w:r>
      <w:r>
        <w:t xml:space="preserve">(80%–92%).</w:t>
      </w:r>
      <w:r>
        <w:t xml:space="preserve"> </w:t>
      </w:r>
      <w:r>
        <w:t xml:space="preserve">Within each supply air temperature, acceptability tended to decrease</w:t>
      </w:r>
      <w:r>
        <w:t xml:space="preserve"> </w:t>
      </w:r>
      <w:r>
        <w:t xml:space="preserve">slightly with increasing air speed.</w:t>
      </w:r>
    </w:p>
    <w:p>
      <w:pPr>
        <w:pStyle w:val="BodyText"/>
      </w:pPr>
      <w:r>
        <w:t xml:space="preserve">Air movement preference responses indicated that a substantial</w:t>
      </w:r>
      <w:r>
        <w:t xml:space="preserve"> </w:t>
      </w:r>
      <w:r>
        <w:t xml:space="preserve">proportion of participants would prefer less air movement at the ankles,</w:t>
      </w:r>
      <w:r>
        <w:t xml:space="preserve"> </w:t>
      </w:r>
      <w:r>
        <w:t xml:space="preserve">particularly at higher air speeds. The proportion preferring less air</w:t>
      </w:r>
      <w:r>
        <w:t xml:space="preserve"> </w:t>
      </w:r>
      <w:r>
        <w:t xml:space="preserve">movement ranged from</w:t>
      </w:r>
      <w:r>
        <w:t xml:space="preserve"> </w:t>
      </w:r>
      <w:r>
        <w:t xml:space="preserve">12% to 41%.</w:t>
      </w:r>
      <w:r>
        <w:t xml:space="preserve"> </w:t>
      </w:r>
      <w:r>
        <w:t xml:space="preserve">At 17°C with high air speed,</w:t>
      </w:r>
      <w:r>
        <w:t xml:space="preserve"> </w:t>
      </w:r>
      <w:r>
        <w:t xml:space="preserve">41%</w:t>
      </w:r>
      <w:r>
        <w:t xml:space="preserve"> </w:t>
      </w:r>
      <w:r>
        <w:t xml:space="preserve">preferred less air movement, compared to only</w:t>
      </w:r>
      <w:r>
        <w:t xml:space="preserve"> </w:t>
      </w:r>
      <w:r>
        <w:t xml:space="preserve">12%</w:t>
      </w:r>
      <w:r>
        <w:t xml:space="preserve"> </w:t>
      </w:r>
      <w:r>
        <w:t xml:space="preserve">at 19°C with low air speed. The majority of participants</w:t>
      </w:r>
      <w:r>
        <w:t xml:space="preserve"> </w:t>
      </w:r>
      <w:r>
        <w:t xml:space="preserve">(43%–75%)</w:t>
      </w:r>
      <w:r>
        <w:t xml:space="preserve"> </w:t>
      </w:r>
      <w:r>
        <w:t xml:space="preserve">preferred no change to the air movement across conditions.</w:t>
      </w:r>
    </w:p>
    <w:tbl>
      <w:tblPr>
        <w:tblStyle w:val="Table"/>
        <w:tblW w:type="pct" w:w="5000"/>
        <w:tblLayout w:type="fixed"/>
        <w:tblLook w:firstRow="0" w:lastRow="0" w:firstColumn="0" w:lastColumn="0" w:noHBand="0" w:noVBand="0" w:val="0000"/>
      </w:tblPr>
      <w:tblGrid>
        <w:gridCol w:w="7920"/>
      </w:tblGrid>
      <w:tr>
        <w:tc>
          <w:tcPr/>
          <w:bookmarkStart w:id="59" w:name="fig-air-move-acc-pref"/>
          <w:p>
            <w:pPr>
              <w:pStyle w:val="Compact"/>
              <w:jc w:val="center"/>
            </w:pPr>
            <w:r>
              <w:drawing>
                <wp:inline>
                  <wp:extent cx="3208646" cy="4328282"/>
                  <wp:effectExtent b="0" l="0" r="0" t="0"/>
                  <wp:docPr descr="" title="" id="57" name="Picture"/>
                  <a:graphic>
                    <a:graphicData uri="http://schemas.openxmlformats.org/drawingml/2006/picture">
                      <pic:pic>
                        <pic:nvPicPr>
                          <pic:cNvPr descr="figs/air_movement_acc_pref.png" id="58" name="Picture"/>
                          <pic:cNvPicPr>
                            <a:picLocks noChangeArrowheads="1" noChangeAspect="1"/>
                          </pic:cNvPicPr>
                        </pic:nvPicPr>
                        <pic:blipFill>
                          <a:blip r:embed="rId56"/>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Air movement acceptability (a) and preference</w:t>
            </w:r>
            <w:r>
              <w:t xml:space="preserve"> </w:t>
            </w:r>
            <w:r>
              <w:t xml:space="preserve">(b).</w:t>
            </w:r>
          </w:p>
          <w:bookmarkEnd w:id="59"/>
        </w:tc>
      </w:tr>
    </w:tbl>
    <w:bookmarkEnd w:id="60"/>
    <w:bookmarkStart w:id="65" w:name="skin-temperature"/>
    <w:p>
      <w:pPr>
        <w:pStyle w:val="Heading3"/>
      </w:pPr>
      <w:r>
        <w:t xml:space="preserve">3.3.3 Skin temperature</w:t>
      </w:r>
    </w:p>
    <w:p>
      <w:pPr>
        <w:pStyle w:val="FirstParagraph"/>
      </w:pPr>
      <w:r>
        <w:t xml:space="preserve">Using each participant’s skin temperature during the pre-exposure</w:t>
      </w:r>
      <w:r>
        <w:t xml:space="preserve"> </w:t>
      </w:r>
      <w:r>
        <w:t xml:space="preserve">adaptation period as the baseline, ankle skin temperature during the</w:t>
      </w:r>
      <w:r>
        <w:t xml:space="preserve"> </w:t>
      </w:r>
      <w:r>
        <w:t xml:space="preserve">final 1 min of exposure was negative under all conditions, ranging from</w:t>
      </w:r>
      <w:r>
        <w:t xml:space="preserve"> </w:t>
      </w:r>
      <w:r>
        <w:t xml:space="preserve">approximately -1.7 to</w:t>
      </w:r>
      <w:r>
        <w:t xml:space="preserve"> </w:t>
      </w:r>
      <w:r>
        <w:t xml:space="preserve">-0.8°C. In general, the magnitude of skin</w:t>
      </w:r>
      <w:r>
        <w:t xml:space="preserve"> </w:t>
      </w:r>
      <w:r>
        <w:t xml:space="preserve">temperature reduction increased with air speed, with medium and high air</w:t>
      </w:r>
      <w:r>
        <w:t xml:space="preserve"> </w:t>
      </w:r>
      <w:r>
        <w:t xml:space="preserve">speeds typically producing greater cooling than low air speed across all</w:t>
      </w:r>
      <w:r>
        <w:t xml:space="preserve"> </w:t>
      </w:r>
      <w:r>
        <w:t xml:space="preserve">three supply air temperature conditions. After BH correction, the</w:t>
      </w:r>
      <w:r>
        <w:t xml:space="preserve"> </w:t>
      </w:r>
      <w:r>
        <w:t xml:space="preserve">differences between low and medium air speed and between low and high</w:t>
      </w:r>
      <w:r>
        <w:t xml:space="preserve"> </w:t>
      </w:r>
      <w:r>
        <w:t xml:space="preserve">air speed were significant at all three supply air temperatures</w:t>
      </w:r>
      <w:r>
        <w:t xml:space="preserve"> </w:t>
      </w:r>
      <w:r>
        <w:t xml:space="preserve">(p_adj &lt; 0.05 and</w:t>
      </w:r>
      <w:r>
        <w:t xml:space="preserve"> </w:t>
      </w:r>
      <w:r>
        <w:t xml:space="preserve">p_adj &lt; 0.001, respectively),</w:t>
      </w:r>
      <w:r>
        <w:t xml:space="preserve"> </w:t>
      </w:r>
      <w:r>
        <w:t xml:space="preserve">whereas the difference between medium and high air speed was significant</w:t>
      </w:r>
      <w:r>
        <w:t xml:space="preserve"> </w:t>
      </w:r>
      <w:r>
        <w:t xml:space="preserve">only at 19C</w:t>
      </w:r>
      <w:r>
        <w:t xml:space="preserve"> </w:t>
      </w:r>
      <w:r>
        <w:t xml:space="preserve">(p_adj = 0.012). These findings</w:t>
      </w:r>
      <w:r>
        <w:t xml:space="preserve"> </w:t>
      </w:r>
      <w:r>
        <w:t xml:space="preserve">suggest that increasing local airflow enhanced the short-term cooling</w:t>
      </w:r>
      <w:r>
        <w:t xml:space="preserve"> </w:t>
      </w:r>
      <w:r>
        <w:t xml:space="preserve">response of the ankle skin.</w:t>
      </w:r>
    </w:p>
    <w:tbl>
      <w:tblPr>
        <w:tblStyle w:val="Table"/>
        <w:tblW w:type="pct" w:w="5000"/>
        <w:tblLayout w:type="fixed"/>
        <w:tblLook w:firstRow="0" w:lastRow="0" w:firstColumn="0" w:lastColumn="0" w:noHBand="0" w:noVBand="0" w:val="0000"/>
      </w:tblPr>
      <w:tblGrid>
        <w:gridCol w:w="7920"/>
      </w:tblGrid>
      <w:tr>
        <w:tc>
          <w:tcPr/>
          <w:bookmarkStart w:id="64" w:name="fig-tsk"/>
          <w:p>
            <w:pPr>
              <w:pStyle w:val="Compact"/>
              <w:jc w:val="center"/>
            </w:pPr>
            <w:r>
              <w:drawing>
                <wp:inline>
                  <wp:extent cx="5349240" cy="3507747"/>
                  <wp:effectExtent b="0" l="0" r="0" t="0"/>
                  <wp:docPr descr="" title="" id="62" name="Picture"/>
                  <a:graphic>
                    <a:graphicData uri="http://schemas.openxmlformats.org/drawingml/2006/picture">
                      <pic:pic>
                        <pic:nvPicPr>
                          <pic:cNvPr descr="figs/tsk_p.png" id="63" name="Picture"/>
                          <pic:cNvPicPr>
                            <a:picLocks noChangeArrowheads="1" noChangeAspect="1"/>
                          </pic:cNvPicPr>
                        </pic:nvPicPr>
                        <pic:blipFill>
                          <a:blip r:embed="rId61"/>
                          <a:stretch>
                            <a:fillRect/>
                          </a:stretch>
                        </pic:blipFill>
                        <pic:spPr bwMode="auto">
                          <a:xfrm>
                            <a:off x="0" y="0"/>
                            <a:ext cx="5349240" cy="3507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Time course of ankle skin temperature during the formal exposure phase</w:t>
            </w:r>
            <w:r>
              <w:t xml:space="preserve"> </w:t>
            </w:r>
            <w:r>
              <w:t xml:space="preserve">across the nine experimental conditions: (a) absolute skin temperature;</w:t>
            </w:r>
            <w:r>
              <w:t xml:space="preserve"> </w:t>
            </w:r>
            <w:r>
              <w:t xml:space="preserve">(b) ankle skin temperture change relative to the adaptation-period</w:t>
            </w:r>
            <w:r>
              <w:t xml:space="preserve"> </w:t>
            </w:r>
            <w:r>
              <w:t xml:space="preserve">baseline. Shaded bands denote the between-subject mean ± 1</w:t>
            </w:r>
            <w:r>
              <w:t xml:space="preserve"> </w:t>
            </w:r>
            <w:r>
              <w:t xml:space="preserve">SD.</w:t>
            </w:r>
          </w:p>
          <w:bookmarkEnd w:id="64"/>
        </w:tc>
      </w:tr>
    </w:tbl>
    <w:bookmarkEnd w:id="65"/>
    <w:bookmarkEnd w:id="66"/>
    <w:bookmarkStart w:id="75" w:name="dissatisfaction-with-ankle-draft"/>
    <w:p>
      <w:pPr>
        <w:pStyle w:val="Heading2"/>
      </w:pPr>
      <w:r>
        <w:t xml:space="preserve">3.4 Dissatisfaction with ankle draft</w:t>
      </w:r>
    </w:p>
    <w:p>
      <w:pPr>
        <w:pStyle w:val="FirstParagraph"/>
      </w:pPr>
      <w:hyperlink w:anchor="fig-model-comp">
        <w:r>
          <w:rPr>
            <w:rStyle w:val="Hyperlink"/>
          </w:rPr>
          <w:t xml:space="preserve">Figure 6</w:t>
        </w:r>
      </w:hyperlink>
      <w:r>
        <w:t xml:space="preserve"> </w:t>
      </w:r>
      <w:r>
        <w:t xml:space="preserve">compares the dissatisfaction rate predicted by the Liu</w:t>
      </w:r>
      <w:r>
        <w:t xml:space="preserve"> </w:t>
      </w:r>
      <w:r>
        <w:t xml:space="preserve">model with the observations during our experiment. Across all tested</w:t>
      </w:r>
      <w:r>
        <w:t xml:space="preserve"> </w:t>
      </w:r>
      <w:r>
        <w:t xml:space="preserve">conditions, the existing model consistently overpredicted local thermal</w:t>
      </w:r>
      <w:r>
        <w:t xml:space="preserve"> </w:t>
      </w:r>
      <w:r>
        <w:t xml:space="preserve">dissatisfaction compared to the observed rates. At an ankle temperature</w:t>
      </w:r>
      <w:r>
        <w:t xml:space="preserve"> </w:t>
      </w:r>
      <w:r>
        <w:t xml:space="preserve">of 15°C, the discrepancy between predicted and observed rates increased</w:t>
      </w:r>
      <w:r>
        <w:t xml:space="preserve"> </w:t>
      </w:r>
      <w:r>
        <w:t xml:space="preserve">significantly with air speed: at low flow (0.2 m/s), the difference was</w:t>
      </w:r>
      <w:r>
        <w:t xml:space="preserve"> </w:t>
      </w:r>
      <w:r>
        <w:t xml:space="preserve">8 percentage points (pp), rising to 39 pp at</w:t>
      </w:r>
      <w:r>
        <w:t xml:space="preserve"> </w:t>
      </w:r>
      <w:r>
        <w:t xml:space="preserve">high flow (0.6 m/s).</w:t>
      </w:r>
    </w:p>
    <w:p>
      <w:pPr>
        <w:pStyle w:val="BodyText"/>
      </w:pPr>
      <w:r>
        <w:t xml:space="preserve">Similar trends were observed at 17°C and 19°C. Notably, for the 19°C</w:t>
      </w:r>
      <w:r>
        <w:t xml:space="preserve"> </w:t>
      </w:r>
      <w:r>
        <w:t xml:space="preserve">condition at high air speed (0.6 m/s), the predicted PPD was</w:t>
      </w:r>
      <w:r>
        <w:t xml:space="preserve"> </w:t>
      </w:r>
      <w:r>
        <w:t xml:space="preserve">50%, while the actual dissatisfied rate was only</w:t>
      </w:r>
      <w:r>
        <w:t xml:space="preserve"> </w:t>
      </w:r>
      <w:r>
        <w:t xml:space="preserve">17%, resulting in a mean overestimation of</w:t>
      </w:r>
      <w:r>
        <w:t xml:space="preserve"> </w:t>
      </w:r>
      <w:r>
        <w:t xml:space="preserve">34 pp. On average across all experimental sessions, the</w:t>
      </w:r>
      <w:r>
        <w:t xml:space="preserve"> </w:t>
      </w:r>
      <w:r>
        <w:t xml:space="preserve">model overpredicted dissatisfaction by 23.1 pp.</w:t>
      </w:r>
    </w:p>
    <w:tbl>
      <w:tblPr>
        <w:tblStyle w:val="Table"/>
        <w:tblW w:type="pct" w:w="5000"/>
        <w:tblLayout w:type="fixed"/>
        <w:tblLook w:firstRow="0" w:lastRow="0" w:firstColumn="0" w:lastColumn="0" w:noHBand="0" w:noVBand="0" w:val="0000"/>
      </w:tblPr>
      <w:tblGrid>
        <w:gridCol w:w="7920"/>
      </w:tblGrid>
      <w:tr>
        <w:tc>
          <w:tcPr/>
          <w:bookmarkStart w:id="70" w:name="fig-model-comp"/>
          <w:p>
            <w:pPr>
              <w:pStyle w:val="Compact"/>
              <w:jc w:val="center"/>
            </w:pPr>
            <w:r>
              <w:drawing>
                <wp:inline>
                  <wp:extent cx="5349240" cy="2955963"/>
                  <wp:effectExtent b="0" l="0" r="0" t="0"/>
                  <wp:docPr descr="" title="" id="68" name="Picture"/>
                  <a:graphic>
                    <a:graphicData uri="http://schemas.openxmlformats.org/drawingml/2006/picture">
                      <pic:pic>
                        <pic:nvPicPr>
                          <pic:cNvPr descr="figs/model_error.png" id="69" name="Picture"/>
                          <pic:cNvPicPr>
                            <a:picLocks noChangeArrowheads="1" noChangeAspect="1"/>
                          </pic:cNvPicPr>
                        </pic:nvPicPr>
                        <pic:blipFill>
                          <a:blip r:embed="rId67"/>
                          <a:stretch>
                            <a:fillRect/>
                          </a:stretch>
                        </pic:blipFill>
                        <pic:spPr bwMode="auto">
                          <a:xfrm>
                            <a:off x="0" y="0"/>
                            <a:ext cx="5349240" cy="295596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predicted and observed local thermal dissatisfaction</w:t>
            </w:r>
            <w:r>
              <w:t xml:space="preserve"> </w:t>
            </w:r>
            <w:r>
              <w:t xml:space="preserve">across varying ankle-level temperatures and air speeds. The dumbbell</w:t>
            </w:r>
            <w:r>
              <w:t xml:space="preserve"> </w:t>
            </w:r>
            <w:r>
              <w:t xml:space="preserve">plot illustrates the discrepancy (diff) between the Liu model</w:t>
            </w:r>
            <w:r>
              <w:t xml:space="preserve"> </w:t>
            </w:r>
            <w:r>
              <w:t xml:space="preserve">predictions (ppd_liu_mean) and the actual observed dissatisfied rates</w:t>
            </w:r>
            <w:r>
              <w:t xml:space="preserve"> </w:t>
            </w:r>
            <w:r>
              <w:t xml:space="preserve">(dissatisfied_rate). Experimental conditions include air speeds of</w:t>
            </w:r>
            <w:r>
              <w:t xml:space="preserve"> </w:t>
            </w:r>
            <w:r>
              <w:t xml:space="preserve">approximately 0.2 m/s (low), 0.4 m/s (medium), and 0.6 m/s (high).</w:t>
            </w:r>
            <w:r>
              <w:t xml:space="preserve"> </w:t>
            </w:r>
            <w:r>
              <w:t xml:space="preserve">Points represent mean values, with the segment length indicating the</w:t>
            </w:r>
            <w:r>
              <w:t xml:space="preserve"> </w:t>
            </w:r>
            <w:r>
              <w:t xml:space="preserve">magnitude of model</w:t>
            </w:r>
            <w:r>
              <w:t xml:space="preserve"> </w:t>
            </w:r>
            <w:r>
              <w:t xml:space="preserve">overestimation.</w:t>
            </w:r>
          </w:p>
          <w:bookmarkEnd w:id="70"/>
        </w:tc>
      </w:tr>
    </w:tbl>
    <w:p>
      <w:pPr>
        <w:pStyle w:val="BodyText"/>
      </w:pPr>
      <w:r>
        <w:t xml:space="preserve">Under winter conditions, the observed ankle draft dissatisfaction was</w:t>
      </w:r>
      <w:r>
        <w:t xml:space="preserve"> </w:t>
      </w:r>
      <w:r>
        <w:t xml:space="preserve">substantially lower than that predicted by the model of</w:t>
      </w:r>
      <w:r>
        <w:t xml:space="preserve"> </w:t>
      </w:r>
      <w:r>
        <w:t xml:space="preserve">Liu et al. (</w:t>
      </w:r>
      <w:hyperlink w:anchor="X0e41857b9754d3f46055296e8711d0a459bcc8a">
        <w:r>
          <w:rPr>
            <w:rStyle w:val="Hyperlink"/>
          </w:rPr>
          <w:t xml:space="preserve">2017</w:t>
        </w:r>
      </w:hyperlink>
      <w:r>
        <w:t xml:space="preserve">)</w:t>
      </w:r>
      <w:r>
        <w:t xml:space="preserve">. Although the model retained</w:t>
      </w:r>
      <w:r>
        <w:t xml:space="preserve"> </w:t>
      </w:r>
      <w:r>
        <w:t xml:space="preserve">acceptable discrimination on this dataset (AUC =</w:t>
      </w:r>
      <w:r>
        <w:t xml:space="preserve"> </w:t>
      </w:r>
      <w:r>
        <w:t xml:space="preserve">0.847), the calibration</w:t>
      </w:r>
      <w:r>
        <w:t xml:space="preserve"> </w:t>
      </w:r>
      <w:r>
        <w:t xml:space="preserve">results indicated a systematic overestimation under winter conditions,</w:t>
      </w:r>
      <w:r>
        <w:t xml:space="preserve"> </w:t>
      </w:r>
      <w:r>
        <w:t xml:space="preserve">as shown in</w:t>
      </w:r>
      <w:r>
        <w:t xml:space="preserve"> </w:t>
      </w:r>
      <w:hyperlink w:anchor="fig-liu-calibration">
        <w:r>
          <w:rPr>
            <w:rStyle w:val="Hyperlink"/>
          </w:rPr>
          <w:t xml:space="preserve">Figure 7</w:t>
        </w:r>
      </w:hyperlink>
      <w:r>
        <w:t xml:space="preserve">. Across the nine experimental</w:t>
      </w:r>
      <w:r>
        <w:t xml:space="preserve"> </w:t>
      </w:r>
      <w:r>
        <w:t xml:space="preserve">conditions, the mean observed dissatisfaction rate was</w:t>
      </w:r>
      <w:r>
        <w:t xml:space="preserve"> </w:t>
      </w:r>
      <w:r>
        <w:t xml:space="preserve">13%, whereas the Liu model predicted an</w:t>
      </w:r>
      <w:r>
        <w:t xml:space="preserve"> </w:t>
      </w:r>
      <w:r>
        <w:t xml:space="preserve">average of 36%, corresponding to an</w:t>
      </w:r>
      <w:r>
        <w:t xml:space="preserve"> </w:t>
      </w:r>
      <w:r>
        <w:t xml:space="preserve">overestimation of approximately</w:t>
      </w:r>
      <w:r>
        <w:t xml:space="preserve"> </w:t>
      </w:r>
      <w:r>
        <w:t xml:space="preserve">2.8 times. The discrepancy was</w:t>
      </w:r>
      <w:r>
        <w:t xml:space="preserve"> </w:t>
      </w:r>
      <w:r>
        <w:t xml:space="preserve">greatest at high air speed and smaller, but still</w:t>
      </w:r>
      <w:r>
        <w:t xml:space="preserve"> </w:t>
      </w:r>
      <w:r>
        <w:t xml:space="preserve">evident, at low air speed.</w:t>
      </w:r>
    </w:p>
    <w:tbl>
      <w:tblPr>
        <w:tblStyle w:val="Table"/>
        <w:tblW w:type="pct" w:w="5000"/>
        <w:tblLayout w:type="fixed"/>
        <w:tblLook w:firstRow="0" w:lastRow="0" w:firstColumn="0" w:lastColumn="0" w:noHBand="0" w:noVBand="0" w:val="0000"/>
      </w:tblPr>
      <w:tblGrid>
        <w:gridCol w:w="7920"/>
      </w:tblGrid>
      <w:tr>
        <w:tc>
          <w:tcPr/>
          <w:bookmarkStart w:id="74" w:name="fig-liu-calibration"/>
          <w:p>
            <w:pPr>
              <w:pStyle w:val="Compact"/>
              <w:jc w:val="center"/>
            </w:pPr>
            <w:r>
              <w:drawing>
                <wp:inline>
                  <wp:extent cx="2971800" cy="3340092"/>
                  <wp:effectExtent b="0" l="0" r="0" t="0"/>
                  <wp:docPr descr="" title="" id="72" name="Picture"/>
                  <a:graphic>
                    <a:graphicData uri="http://schemas.openxmlformats.org/drawingml/2006/picture">
                      <pic:pic>
                        <pic:nvPicPr>
                          <pic:cNvPr descr="figs/Liumodel_calibrationcurve.png" id="73" name="Picture"/>
                          <pic:cNvPicPr>
                            <a:picLocks noChangeArrowheads="1" noChangeAspect="1"/>
                          </pic:cNvPicPr>
                        </pic:nvPicPr>
                        <pic:blipFill>
                          <a:blip r:embed="rId71"/>
                          <a:stretch>
                            <a:fillRect/>
                          </a:stretch>
                        </pic:blipFill>
                        <pic:spPr bwMode="auto">
                          <a:xfrm>
                            <a:off x="0" y="0"/>
                            <a:ext cx="2971800" cy="33400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Calibration curve of the Liu model evaluated on the present dataset</w:t>
            </w:r>
            <w:r>
              <w:t xml:space="preserve"> </w:t>
            </w:r>
            <w:r>
              <w:t xml:space="preserve">under winter clothing</w:t>
            </w:r>
            <w:r>
              <w:t xml:space="preserve"> </w:t>
            </w:r>
            <w:r>
              <w:t xml:space="preserve">conditions.</w:t>
            </w:r>
          </w:p>
          <w:bookmarkEnd w:id="74"/>
        </w:tc>
      </w:tr>
    </w:tbl>
    <w:bookmarkEnd w:id="75"/>
    <w:bookmarkStart w:id="82" w:name="updated-model-for-winter-conditions"/>
    <w:p>
      <w:pPr>
        <w:pStyle w:val="Heading2"/>
      </w:pPr>
      <w:r>
        <w:t xml:space="preserve">3.5 Updated model for winter conditions</w:t>
      </w:r>
    </w:p>
    <w:p>
      <w:pPr>
        <w:pStyle w:val="FirstParagraph"/>
      </w:pPr>
      <w:r>
        <w:t xml:space="preserve">As shown in</w:t>
      </w:r>
      <w:r>
        <w:t xml:space="preserve"> </w:t>
      </w:r>
      <w:hyperlink w:anchor="tbl-updated-model-screening">
        <w:r>
          <w:rPr>
            <w:rStyle w:val="Hyperlink"/>
          </w:rPr>
          <w:t xml:space="preserve">Table 4</w:t>
        </w:r>
      </w:hyperlink>
      <w:r>
        <w:t xml:space="preserve">, in the mixed-effects model</w:t>
      </w:r>
      <w:r>
        <w:t xml:space="preserve"> </w:t>
      </w:r>
      <w:r>
        <w:t xml:space="preserve">including all candidate predictors, air speed at ankle, whole-body</w:t>
      </w:r>
      <w:r>
        <w:t xml:space="preserve"> </w:t>
      </w:r>
      <w:r>
        <w:t xml:space="preserve">thermal sensation, and ankle condition were significantly associated</w:t>
      </w:r>
      <w:r>
        <w:t xml:space="preserve"> </w:t>
      </w:r>
      <w:r>
        <w:t xml:space="preserve">with draft dissatisfaction at the ankle, whereas room air temperature,</w:t>
      </w:r>
      <w:r>
        <w:t xml:space="preserve"> </w:t>
      </w:r>
      <w:r>
        <w:t xml:space="preserve">air temperature at ankle, and turbulence intensity were not significant</w:t>
      </w:r>
      <w:r>
        <w:t xml:space="preserve"> </w:t>
      </w:r>
      <w:r>
        <w:t xml:space="preserve">within the range investigated in this study.</w:t>
      </w:r>
    </w:p>
    <w:tbl>
      <w:tblPr>
        <w:tblStyle w:val="Table"/>
        <w:tblW w:type="pct" w:w="5000"/>
        <w:tblLayout w:type="fixed"/>
        <w:tblLook w:firstRow="0" w:lastRow="0" w:firstColumn="0" w:lastColumn="0" w:noHBand="0" w:noVBand="0" w:val="0000"/>
      </w:tblPr>
      <w:tblGrid>
        <w:gridCol w:w="7920"/>
      </w:tblGrid>
      <w:tr>
        <w:tc>
          <w:tcPr/>
          <w:bookmarkStart w:id="76" w:name="tbl-updated-model-screening"/>
          <w:p>
            <w:pPr>
              <w:jc w:val="center"/>
            </w:pPr>
            <w:pPr>
              <w:jc w:val="left"/>
              <w:spacing w:before="200"/>
              <w:pStyle w:val="ImageCaption"/>
            </w:pPr>
            <w:r>
              <w:t xml:space="preserve">Table 4: Results of the generalized linear mixed-effects model used for predictor screening.</w:t>
            </w:r>
          </w:p>
          <w:tbl>
            <w:tblPr>
              <w:tblStyle w:val="Table"/>
              <w:tblW w:type="pct" w:w="5000"/>
              <w:tblLayout w:type="fixed"/>
              <w:tblLook w:firstRow="1" w:lastRow="0" w:firstColumn="0" w:lastColumn="0" w:noHBand="0" w:noVBand="0" w:val="0020"/>
            </w:tblPr>
            <w:tblGrid>
              <w:gridCol w:w="4658"/>
              <w:gridCol w:w="1048"/>
              <w:gridCol w:w="582"/>
              <w:gridCol w:w="815"/>
              <w:gridCol w:w="815"/>
            </w:tblGrid>
            <w:tr>
              <w:trPr>
                <w:tblHeader w:val="on"/>
              </w:trPr>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Air speed at ankle</w:t>
                  </w:r>
                </w:p>
              </w:tc>
              <w:tc>
                <w:tcPr/>
                <w:p>
                  <w:pPr>
                    <w:pStyle w:val="Compact"/>
                    <w:jc w:val="left"/>
                    <w:jc w:val="center"/>
                  </w:pPr>
                  <w:r>
                    <w:t xml:space="preserve">3.20</w:t>
                  </w:r>
                </w:p>
              </w:tc>
              <w:tc>
                <w:tcPr/>
                <w:p>
                  <w:pPr>
                    <w:pStyle w:val="Compact"/>
                    <w:jc w:val="left"/>
                    <w:jc w:val="center"/>
                  </w:pPr>
                  <w:r>
                    <w:t xml:space="preserve">0.57</w:t>
                  </w:r>
                </w:p>
              </w:tc>
              <w:tc>
                <w:tcPr/>
                <w:p>
                  <w:pPr>
                    <w:pStyle w:val="Compact"/>
                    <w:jc w:val="left"/>
                    <w:jc w:val="center"/>
                  </w:pPr>
                  <w:r>
                    <w:t xml:space="preserve">5.57</w:t>
                  </w:r>
                </w:p>
              </w:tc>
              <w:tc>
                <w:tcPr/>
                <w:p>
                  <w:pPr>
                    <w:pStyle w:val="Compact"/>
                    <w:jc w:val="left"/>
                    <w:jc w:val="center"/>
                  </w:pPr>
                  <w:r>
                    <w:t xml:space="preserve">&lt;0.001</w:t>
                  </w:r>
                </w:p>
              </w:tc>
            </w:tr>
            <w:tr>
              <w:tc>
                <w:tcPr/>
                <w:p>
                  <w:pPr>
                    <w:pStyle w:val="Compact"/>
                    <w:jc w:val="left"/>
                    <w:jc w:val="center"/>
                  </w:pPr>
                  <w:r>
                    <w:t xml:space="preserve">Room air temperature</w:t>
                  </w:r>
                </w:p>
              </w:tc>
              <w:tc>
                <w:tcPr/>
                <w:p>
                  <w:pPr>
                    <w:pStyle w:val="Compact"/>
                    <w:jc w:val="left"/>
                    <w:jc w:val="center"/>
                  </w:pPr>
                  <w:r>
                    <w:t xml:space="preserve">-0.12</w:t>
                  </w:r>
                </w:p>
              </w:tc>
              <w:tc>
                <w:tcPr/>
                <w:p>
                  <w:pPr>
                    <w:pStyle w:val="Compact"/>
                    <w:jc w:val="left"/>
                    <w:jc w:val="center"/>
                  </w:pPr>
                  <w:r>
                    <w:t xml:space="preserve">0.25</w:t>
                  </w:r>
                </w:p>
              </w:tc>
              <w:tc>
                <w:tcPr/>
                <w:p>
                  <w:pPr>
                    <w:pStyle w:val="Compact"/>
                    <w:jc w:val="left"/>
                    <w:jc w:val="center"/>
                  </w:pPr>
                  <w:r>
                    <w:t xml:space="preserve">-0.51</w:t>
                  </w:r>
                </w:p>
              </w:tc>
              <w:tc>
                <w:tcPr/>
                <w:p>
                  <w:pPr>
                    <w:pStyle w:val="Compact"/>
                    <w:jc w:val="left"/>
                    <w:jc w:val="center"/>
                  </w:pPr>
                  <w:r>
                    <w:t xml:space="preserve">0.612</w:t>
                  </w:r>
                </w:p>
              </w:tc>
            </w:tr>
            <w:tr>
              <w:tc>
                <w:tcPr/>
                <w:p>
                  <w:pPr>
                    <w:pStyle w:val="Compact"/>
                    <w:jc w:val="left"/>
                    <w:jc w:val="center"/>
                  </w:pPr>
                  <w:r>
                    <w:t xml:space="preserve">Air temperature at ankle</w:t>
                  </w:r>
                </w:p>
              </w:tc>
              <w:tc>
                <w:tcPr/>
                <w:p>
                  <w:pPr>
                    <w:pStyle w:val="Compact"/>
                    <w:jc w:val="left"/>
                    <w:jc w:val="center"/>
                  </w:pPr>
                  <w:r>
                    <w:t xml:space="preserve">-0.08</w:t>
                  </w:r>
                </w:p>
              </w:tc>
              <w:tc>
                <w:tcPr/>
                <w:p>
                  <w:pPr>
                    <w:pStyle w:val="Compact"/>
                    <w:jc w:val="left"/>
                    <w:jc w:val="center"/>
                  </w:pPr>
                  <w:r>
                    <w:t xml:space="preserve">0.07</w:t>
                  </w:r>
                </w:p>
              </w:tc>
              <w:tc>
                <w:tcPr/>
                <w:p>
                  <w:pPr>
                    <w:pStyle w:val="Compact"/>
                    <w:jc w:val="left"/>
                    <w:jc w:val="center"/>
                  </w:pPr>
                  <w:r>
                    <w:t xml:space="preserve">-1.14</w:t>
                  </w:r>
                </w:p>
              </w:tc>
              <w:tc>
                <w:tcPr/>
                <w:p>
                  <w:pPr>
                    <w:pStyle w:val="Compact"/>
                    <w:jc w:val="left"/>
                    <w:jc w:val="center"/>
                  </w:pPr>
                  <w:r>
                    <w:t xml:space="preserve">0.254</w:t>
                  </w:r>
                </w:p>
              </w:tc>
            </w:tr>
            <w:tr>
              <w:tc>
                <w:tcPr/>
                <w:p>
                  <w:pPr>
                    <w:pStyle w:val="Compact"/>
                    <w:jc w:val="left"/>
                    <w:jc w:val="center"/>
                  </w:pPr>
                  <w:r>
                    <w:t xml:space="preserve">Whole-body thermal sensation</w:t>
                  </w:r>
                </w:p>
              </w:tc>
              <w:tc>
                <w:tcPr/>
                <w:p>
                  <w:pPr>
                    <w:pStyle w:val="Compact"/>
                    <w:jc w:val="left"/>
                    <w:jc w:val="center"/>
                  </w:pPr>
                  <w:r>
                    <w:t xml:space="preserve">-1.44</w:t>
                  </w:r>
                </w:p>
              </w:tc>
              <w:tc>
                <w:tcPr/>
                <w:p>
                  <w:pPr>
                    <w:pStyle w:val="Compact"/>
                    <w:jc w:val="left"/>
                    <w:jc w:val="center"/>
                  </w:pPr>
                  <w:r>
                    <w:t xml:space="preserve">0.13</w:t>
                  </w:r>
                </w:p>
              </w:tc>
              <w:tc>
                <w:tcPr/>
                <w:p>
                  <w:pPr>
                    <w:pStyle w:val="Compact"/>
                    <w:jc w:val="left"/>
                    <w:jc w:val="center"/>
                  </w:pPr>
                  <w:r>
                    <w:t xml:space="preserve">-11.32</w:t>
                  </w:r>
                </w:p>
              </w:tc>
              <w:tc>
                <w:tcPr/>
                <w:p>
                  <w:pPr>
                    <w:pStyle w:val="Compact"/>
                    <w:jc w:val="left"/>
                    <w:jc w:val="center"/>
                  </w:pPr>
                  <w:r>
                    <w:t xml:space="preserve">&lt;0.001</w:t>
                  </w:r>
                </w:p>
              </w:tc>
            </w:tr>
            <w:tr>
              <w:tc>
                <w:tcPr/>
                <w:p>
                  <w:pPr>
                    <w:pStyle w:val="Compact"/>
                    <w:jc w:val="left"/>
                    <w:jc w:val="center"/>
                  </w:pPr>
                  <w:r>
                    <w:t xml:space="preserve">Turbulence intensity</w:t>
                  </w:r>
                </w:p>
              </w:tc>
              <w:tc>
                <w:tcPr/>
                <w:p>
                  <w:pPr>
                    <w:pStyle w:val="Compact"/>
                    <w:jc w:val="left"/>
                    <w:jc w:val="center"/>
                  </w:pPr>
                  <w:r>
                    <w:t xml:space="preserve">0.39</w:t>
                  </w:r>
                </w:p>
              </w:tc>
              <w:tc>
                <w:tcPr/>
                <w:p>
                  <w:pPr>
                    <w:pStyle w:val="Compact"/>
                    <w:jc w:val="left"/>
                    <w:jc w:val="center"/>
                  </w:pPr>
                  <w:r>
                    <w:t xml:space="preserve">1.36</w:t>
                  </w:r>
                </w:p>
              </w:tc>
              <w:tc>
                <w:tcPr/>
                <w:p>
                  <w:pPr>
                    <w:pStyle w:val="Compact"/>
                    <w:jc w:val="left"/>
                    <w:jc w:val="center"/>
                  </w:pPr>
                  <w:r>
                    <w:t xml:space="preserve">0.29</w:t>
                  </w:r>
                </w:p>
              </w:tc>
              <w:tc>
                <w:tcPr/>
                <w:p>
                  <w:pPr>
                    <w:pStyle w:val="Compact"/>
                    <w:jc w:val="left"/>
                    <w:jc w:val="center"/>
                  </w:pPr>
                  <w:r>
                    <w:t xml:space="preserve">0.776</w:t>
                  </w:r>
                </w:p>
              </w:tc>
            </w:tr>
            <w:tr>
              <w:tc>
                <w:tcPr/>
                <w:p>
                  <w:pPr>
                    <w:pStyle w:val="Compact"/>
                    <w:jc w:val="left"/>
                    <w:jc w:val="center"/>
                  </w:pPr>
                  <w:r>
                    <w:t xml:space="preserve">Ankle condition (uncovered vs. covered)</w:t>
                  </w:r>
                </w:p>
              </w:tc>
              <w:tc>
                <w:tcPr/>
                <w:p>
                  <w:pPr>
                    <w:pStyle w:val="Compact"/>
                    <w:jc w:val="left"/>
                    <w:jc w:val="center"/>
                  </w:pPr>
                  <w:r>
                    <w:t xml:space="preserve">1.22</w:t>
                  </w:r>
                </w:p>
              </w:tc>
              <w:tc>
                <w:tcPr/>
                <w:p>
                  <w:pPr>
                    <w:pStyle w:val="Compact"/>
                    <w:jc w:val="left"/>
                    <w:jc w:val="center"/>
                  </w:pPr>
                  <w:r>
                    <w:t xml:space="preserve">0.44</w:t>
                  </w:r>
                </w:p>
              </w:tc>
              <w:tc>
                <w:tcPr/>
                <w:p>
                  <w:pPr>
                    <w:pStyle w:val="Compact"/>
                    <w:jc w:val="left"/>
                    <w:jc w:val="center"/>
                  </w:pPr>
                  <w:r>
                    <w:t xml:space="preserve">2.79</w:t>
                  </w:r>
                </w:p>
              </w:tc>
              <w:tc>
                <w:tcPr/>
                <w:p>
                  <w:pPr>
                    <w:pStyle w:val="Compact"/>
                    <w:jc w:val="left"/>
                    <w:jc w:val="center"/>
                  </w:pPr>
                  <w:r>
                    <w:t xml:space="preserve">0.005</w:t>
                  </w:r>
                </w:p>
              </w:tc>
            </w:tr>
            <w:tr>
              <w:tc>
                <w:tcPr/>
                <w:p>
                  <w:pPr>
                    <w:pStyle w:val="Compact"/>
                    <w:jc w:val="left"/>
                    <w:jc w:val="center"/>
                  </w:pPr>
                  <w:r>
                    <w:t xml:space="preserve">Season</w:t>
                  </w:r>
                </w:p>
              </w:tc>
              <w:tc>
                <w:tcPr/>
                <w:p>
                  <w:pPr>
                    <w:pStyle w:val="Compact"/>
                    <w:jc w:val="left"/>
                    <w:jc w:val="center"/>
                  </w:pPr>
                  <w:r>
                    <w:t xml:space="preserve">-1.59</w:t>
                  </w:r>
                </w:p>
              </w:tc>
              <w:tc>
                <w:tcPr/>
                <w:p>
                  <w:pPr>
                    <w:pStyle w:val="Compact"/>
                    <w:jc w:val="left"/>
                    <w:jc w:val="center"/>
                  </w:pPr>
                  <w:r>
                    <w:t xml:space="preserve">0.85</w:t>
                  </w:r>
                </w:p>
              </w:tc>
              <w:tc>
                <w:tcPr/>
                <w:p>
                  <w:pPr>
                    <w:pStyle w:val="Compact"/>
                    <w:jc w:val="left"/>
                    <w:jc w:val="center"/>
                  </w:pPr>
                  <w:r>
                    <w:t xml:space="preserve">-1.86</w:t>
                  </w:r>
                </w:p>
              </w:tc>
              <w:tc>
                <w:tcPr/>
                <w:p>
                  <w:pPr>
                    <w:pStyle w:val="Compact"/>
                    <w:jc w:val="left"/>
                    <w:jc w:val="center"/>
                  </w:pPr>
                  <w:r>
                    <w:t xml:space="preserve">0.063</w:t>
                  </w:r>
                </w:p>
              </w:tc>
            </w:tr>
          </w:tbl>
          <w:bookmarkEnd w:id="76"/>
          <w:p/>
        </w:tc>
      </w:tr>
    </w:tbl>
    <w:p>
      <w:pPr>
        <w:pStyle w:val="BodyText"/>
      </w:pPr>
      <w:r>
        <w:t xml:space="preserve">As shown in</w:t>
      </w:r>
      <w:r>
        <w:t xml:space="preserve"> </w:t>
      </w:r>
      <w:hyperlink w:anchor="tbl-updated-model-screening">
        <w:r>
          <w:rPr>
            <w:rStyle w:val="Hyperlink"/>
          </w:rPr>
          <w:t xml:space="preserve">Table 4</w:t>
        </w:r>
      </w:hyperlink>
      <w:r>
        <w:t xml:space="preserve">, in the mixed-effects model</w:t>
      </w:r>
      <w:r>
        <w:t xml:space="preserve"> </w:t>
      </w:r>
      <w:r>
        <w:t xml:space="preserve">including all candidate predictors, air speed at ankle, whole-body</w:t>
      </w:r>
      <w:r>
        <w:t xml:space="preserve"> </w:t>
      </w:r>
      <w:r>
        <w:t xml:space="preserve">thermal sensation, and ankle condition were significantly associated</w:t>
      </w:r>
      <w:r>
        <w:t xml:space="preserve"> </w:t>
      </w:r>
      <w:r>
        <w:t xml:space="preserve">with draft dissatisfaction at the ankle, whereas room air temperature,</w:t>
      </w:r>
      <w:r>
        <w:t xml:space="preserve"> </w:t>
      </w:r>
      <w:r>
        <w:t xml:space="preserve">air temperature at ankle, and turbulence intensity were not significant</w:t>
      </w:r>
      <w:r>
        <w:t xml:space="preserve"> </w:t>
      </w:r>
      <w:r>
        <w:t xml:space="preserve">within the range investigated in this study. Based on these results,</w:t>
      </w:r>
      <w:r>
        <w:t xml:space="preserve"> </w:t>
      </w:r>
      <w:r>
        <w:t xml:space="preserve">separate mixed-effects models for ankle draft dissatisfaction were</w:t>
      </w:r>
      <w:r>
        <w:t xml:space="preserve"> </w:t>
      </w:r>
      <w:r>
        <w:t xml:space="preserve">developed for the ankle-uncovered and ankle-covered conditions, using</w:t>
      </w:r>
      <w:r>
        <w:t xml:space="preserve"> </w:t>
      </w:r>
      <w:r>
        <w:t xml:space="preserve">air speed at ankle and whole-body thermal sensation as predictors.</w:t>
      </w:r>
    </w:p>
    <w:tbl>
      <w:tblPr>
        <w:tblStyle w:val="Table"/>
        <w:tblW w:type="pct" w:w="5000"/>
        <w:tblLayout w:type="fixed"/>
        <w:tblLook w:firstRow="0" w:lastRow="0" w:firstColumn="0" w:lastColumn="0" w:noHBand="0" w:noVBand="0" w:val="0000"/>
      </w:tblPr>
      <w:tblGrid>
        <w:gridCol w:w="7920"/>
      </w:tblGrid>
      <w:tr>
        <w:tc>
          <w:tcPr/>
          <w:bookmarkStart w:id="77" w:name="tbl-updated-model-final"/>
          <w:p>
            <w:pPr>
              <w:jc w:val="center"/>
            </w:pPr>
            <w:pPr>
              <w:jc w:val="left"/>
              <w:spacing w:before="200"/>
              <w:pStyle w:val="ImageCaption"/>
            </w:pPr>
            <w:r>
              <w:t xml:space="preserve">Table 5: Generalized linear mixed-effects models for the ankle-uncovered and ankle-covered conditions.</w:t>
            </w:r>
          </w:p>
          <w:tbl>
            <w:tblPr>
              <w:tblStyle w:val="Table"/>
              <w:tblW w:type="pct" w:w="5000"/>
              <w:tblLayout w:type="fixed"/>
              <w:tblLook w:firstRow="1" w:lastRow="0" w:firstColumn="0" w:lastColumn="0" w:noHBand="0" w:noVBand="0" w:val="0020"/>
            </w:tblPr>
            <w:tblGrid>
              <w:gridCol w:w="1760"/>
              <w:gridCol w:w="3190"/>
              <w:gridCol w:w="990"/>
              <w:gridCol w:w="550"/>
              <w:gridCol w:w="660"/>
              <w:gridCol w:w="770"/>
            </w:tblGrid>
            <w:tr>
              <w:trPr>
                <w:tblHeader w:val="on"/>
              </w:trPr>
              <w:tc>
                <w:tcPr/>
                <w:p>
                  <w:pPr>
                    <w:pStyle w:val="Compact"/>
                    <w:jc w:val="left"/>
                    <w:jc w:val="center"/>
                  </w:pPr>
                  <w:r>
                    <w:t xml:space="preserve">Condition</w:t>
                  </w:r>
                </w:p>
              </w:tc>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Ankle uncovered</w:t>
                  </w:r>
                </w:p>
              </w:tc>
              <w:tc>
                <w:tcPr/>
                <w:p>
                  <w:pPr>
                    <w:pStyle w:val="Compact"/>
                    <w:jc w:val="left"/>
                    <w:jc w:val="center"/>
                  </w:pPr>
                  <w:r>
                    <w:t xml:space="preserve">Intercept</w:t>
                  </w:r>
                </w:p>
              </w:tc>
              <w:tc>
                <w:tcPr/>
                <w:p>
                  <w:pPr>
                    <w:pStyle w:val="Compact"/>
                    <w:jc w:val="left"/>
                    <w:jc w:val="center"/>
                  </w:pPr>
                  <w:r>
                    <w:t xml:space="preserve">-1.64</w:t>
                  </w:r>
                </w:p>
              </w:tc>
              <w:tc>
                <w:tcPr/>
                <w:p>
                  <w:pPr>
                    <w:pStyle w:val="Compact"/>
                    <w:jc w:val="left"/>
                    <w:jc w:val="center"/>
                  </w:pPr>
                  <w:r>
                    <w:t xml:space="preserve">0.32</w:t>
                  </w:r>
                </w:p>
              </w:tc>
              <w:tc>
                <w:tcPr/>
                <w:p>
                  <w:pPr>
                    <w:pStyle w:val="Compact"/>
                    <w:jc w:val="left"/>
                    <w:jc w:val="center"/>
                  </w:pPr>
                  <w:r>
                    <w:t xml:space="preserve">-5.16</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3.51</w:t>
                  </w:r>
                </w:p>
              </w:tc>
              <w:tc>
                <w:tcPr/>
                <w:p>
                  <w:pPr>
                    <w:pStyle w:val="Compact"/>
                    <w:jc w:val="left"/>
                    <w:jc w:val="center"/>
                  </w:pPr>
                  <w:r>
                    <w:t xml:space="preserve">0.61</w:t>
                  </w:r>
                </w:p>
              </w:tc>
              <w:tc>
                <w:tcPr/>
                <w:p>
                  <w:pPr>
                    <w:pStyle w:val="Compact"/>
                    <w:jc w:val="left"/>
                    <w:jc w:val="center"/>
                  </w:pPr>
                  <w:r>
                    <w:t xml:space="preserve">5.75</w:t>
                  </w:r>
                </w:p>
              </w:tc>
              <w:tc>
                <w:tcPr/>
                <w:p>
                  <w:pPr>
                    <w:pStyle w:val="Compact"/>
                    <w:jc w:val="left"/>
                    <w:jc w:val="center"/>
                  </w:pPr>
                  <w:r>
                    <w:t xml:space="preserve">&lt;0.001</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0.16</w:t>
                  </w:r>
                </w:p>
              </w:tc>
              <w:tc>
                <w:tcPr/>
                <w:p>
                  <w:pPr>
                    <w:pStyle w:val="Compact"/>
                    <w:jc w:val="left"/>
                    <w:jc w:val="center"/>
                  </w:pPr>
                  <w:r>
                    <w:t xml:space="preserve">-9.35</w:t>
                  </w:r>
                </w:p>
              </w:tc>
              <w:tc>
                <w:tcPr/>
                <w:p>
                  <w:pPr>
                    <w:pStyle w:val="Compact"/>
                    <w:jc w:val="left"/>
                    <w:jc w:val="center"/>
                  </w:pPr>
                  <w:r>
                    <w:t xml:space="preserve">&lt;0.001</w:t>
                  </w:r>
                </w:p>
              </w:tc>
            </w:tr>
            <w:tr>
              <w:tc>
                <w:tcPr/>
                <w:p>
                  <w:pPr>
                    <w:pStyle w:val="Compact"/>
                    <w:jc w:val="left"/>
                    <w:jc w:val="center"/>
                  </w:pPr>
                  <w:r>
                    <w:t xml:space="preserve">Ankle covered</w:t>
                  </w:r>
                </w:p>
              </w:tc>
              <w:tc>
                <w:tcPr/>
                <w:p>
                  <w:pPr>
                    <w:pStyle w:val="Compact"/>
                    <w:jc w:val="left"/>
                    <w:jc w:val="center"/>
                  </w:pPr>
                  <w:r>
                    <w:t xml:space="preserve">Intercept</w:t>
                  </w:r>
                </w:p>
              </w:tc>
              <w:tc>
                <w:tcPr/>
                <w:p>
                  <w:pPr>
                    <w:pStyle w:val="Compact"/>
                    <w:jc w:val="left"/>
                    <w:jc w:val="center"/>
                  </w:pPr>
                  <w:r>
                    <w:t xml:space="preserve">-3.55</w:t>
                  </w:r>
                </w:p>
              </w:tc>
              <w:tc>
                <w:tcPr/>
                <w:p>
                  <w:pPr>
                    <w:pStyle w:val="Compact"/>
                    <w:jc w:val="left"/>
                    <w:jc w:val="center"/>
                  </w:pPr>
                  <w:r>
                    <w:t xml:space="preserve">0.45</w:t>
                  </w:r>
                </w:p>
              </w:tc>
              <w:tc>
                <w:tcPr/>
                <w:p>
                  <w:pPr>
                    <w:pStyle w:val="Compact"/>
                    <w:jc w:val="left"/>
                    <w:jc w:val="center"/>
                  </w:pPr>
                  <w:r>
                    <w:t xml:space="preserve">-7.97</w:t>
                  </w:r>
                </w:p>
              </w:tc>
              <w:tc>
                <w:tcPr/>
                <w:p>
                  <w:pPr>
                    <w:pStyle w:val="Compact"/>
                    <w:jc w:val="left"/>
                    <w:jc w:val="center"/>
                  </w:pPr>
                  <w:r>
                    <w:t xml:space="preserve">&lt;0.001</w:t>
                  </w:r>
                </w:p>
              </w:tc>
            </w:tr>
            <w:tr>
              <w:tc>
                <w:tcPr/>
                <w:p>
                  <w:pPr>
                    <w:pStyle w:val="Compact"/>
                  </w:pPr>
                </w:p>
              </w:tc>
              <w:tc>
                <w:tcPr/>
                <w:p>
                  <w:pPr>
                    <w:pStyle w:val="Compact"/>
                    <w:jc w:val="left"/>
                    <w:jc w:val="center"/>
                  </w:pPr>
                  <w:r>
                    <w:t xml:space="preserve">Air speed at ankle</w:t>
                  </w:r>
                </w:p>
              </w:tc>
              <w:tc>
                <w:tcPr/>
                <w:p>
                  <w:pPr>
                    <w:pStyle w:val="Compact"/>
                    <w:jc w:val="left"/>
                    <w:jc w:val="center"/>
                  </w:pPr>
                  <w:r>
                    <w:t xml:space="preserve">2.74</w:t>
                  </w:r>
                </w:p>
              </w:tc>
              <w:tc>
                <w:tcPr/>
                <w:p>
                  <w:pPr>
                    <w:pStyle w:val="Compact"/>
                    <w:jc w:val="left"/>
                    <w:jc w:val="center"/>
                  </w:pPr>
                  <w:r>
                    <w:t xml:space="preserve">0.91</w:t>
                  </w:r>
                </w:p>
              </w:tc>
              <w:tc>
                <w:tcPr/>
                <w:p>
                  <w:pPr>
                    <w:pStyle w:val="Compact"/>
                    <w:jc w:val="left"/>
                    <w:jc w:val="center"/>
                  </w:pPr>
                  <w:r>
                    <w:t xml:space="preserve">3.01</w:t>
                  </w:r>
                </w:p>
              </w:tc>
              <w:tc>
                <w:tcPr/>
                <w:p>
                  <w:pPr>
                    <w:pStyle w:val="Compact"/>
                    <w:jc w:val="left"/>
                    <w:jc w:val="center"/>
                  </w:pPr>
                  <w:r>
                    <w:t xml:space="preserve">0.003</w:t>
                  </w:r>
                </w:p>
              </w:tc>
            </w:tr>
            <w:tr>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0.22</w:t>
                  </w:r>
                </w:p>
              </w:tc>
              <w:tc>
                <w:tcPr/>
                <w:p>
                  <w:pPr>
                    <w:pStyle w:val="Compact"/>
                    <w:jc w:val="left"/>
                    <w:jc w:val="center"/>
                  </w:pPr>
                  <w:r>
                    <w:t xml:space="preserve">-6.62</w:t>
                  </w:r>
                </w:p>
              </w:tc>
              <w:tc>
                <w:tcPr/>
                <w:p>
                  <w:pPr>
                    <w:pStyle w:val="Compact"/>
                    <w:jc w:val="left"/>
                    <w:jc w:val="center"/>
                  </w:pPr>
                  <w:r>
                    <w:t xml:space="preserve">&lt;0.001</w:t>
                  </w:r>
                </w:p>
              </w:tc>
            </w:tr>
          </w:tbl>
          <w:bookmarkEnd w:id="77"/>
          <w:p/>
        </w:tc>
      </w:tr>
    </w:tbl>
    <w:p>
      <w:pPr>
        <w:pStyle w:val="BodyText"/>
      </w:pPr>
      <w:r>
        <w:t xml:space="preserve">As shown in</w:t>
      </w:r>
      <w:r>
        <w:t xml:space="preserve"> </w:t>
      </w:r>
      <w:hyperlink w:anchor="tbl-updated-model-final">
        <w:r>
          <w:rPr>
            <w:rStyle w:val="Hyperlink"/>
          </w:rPr>
          <w:t xml:space="preserve">Table 5</w:t>
        </w:r>
      </w:hyperlink>
      <w:r>
        <w:t xml:space="preserve">, the two final models exhibited the</w:t>
      </w:r>
      <w:r>
        <w:t xml:space="preserve"> </w:t>
      </w:r>
      <w:r>
        <w:t xml:space="preserve">same structure but different coefficients. The intercept of the covered</w:t>
      </w:r>
      <w:r>
        <w:t xml:space="preserve"> </w:t>
      </w:r>
      <w:r>
        <w:t xml:space="preserve">model was 1.91 units lower</w:t>
      </w:r>
      <w:r>
        <w:t xml:space="preserve"> </w:t>
      </w:r>
      <w:r>
        <w:t xml:space="preserve">than that of the uncovered model, indicating a substantially lower</w:t>
      </w:r>
      <w:r>
        <w:t xml:space="preserve"> </w:t>
      </w:r>
      <w:r>
        <w:t xml:space="preserve">baseline risk of ankle draft dissatisfaction when the ankle was covered</w:t>
      </w:r>
      <w:r>
        <w:t xml:space="preserve"> </w:t>
      </w:r>
      <w:r>
        <w:t xml:space="preserve">by clothing. In addition, the air speed coefficient was smaller in the</w:t>
      </w:r>
      <w:r>
        <w:t xml:space="preserve"> </w:t>
      </w:r>
      <w:r>
        <w:t xml:space="preserve">covered model than in the uncovered model, indicating reduced</w:t>
      </w:r>
      <w:r>
        <w:t xml:space="preserve"> </w:t>
      </w:r>
      <w:r>
        <w:t xml:space="preserve">sensitivity of dissatisfaction to air velocity under ankle-covered</w:t>
      </w:r>
      <w:r>
        <w:t xml:space="preserve"> </w:t>
      </w:r>
      <w:r>
        <w:t xml:space="preserve">conditions.</w:t>
      </w:r>
    </w:p>
    <w:p>
      <w:pPr>
        <w:pStyle w:val="BodyText"/>
      </w:pPr>
      <w:r>
        <w:t xml:space="preserve">For the ankle-uncovered condition, the approximate closed-form equation</w:t>
      </w:r>
      <w:r>
        <w:t xml:space="preserve"> </w:t>
      </w:r>
      <w:r>
        <w:t xml:space="preserve">derived from the marginal predictions of the mixed-effects model can be</w:t>
      </w:r>
      <w:r>
        <w:t xml:space="preserve"> </w:t>
      </w:r>
      <w:r>
        <w:t xml:space="preserve">written as: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num>
            <m:den>
              <m:r>
                <m:t>1</m:t>
              </m:r>
              <m:r>
                <m:rPr>
                  <m:sty m:val="p"/>
                </m:rPr>
                <m:t>+</m:t>
              </m:r>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den>
          </m:f>
        </m:oMath>
      </m:oMathPara>
    </w:p>
    <w:p>
      <w:pPr>
        <w:pStyle w:val="FirstParagraph"/>
      </w:pPr>
      <w:r>
        <w:t xml:space="preserve">For the ankle-covered condition, the corresponding approximate</w:t>
      </w:r>
      <w:r>
        <w:t xml:space="preserve"> </w:t>
      </w:r>
      <w:r>
        <w:t xml:space="preserve">closed-form equation is: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num>
            <m:den>
              <m:r>
                <m:t>1</m:t>
              </m:r>
              <m:r>
                <m:rPr>
                  <m:sty m:val="p"/>
                </m:rPr>
                <m:t>+</m:t>
              </m:r>
              <m:r>
                <m:rPr>
                  <m:sty m:val="p"/>
                </m:rPr>
                <m:t>exp</m:t>
              </m:r>
              <m:d>
                <m:dPr>
                  <m:begChr m:val="("/>
                  <m:sepChr m:val=""/>
                  <m:endChr m:val=")"/>
                  <m:grow/>
                </m:dPr>
                <m:e>
                  <m:r>
                    <m:rPr>
                      <m:sty m:val="p"/>
                    </m:rPr>
                    <m:t>−</m:t>
                  </m:r>
                  <m:r>
                    <m:t>3.222</m:t>
                  </m:r>
                  <m:r>
                    <m:rPr>
                      <m:sty m:val="p"/>
                    </m:rPr>
                    <m:t>+</m:t>
                  </m:r>
                  <m:r>
                    <m:t>1.878</m:t>
                  </m:r>
                  <m:r>
                    <m:t>V</m:t>
                  </m:r>
                  <m:r>
                    <m:rPr>
                      <m:sty m:val="p"/>
                    </m:rPr>
                    <m:t>−</m:t>
                  </m:r>
                  <m:r>
                    <m:t>0.983</m:t>
                  </m:r>
                  <m:r>
                    <m:t>T</m:t>
                  </m:r>
                  <m:r>
                    <m:t>S</m:t>
                  </m:r>
                </m:e>
              </m:d>
            </m:den>
          </m:f>
        </m:oMath>
      </m:oMathPara>
    </w:p>
    <w:p>
      <w:pPr>
        <w:pStyle w:val="FirstParagraph"/>
      </w:pPr>
      <w:r>
        <w:t xml:space="preserve">Where,</w:t>
      </w:r>
      <w:r>
        <w:t xml:space="preserve"> </w:t>
      </w:r>
      <m:oMath>
        <m:r>
          <m:t>P</m:t>
        </m:r>
        <m:r>
          <m:t>P</m:t>
        </m:r>
        <m:sSub>
          <m:e>
            <m:r>
              <m:t>D</m:t>
            </m:r>
          </m:e>
          <m:sub>
            <m:r>
              <m:t>A</m:t>
            </m:r>
            <m:r>
              <m:t>D</m:t>
            </m:r>
          </m:sub>
        </m:sSub>
      </m:oMath>
      <w:r>
        <w:t xml:space="preserve"> </w:t>
      </w:r>
      <w:r>
        <w:t xml:space="preserve">is the predicted percentage dissatisfied with ankle</w:t>
      </w:r>
      <w:r>
        <w:t xml:space="preserve"> </w:t>
      </w:r>
      <w:r>
        <w:t xml:space="preserve">draft,</w:t>
      </w:r>
      <w:r>
        <w:t xml:space="preserve"> </w:t>
      </w:r>
      <m:oMath>
        <m:r>
          <m:t>V</m:t>
        </m:r>
      </m:oMath>
      <w:r>
        <w:t xml:space="preserve"> </w:t>
      </w:r>
      <w:r>
        <w:t xml:space="preserve">is air speed at ankle (m/s), and</w:t>
      </w:r>
      <w:r>
        <w:t xml:space="preserve"> </w:t>
      </w:r>
      <m:oMath>
        <m:r>
          <m:t>T</m:t>
        </m:r>
        <m:r>
          <m:t>S</m:t>
        </m:r>
      </m:oMath>
      <w:r>
        <w:t xml:space="preserve"> </w:t>
      </w:r>
      <w:r>
        <w:t xml:space="preserve">is whole-body thermal</w:t>
      </w:r>
      <w:r>
        <w:t xml:space="preserve"> </w:t>
      </w:r>
      <w:r>
        <w:t xml:space="preserve">sensation.</w:t>
      </w:r>
    </w:p>
    <w:p>
      <w:pPr>
        <w:pStyle w:val="BodyText"/>
      </w:pPr>
      <w:r>
        <w:t xml:space="preserve">These linear approximations reproduced the marginal predictions of the</w:t>
      </w:r>
      <w:r>
        <w:t xml:space="preserve"> </w:t>
      </w:r>
      <w:r>
        <w:t xml:space="preserve">mixed-effects models with high accuracy. The corresponding</w:t>
      </w:r>
      <w:r>
        <w:t xml:space="preserve"> </w:t>
      </w:r>
      <m:oMath>
        <m:sSup>
          <m:e>
            <m:r>
              <m:t>R</m:t>
            </m:r>
          </m:e>
          <m:sup>
            <m:r>
              <m:t>2</m:t>
            </m:r>
          </m:sup>
        </m:sSup>
      </m:oMath>
      <w:r>
        <w:t xml:space="preserve"> </w:t>
      </w:r>
      <w:r>
        <w:t xml:space="preserve">values</w:t>
      </w:r>
      <w:r>
        <w:t xml:space="preserve"> </w:t>
      </w:r>
      <w:r>
        <w:t xml:space="preserve">were 0.9989 for the uncovered condition and</w:t>
      </w:r>
      <w:r>
        <w:t xml:space="preserve"> </w:t>
      </w:r>
      <w:r>
        <w:t xml:space="preserve">0.9967 for the covered condition, indicating that the</w:t>
      </w:r>
      <w:r>
        <w:t xml:space="preserve"> </w:t>
      </w:r>
      <w:r>
        <w:t xml:space="preserve">approximate equations preserved the predictive behavior of the original</w:t>
      </w:r>
      <w:r>
        <w:t xml:space="preserve"> </w:t>
      </w:r>
      <w:r>
        <w:t xml:space="preserve">mixed-effects models well. The resulting model predictions are shown in</w:t>
      </w:r>
      <w:r>
        <w:t xml:space="preserve"> </w:t>
      </w:r>
      <w:hyperlink w:anchor="fig-updated-model">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fig-updated-model"/>
          <w:p>
            <w:pPr>
              <w:pStyle w:val="Compact"/>
              <w:jc w:val="center"/>
            </w:pPr>
            <w:r>
              <w:drawing>
                <wp:inline>
                  <wp:extent cx="3208646" cy="5770432"/>
                  <wp:effectExtent b="0" l="0" r="0" t="0"/>
                  <wp:docPr descr="" title="" id="79" name="Picture"/>
                  <a:graphic>
                    <a:graphicData uri="http://schemas.openxmlformats.org/drawingml/2006/picture">
                      <pic:pic>
                        <pic:nvPicPr>
                          <pic:cNvPr descr="figs/Model.png" id="80" name="Picture"/>
                          <pic:cNvPicPr>
                            <a:picLocks noChangeArrowheads="1" noChangeAspect="1"/>
                          </pic:cNvPicPr>
                        </pic:nvPicPr>
                        <pic:blipFill>
                          <a:blip r:embed="rId78"/>
                          <a:stretch>
                            <a:fillRect/>
                          </a:stretch>
                        </pic:blipFill>
                        <pic:spPr bwMode="auto">
                          <a:xfrm>
                            <a:off x="0" y="0"/>
                            <a:ext cx="3208646" cy="577043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Updated ankle draft dissatisfaction model under exposed and covered</w:t>
            </w:r>
            <w:r>
              <w:t xml:space="preserve"> </w:t>
            </w:r>
            <w:r>
              <w:t xml:space="preserve">conditions. (a) ankle-uncovered conditions, and (b) ankle-covered</w:t>
            </w:r>
            <w:r>
              <w:t xml:space="preserve"> </w:t>
            </w:r>
            <w:r>
              <w:t xml:space="preserve">conditions.</w:t>
            </w:r>
          </w:p>
          <w:bookmarkEnd w:id="81"/>
        </w:tc>
      </w:tr>
    </w:tbl>
    <w:bookmarkEnd w:id="82"/>
    <w:bookmarkEnd w:id="83"/>
    <w:bookmarkStart w:id="88" w:name="discussion"/>
    <w:p>
      <w:pPr>
        <w:pStyle w:val="Heading1"/>
      </w:pPr>
      <w:r>
        <w:t xml:space="preserve">4. Discussion</w:t>
      </w:r>
    </w:p>
    <w:bookmarkStart w:id="84" w:name="comparison-with-prior-research"/>
    <w:p>
      <w:pPr>
        <w:pStyle w:val="Heading2"/>
      </w:pPr>
      <w:r>
        <w:t xml:space="preserve">4.1 Comparison with prior research</w:t>
      </w:r>
    </w:p>
    <w:p>
      <w:pPr>
        <w:pStyle w:val="FirstParagraph"/>
      </w:pPr>
      <w:r>
        <w:t xml:space="preserve">The core finding of this study is that, under winter clothing conditions</w:t>
      </w:r>
      <w:r>
        <w:t xml:space="preserve"> </w:t>
      </w:r>
      <w:r>
        <w:t xml:space="preserve">(0.75 clo), the observed dissatisfaction rate caused by ankle-level air</w:t>
      </w:r>
      <w:r>
        <w:t xml:space="preserve"> </w:t>
      </w:r>
      <w:r>
        <w:t xml:space="preserve">movement is substantially lower than that predicted by the model of</w:t>
      </w:r>
      <w:r>
        <w:t xml:space="preserve"> </w:t>
      </w:r>
      <w:r>
        <w:t xml:space="preserve">Liu et al. (</w:t>
      </w:r>
      <w:hyperlink w:anchor="X0e41857b9754d3f46055296e8711d0a459bcc8a">
        <w:r>
          <w:rPr>
            <w:rStyle w:val="Hyperlink"/>
          </w:rPr>
          <w:t xml:space="preserve">2017</w:t>
        </w:r>
      </w:hyperlink>
      <w:r>
        <w:t xml:space="preserve">)</w:t>
      </w:r>
      <w:r>
        <w:t xml:space="preserve">. Compared with</w:t>
      </w:r>
      <w:r>
        <w:t xml:space="preserve"> </w:t>
      </w:r>
      <w:r>
        <w:t xml:space="preserve">Schiavon et al. (</w:t>
      </w:r>
      <w:hyperlink w:anchor="ref-schiavonSensationDraftUncovered2016">
        <w:r>
          <w:rPr>
            <w:rStyle w:val="Hyperlink"/>
          </w:rPr>
          <w:t xml:space="preserve">2016</w:t>
        </w:r>
      </w:hyperlink>
      <w:r>
        <w:t xml:space="preserve">)</w:t>
      </w:r>
      <w:r>
        <w:t xml:space="preserve">, the overall dissatisfaction rates</w:t>
      </w:r>
      <w:r>
        <w:t xml:space="preserve"> </w:t>
      </w:r>
      <w:r>
        <w:t xml:space="preserve">in this study are lower. Their study, which involved subjects with</w:t>
      </w:r>
      <w:r>
        <w:t xml:space="preserve"> </w:t>
      </w:r>
      <w:r>
        <w:t xml:space="preserve">exposed ankles and lower legs wearing approximately 0.6 clo summer</w:t>
      </w:r>
      <w:r>
        <w:t xml:space="preserve"> </w:t>
      </w:r>
      <w:r>
        <w:t xml:space="preserve">clothing, reported unacceptable rates ranging from 23% to 57%. In</w:t>
      </w:r>
      <w:r>
        <w:t xml:space="preserve"> </w:t>
      </w:r>
      <w:r>
        <w:t xml:space="preserve">contrast, under ankle-covered conditions (≥0.75 clo) in this study,</w:t>
      </w:r>
      <w:r>
        <w:t xml:space="preserve"> </w:t>
      </w:r>
      <w:r>
        <w:t xml:space="preserve">airflow unacceptability ranges from 6% to 20%.</w:t>
      </w:r>
    </w:p>
    <w:p>
      <w:pPr>
        <w:pStyle w:val="BodyText"/>
      </w:pPr>
      <w:r>
        <w:t xml:space="preserve">These conclusions are consistent with several previous studies.</w:t>
      </w:r>
      <w:r>
        <w:t xml:space="preserve"> </w:t>
      </w:r>
      <w:r>
        <w:t xml:space="preserve">Zhou et al. (</w:t>
      </w:r>
      <w:hyperlink w:anchor="ref-zhouDraughtSensationAssessment2022">
        <w:r>
          <w:rPr>
            <w:rStyle w:val="Hyperlink"/>
          </w:rPr>
          <w:t xml:space="preserve">2022</w:t>
        </w:r>
      </w:hyperlink>
      <w:r>
        <w:t xml:space="preserve">)</w:t>
      </w:r>
      <w:r>
        <w:t xml:space="preserve"> </w:t>
      </w:r>
      <w:r>
        <w:t xml:space="preserve">reported that, in stratified heating</w:t>
      </w:r>
      <w:r>
        <w:t xml:space="preserve"> </w:t>
      </w:r>
      <w:r>
        <w:t xml:space="preserve">environments, high-top shoes increased ankle airflow acceptability by</w:t>
      </w:r>
      <w:r>
        <w:t xml:space="preserve"> </w:t>
      </w:r>
      <w:r>
        <w:t xml:space="preserve">approximately 15%, indicating that ankle coverage significantly reduces</w:t>
      </w:r>
      <w:r>
        <w:t xml:space="preserve"> </w:t>
      </w:r>
      <w:r>
        <w:t xml:space="preserve">sensitivity to airflow. Similarly, Toftum and Nielsen found that, at the</w:t>
      </w:r>
      <w:r>
        <w:t xml:space="preserve"> </w:t>
      </w:r>
      <w:r>
        <w:t xml:space="preserve">same air velocity, subjects with a cooler overall thermal sensation are</w:t>
      </w:r>
      <w:r>
        <w:t xml:space="preserve"> </w:t>
      </w:r>
      <w:r>
        <w:t xml:space="preserve">more likely to perceive airflow as uncomfortable, suggesting that when</w:t>
      </w:r>
      <w:r>
        <w:t xml:space="preserve"> </w:t>
      </w:r>
      <w:r>
        <w:t xml:space="preserve">clothing insulation is higher, the influence of ambient temperature and</w:t>
      </w:r>
      <w:r>
        <w:t xml:space="preserve"> </w:t>
      </w:r>
      <w:r>
        <w:t xml:space="preserve">its interaction with airflow on perceived discomfort is attenuated</w:t>
      </w:r>
      <w:r>
        <w:t xml:space="preserve"> </w:t>
      </w:r>
      <w:r>
        <w:t xml:space="preserve">(</w:t>
      </w:r>
      <w:hyperlink w:anchor="Xc6822f8f52189dbfe9f84a83a245251ba38a71f">
        <w:r>
          <w:rPr>
            <w:rStyle w:val="Hyperlink"/>
          </w:rPr>
          <w:t xml:space="preserve">Toftum &amp; Nielsen, 1996</w:t>
        </w:r>
      </w:hyperlink>
      <w:r>
        <w:t xml:space="preserve">)</w:t>
      </w:r>
      <w:r>
        <w:t xml:space="preserve">.</w:t>
      </w:r>
    </w:p>
    <w:p>
      <w:pPr>
        <w:pStyle w:val="BodyText"/>
      </w:pPr>
      <w:r>
        <w:t xml:space="preserve">Regarding predictor selection, this study explored the inclusion of</w:t>
      </w:r>
      <w:r>
        <w:t xml:space="preserve"> </w:t>
      </w:r>
      <w:r>
        <w:t xml:space="preserve">additional variables; however, aside from clothing condition, only</w:t>
      </w:r>
      <w:r>
        <w:t xml:space="preserve"> </w:t>
      </w:r>
      <w:r>
        <w:t xml:space="preserve">overall thermal sensation and air speed (V) were found to have</w:t>
      </w:r>
      <w:r>
        <w:t xml:space="preserve"> </w:t>
      </w:r>
      <w:r>
        <w:t xml:space="preserve">significant effects on dissatisfaction, consistent with the model</w:t>
      </w:r>
      <w:r>
        <w:t xml:space="preserve"> </w:t>
      </w:r>
      <w:r>
        <w:t xml:space="preserve">structures reported by</w:t>
      </w:r>
      <w:r>
        <w:t xml:space="preserve"> </w:t>
      </w:r>
      <w:r>
        <w:t xml:space="preserve">Toftum &amp; Nielsen (</w:t>
      </w:r>
      <w:hyperlink w:anchor="Xc6822f8f52189dbfe9f84a83a245251ba38a71f">
        <w:r>
          <w:rPr>
            <w:rStyle w:val="Hyperlink"/>
          </w:rPr>
          <w:t xml:space="preserve">1996</w:t>
        </w:r>
      </w:hyperlink>
      <w:r>
        <w:t xml:space="preserve">)</w:t>
      </w:r>
      <w:r>
        <w:t xml:space="preserve"> </w:t>
      </w:r>
      <w:r>
        <w:t xml:space="preserve">and</w:t>
      </w:r>
      <w:r>
        <w:t xml:space="preserve"> </w:t>
      </w:r>
      <w:r>
        <w:t xml:space="preserve">Liu et al. (</w:t>
      </w:r>
      <w:hyperlink w:anchor="X0e41857b9754d3f46055296e8711d0a459bcc8a">
        <w:r>
          <w:rPr>
            <w:rStyle w:val="Hyperlink"/>
          </w:rPr>
          <w:t xml:space="preserve">2017</w:t>
        </w:r>
      </w:hyperlink>
      <w:r>
        <w:t xml:space="preserve">)</w:t>
      </w:r>
      <w:r>
        <w:t xml:space="preserve">.</w:t>
      </w:r>
      <w:r>
        <w:t xml:space="preserve"> </w:t>
      </w:r>
      <w:r>
        <w:t xml:space="preserve">Cheng et al. (</w:t>
      </w:r>
      <w:hyperlink w:anchor="X02829bcc6a4cfbfd37a28359b08c0b0a759b280">
        <w:r>
          <w:rPr>
            <w:rStyle w:val="Hyperlink"/>
          </w:rPr>
          <w:t xml:space="preserve">2023</w:t>
        </w:r>
      </w:hyperlink>
      <w:r>
        <w:t xml:space="preserve">)</w:t>
      </w:r>
      <w:r>
        <w:t xml:space="preserve"> </w:t>
      </w:r>
      <w:r>
        <w:t xml:space="preserve">also identified a relationship</w:t>
      </w:r>
      <w:r>
        <w:t xml:space="preserve"> </w:t>
      </w:r>
      <w:r>
        <w:t xml:space="preserve">between overall thermal sensation and draft rate thresholds in</w:t>
      </w:r>
      <w:r>
        <w:t xml:space="preserve"> </w:t>
      </w:r>
      <w:r>
        <w:t xml:space="preserve">stratified ventilation experiments, further supporting the use of</w:t>
      </w:r>
      <w:r>
        <w:t xml:space="preserve"> </w:t>
      </w:r>
      <w:r>
        <w:t xml:space="preserve">overall thermal sensation as a predictor. However, although the dataset</w:t>
      </w:r>
      <w:r>
        <w:t xml:space="preserve"> </w:t>
      </w:r>
      <w:r>
        <w:t xml:space="preserve">used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included both exposed</w:t>
      </w:r>
      <w:r>
        <w:t xml:space="preserve"> </w:t>
      </w:r>
      <w:r>
        <w:t xml:space="preserve">and covered ankle conditions under summer clothing, no significant</w:t>
      </w:r>
      <w:r>
        <w:t xml:space="preserve"> </w:t>
      </w:r>
      <w:r>
        <w:t xml:space="preserve">clothing effect was identified. This discrepancy may be attributed to</w:t>
      </w:r>
      <w:r>
        <w:t xml:space="preserve"> </w:t>
      </w:r>
      <w:r>
        <w:t xml:space="preserve">their use of standard logistic regression, which pooled all observations</w:t>
      </w:r>
      <w:r>
        <w:t xml:space="preserve"> </w:t>
      </w:r>
      <w:r>
        <w:t xml:space="preserve">across subjects and failed to account for the non-independence</w:t>
      </w:r>
      <w:r>
        <w:t xml:space="preserve"> </w:t>
      </w:r>
      <w:r>
        <w:t xml:space="preserve">introduced by repeated measures, thereby masking the effect of clothing</w:t>
      </w:r>
      <w:r>
        <w:t xml:space="preserve"> </w:t>
      </w:r>
      <w:r>
        <w:t xml:space="preserve">as a between-subject variable due to inter-individual variability.</w:t>
      </w:r>
    </w:p>
    <w:bookmarkEnd w:id="84"/>
    <w:bookmarkStart w:id="85" w:name="mechanisms"/>
    <w:p>
      <w:pPr>
        <w:pStyle w:val="Heading2"/>
      </w:pPr>
      <w:r>
        <w:t xml:space="preserve">4.2 Mechanisms</w:t>
      </w:r>
    </w:p>
    <w:p>
      <w:pPr>
        <w:pStyle w:val="FirstParagraph"/>
      </w:pPr>
      <w:r>
        <w:t xml:space="preserve">The ankle skin temperature (</w:t>
      </w:r>
      <m:oMath>
        <m:sSub>
          <m:e>
            <m:r>
              <m:t>T</m:t>
            </m:r>
          </m:e>
          <m:sub>
            <m:r>
              <m:rPr>
                <m:nor/>
                <m:sty m:val="p"/>
              </m:rPr>
              <m:t>sk</m:t>
            </m:r>
          </m:sub>
        </m:sSub>
      </m:oMath>
      <w:r>
        <w:t xml:space="preserve">) results indicate that</w:t>
      </w:r>
      <w:r>
        <w:t xml:space="preserve"> </w:t>
      </w:r>
      <w:r>
        <w:t xml:space="preserve">winter clothing does not completely block the effect of airflow on the</w:t>
      </w:r>
      <w:r>
        <w:t xml:space="preserve"> </w:t>
      </w:r>
      <w:r>
        <w:t xml:space="preserve">ankle, but it exerts a substantial attenuating effect. During the final</w:t>
      </w:r>
      <w:r>
        <w:t xml:space="preserve"> </w:t>
      </w:r>
      <w:r>
        <w:t xml:space="preserve">5-minute steady-state period, a significant reduction in ankle skin</w:t>
      </w:r>
      <w:r>
        <w:t xml:space="preserve"> </w:t>
      </w:r>
      <w:r>
        <w:t xml:space="preserve">temperature was observed only at 15°C, where medium and high air speeds</w:t>
      </w:r>
      <w:r>
        <w:t xml:space="preserve"> </w:t>
      </w:r>
      <w:r>
        <w:t xml:space="preserve">were significantly lower than the low speed condition. At 17°C and 19°C,</w:t>
      </w:r>
      <w:r>
        <w:t xml:space="preserve"> </w:t>
      </w:r>
      <w:r>
        <w:t xml:space="preserve">variations in air speed did not result in significant differences in</w:t>
      </w:r>
      <w:r>
        <w:t xml:space="preserve"> </w:t>
      </w:r>
      <w:r>
        <w:t xml:space="preserve">skin temperature. In addition, no significant differences were found</w:t>
      </w:r>
      <w:r>
        <w:t xml:space="preserve"> </w:t>
      </w:r>
      <w:r>
        <w:t xml:space="preserve">between medium and high air speed conditions at any of the three supply</w:t>
      </w:r>
      <w:r>
        <w:t xml:space="preserve"> </w:t>
      </w:r>
      <w:r>
        <w:t xml:space="preserve">temperatures. That is, only when the environmental contrast is</w:t>
      </w:r>
      <w:r>
        <w:t xml:space="preserve"> </w:t>
      </w:r>
      <w:r>
        <w:t xml:space="preserve">sufficiently pronounced can the local cooling effect of airflow on the</w:t>
      </w:r>
      <w:r>
        <w:t xml:space="preserve"> </w:t>
      </w:r>
      <w:r>
        <w:t xml:space="preserve">ankle be detected in steady-state skin temperature. From a</w:t>
      </w:r>
      <w:r>
        <w:t xml:space="preserve"> </w:t>
      </w:r>
      <w:r>
        <w:t xml:space="preserve">thermophysiological perspective, changes in thermal sensation are more</w:t>
      </w:r>
      <w:r>
        <w:t xml:space="preserve"> </w:t>
      </w:r>
      <w:r>
        <w:t xml:space="preserve">likely to be associated with rapid variations in skin temperature</w:t>
      </w:r>
      <w:r>
        <w:t xml:space="preserve"> </w:t>
      </w:r>
      <w:r>
        <w:t xml:space="preserve">(</w:t>
      </w:r>
      <w:hyperlink w:anchor="ref-ChoiInvestigationHumanBody2012">
        <w:r>
          <w:rPr>
            <w:rStyle w:val="Hyperlink"/>
          </w:rPr>
          <w:t xml:space="preserve">Choi &amp; Loftness, 2012</w:t>
        </w:r>
      </w:hyperlink>
      <w:r>
        <w:t xml:space="preserve">;</w:t>
      </w:r>
      <w:r>
        <w:t xml:space="preserve"> </w:t>
      </w:r>
      <w:hyperlink w:anchor="ref-KenshaloCoolThresholds1968">
        <w:r>
          <w:rPr>
            <w:rStyle w:val="Hyperlink"/>
          </w:rPr>
          <w:t xml:space="preserve">Kenshalo et al., 1968</w:t>
        </w:r>
      </w:hyperlink>
      <w:r>
        <w:t xml:space="preserve">)</w:t>
      </w:r>
      <w:r>
        <w:t xml:space="preserve">. In this</w:t>
      </w:r>
      <w:r>
        <w:t xml:space="preserve"> </w:t>
      </w:r>
      <w:r>
        <w:t xml:space="preserve">study, ankle</w:t>
      </w:r>
      <w:r>
        <w:t xml:space="preserve"> </w:t>
      </w:r>
      <m:oMath>
        <m:r>
          <m:t>Δ</m:t>
        </m:r>
        <m:sSub>
          <m:e>
            <m:r>
              <m:t>T</m:t>
            </m:r>
          </m:e>
          <m:sub>
            <m:r>
              <m:rPr>
                <m:nor/>
                <m:sty m:val="p"/>
              </m:rPr>
              <m:t>sk</m:t>
            </m:r>
          </m:sub>
        </m:sSub>
      </m:oMath>
      <w:r>
        <w:t xml:space="preserve"> </w:t>
      </w:r>
      <w:r>
        <w:t xml:space="preserve">was calculated relative to the</w:t>
      </w:r>
      <w:r>
        <w:t xml:space="preserve"> </w:t>
      </w:r>
      <w:r>
        <w:t xml:space="preserve">baseline adaptation period. The results show that, across all supply air</w:t>
      </w:r>
      <w:r>
        <w:t xml:space="preserve"> </w:t>
      </w:r>
      <w:r>
        <w:t xml:space="preserve">temperatures, the differences in</w:t>
      </w:r>
      <w:r>
        <w:t xml:space="preserve"> </w:t>
      </w:r>
      <m:oMath>
        <m:r>
          <m:t>Δ</m:t>
        </m:r>
        <m:sSub>
          <m:e>
            <m:r>
              <m:t>T</m:t>
            </m:r>
          </m:e>
          <m:sub>
            <m:r>
              <m:rPr>
                <m:nor/>
                <m:sty m:val="p"/>
              </m:rPr>
              <m:t>sk</m:t>
            </m:r>
          </m:sub>
        </m:sSub>
      </m:oMath>
      <w:r>
        <w:t xml:space="preserve"> </w:t>
      </w:r>
      <w:r>
        <w:t xml:space="preserve">between low and</w:t>
      </w:r>
      <w:r>
        <w:t xml:space="preserve"> </w:t>
      </w:r>
      <w:r>
        <w:t xml:space="preserve">medium/high air speed conditions were statistically significant (effect</w:t>
      </w:r>
      <w:r>
        <w:t xml:space="preserve"> </w:t>
      </w:r>
      <w:r>
        <w:t xml:space="preserve">size</w:t>
      </w:r>
      <w:r>
        <w:t xml:space="preserve"> </w:t>
      </w:r>
      <m:oMath>
        <m:r>
          <m:t>d</m:t>
        </m:r>
        <m:r>
          <m:rPr>
            <m:sty m:val="p"/>
          </m:rPr>
          <m:t>≈</m:t>
        </m:r>
        <m:r>
          <m:t>0.6</m:t>
        </m:r>
        <m:r>
          <m:rPr>
            <m:nor/>
            <m:sty m:val="p"/>
          </m:rPr>
          <m:t>–</m:t>
        </m:r>
        <m:r>
          <m:t>0.9</m:t>
        </m:r>
      </m:oMath>
      <w:r>
        <w:t xml:space="preserve">). Consistent with this, under the 15°C</w:t>
      </w:r>
      <w:r>
        <w:t xml:space="preserve"> </w:t>
      </w:r>
      <w:r>
        <w:t xml:space="preserve">condition, local ankle thermal sensation at medium and high speeds was</w:t>
      </w:r>
      <w:r>
        <w:t xml:space="preserve"> </w:t>
      </w:r>
      <w:r>
        <w:t xml:space="preserve">significantly lower than at low speed, with changes aligned in direction</w:t>
      </w:r>
      <w:r>
        <w:t xml:space="preserve"> </w:t>
      </w:r>
      <w:r>
        <w:t xml:space="preserve">with the observed skin temperature reductions. Notably, no significant</w:t>
      </w:r>
      <w:r>
        <w:t xml:space="preserve"> </w:t>
      </w:r>
      <w:r>
        <w:t xml:space="preserve">differences were observed across conditions in terms of air movement</w:t>
      </w:r>
      <w:r>
        <w:t xml:space="preserve"> </w:t>
      </w:r>
      <w:r>
        <w:t xml:space="preserve">acceptability. In other words, although variations in air speed produced</w:t>
      </w:r>
      <w:r>
        <w:t xml:space="preserve"> </w:t>
      </w:r>
      <w:r>
        <w:t xml:space="preserve">measurable shifts in both skin temperature and local thermal sensation,</w:t>
      </w:r>
      <w:r>
        <w:t xml:space="preserve"> </w:t>
      </w:r>
      <w:r>
        <w:t xml:space="preserve">the magnitude of these changes appears insufficient, within the tested</w:t>
      </w:r>
      <w:r>
        <w:t xml:space="preserve"> </w:t>
      </w:r>
      <w:r>
        <w:t xml:space="preserve">speed range, to generate distinguishable differences in dissatisfaction</w:t>
      </w:r>
      <w:r>
        <w:t xml:space="preserve"> </w:t>
      </w:r>
      <w:r>
        <w:t xml:space="preserve">rates. From a heat transfer perspective, clothing coverage increases</w:t>
      </w:r>
      <w:r>
        <w:t xml:space="preserve"> </w:t>
      </w:r>
      <w:r>
        <w:t xml:space="preserve">local thermal resistance and reduces convective heat exchange between</w:t>
      </w:r>
      <w:r>
        <w:t xml:space="preserve"> </w:t>
      </w:r>
      <w:r>
        <w:t xml:space="preserve">the body and ambient airflow</w:t>
      </w:r>
      <w:r>
        <w:t xml:space="preserve"> </w:t>
      </w:r>
      <w:r>
        <w:t xml:space="preserve">(</w:t>
      </w:r>
      <w:hyperlink w:anchor="ref-lee3DQuantificationMicroclimate2007">
        <w:r>
          <w:rPr>
            <w:rStyle w:val="Hyperlink"/>
          </w:rPr>
          <w:t xml:space="preserve">Lee et al., 2007</w:t>
        </w:r>
      </w:hyperlink>
      <w:r>
        <w:t xml:space="preserve">)</w:t>
      </w:r>
      <w:r>
        <w:t xml:space="preserve">.</w:t>
      </w:r>
      <w:r>
        <w:t xml:space="preserve"> </w:t>
      </w:r>
      <w:r>
        <w:t xml:space="preserve">This insulating effect likely suppresses both the magnitude and</w:t>
      </w:r>
      <w:r>
        <w:t xml:space="preserve"> </w:t>
      </w:r>
      <w:r>
        <w:t xml:space="preserve">variability of skin temperature reduction, making it more difficult for</w:t>
      </w:r>
      <w:r>
        <w:t xml:space="preserve"> </w:t>
      </w:r>
      <w:r>
        <w:t xml:space="preserve">the human body to cross the thresholds that trigger discomfort.</w:t>
      </w:r>
    </w:p>
    <w:p>
      <w:pPr>
        <w:pStyle w:val="BodyText"/>
      </w:pPr>
      <w:r>
        <w:t xml:space="preserve">In addition, ankle coverage may influence airflow acceptability through</w:t>
      </w:r>
      <w:r>
        <w:t xml:space="preserve"> </w:t>
      </w:r>
      <w:r>
        <w:t xml:space="preserve">psychological pathways, such as altered risk perception or attentional</w:t>
      </w:r>
      <w:r>
        <w:t xml:space="preserve"> </w:t>
      </w:r>
      <w:r>
        <w:t xml:space="preserve">allocation. Occupants may perceive themselves as</w:t>
      </w:r>
      <w:r>
        <w:t xml:space="preserve"> </w:t>
      </w:r>
      <w:r>
        <w:t xml:space="preserve">“protected”</w:t>
      </w:r>
      <w:r>
        <w:t xml:space="preserve"> </w:t>
      </w:r>
      <w:r>
        <w:t xml:space="preserve">due to</w:t>
      </w:r>
      <w:r>
        <w:t xml:space="preserve"> </w:t>
      </w:r>
      <w:r>
        <w:t xml:space="preserve">wearing thicker clothing on the lower body, which could increase</w:t>
      </w:r>
      <w:r>
        <w:t xml:space="preserve"> </w:t>
      </w:r>
      <w:r>
        <w:t xml:space="preserve">tolerance to local airflow. Previous studies have shown that providing</w:t>
      </w:r>
      <w:r>
        <w:t xml:space="preserve"> </w:t>
      </w:r>
      <w:r>
        <w:t xml:space="preserve">occupants with temperature information or</w:t>
      </w:r>
      <w:r>
        <w:t xml:space="preserve"> </w:t>
      </w:r>
      <w:r>
        <w:t xml:space="preserve">“group perception feedback”</w:t>
      </w:r>
      <w:r>
        <w:t xml:space="preserve"> </w:t>
      </w:r>
      <w:r>
        <w:t xml:space="preserve">can positively improve thermal comfort evaluations, suggesting that</w:t>
      </w:r>
      <w:r>
        <w:t xml:space="preserve"> </w:t>
      </w:r>
      <w:r>
        <w:t xml:space="preserve">thermal perception is not solely determined by physical stimuli but is</w:t>
      </w:r>
      <w:r>
        <w:t xml:space="preserve"> </w:t>
      </w:r>
      <w:r>
        <w:t xml:space="preserve">also modulated by expectations and informational cues</w:t>
      </w:r>
      <w:r>
        <w:t xml:space="preserve"> </w:t>
      </w:r>
      <w:r>
        <w:t xml:space="preserve">(</w:t>
      </w:r>
      <w:hyperlink w:anchor="ref-zhangGroupPerceptionFeedback2022">
        <w:r>
          <w:rPr>
            <w:rStyle w:val="Hyperlink"/>
          </w:rPr>
          <w:t xml:space="preserve">Zhang et al., 2022</w:t>
        </w:r>
      </w:hyperlink>
      <w:r>
        <w:t xml:space="preserve">)</w:t>
      </w:r>
      <w:r>
        <w:t xml:space="preserve">. Similarly, research on thermal</w:t>
      </w:r>
      <w:r>
        <w:t xml:space="preserve"> </w:t>
      </w:r>
      <w:r>
        <w:t xml:space="preserve">expectation indicates that expectation levels themselves influence</w:t>
      </w:r>
      <w:r>
        <w:t xml:space="preserve"> </w:t>
      </w:r>
      <w:r>
        <w:t xml:space="preserve">thermal perception and evaluation</w:t>
      </w:r>
      <w:r>
        <w:t xml:space="preserve"> </w:t>
      </w:r>
      <w:r>
        <w:t xml:space="preserve">(</w:t>
      </w:r>
      <w:hyperlink w:anchor="ref-schweikerThermalExpectation2020">
        <w:r>
          <w:rPr>
            <w:rStyle w:val="Hyperlink"/>
          </w:rPr>
          <w:t xml:space="preserve">Schweiker et al., 2020</w:t>
        </w:r>
      </w:hyperlink>
      <w:r>
        <w:t xml:space="preserve">)</w:t>
      </w:r>
      <w:r>
        <w:t xml:space="preserve">.</w:t>
      </w:r>
      <w:r>
        <w:t xml:space="preserve"> </w:t>
      </w:r>
      <w:r>
        <w:t xml:space="preserve">Field studies in winter conditions have also identified associations</w:t>
      </w:r>
      <w:r>
        <w:t xml:space="preserve"> </w:t>
      </w:r>
      <w:r>
        <w:t xml:space="preserve">between perceived control and thermal comfort or satisfaction</w:t>
      </w:r>
      <w:r>
        <w:t xml:space="preserve"> </w:t>
      </w:r>
      <w:r>
        <w:t xml:space="preserve">(</w:t>
      </w:r>
      <w:hyperlink w:anchor="ref-xuPerceivedControlWinter2021">
        <w:r>
          <w:rPr>
            <w:rStyle w:val="Hyperlink"/>
          </w:rPr>
          <w:t xml:space="preserve">Xu &amp; Li, 2021</w:t>
        </w:r>
      </w:hyperlink>
      <w:r>
        <w:t xml:space="preserve">)</w:t>
      </w:r>
      <w:r>
        <w:t xml:space="preserve">. These findings suggest that the</w:t>
      </w:r>
      <w:r>
        <w:t xml:space="preserve"> </w:t>
      </w:r>
      <w:r>
        <w:t xml:space="preserve">subjective perception of being</w:t>
      </w:r>
      <w:r>
        <w:t xml:space="preserve"> </w:t>
      </w:r>
      <w:r>
        <w:t xml:space="preserve">“alreday protected”</w:t>
      </w:r>
      <w:r>
        <w:t xml:space="preserve"> </w:t>
      </w:r>
      <w:r>
        <w:t xml:space="preserve">or</w:t>
      </w:r>
      <w:r>
        <w:t xml:space="preserve"> </w:t>
      </w:r>
      <w:r>
        <w:t xml:space="preserve">“more in control”</w:t>
      </w:r>
      <w:r>
        <w:t xml:space="preserve"> </w:t>
      </w:r>
      <w:r>
        <w:t xml:space="preserve">due to ankle coverage may enhance tolerance to local airflow. However,</w:t>
      </w:r>
      <w:r>
        <w:t xml:space="preserve"> </w:t>
      </w:r>
      <w:r>
        <w:t xml:space="preserve">this psychological pathway was not directly measured in the present</w:t>
      </w:r>
      <w:r>
        <w:t xml:space="preserve"> </w:t>
      </w:r>
      <w:r>
        <w:t xml:space="preserve">study and requires further investigation through controlled manipulation</w:t>
      </w:r>
      <w:r>
        <w:t xml:space="preserve"> </w:t>
      </w:r>
      <w:r>
        <w:t xml:space="preserve">of coverage conditions alongside measurements of expectation, attention,</w:t>
      </w:r>
      <w:r>
        <w:t xml:space="preserve"> </w:t>
      </w:r>
      <w:r>
        <w:t xml:space="preserve">and perceived control.</w:t>
      </w:r>
    </w:p>
    <w:bookmarkEnd w:id="85"/>
    <w:bookmarkStart w:id="86" w:name="X4379a2991dbd5b44f21a148555e8195d3a90ed3"/>
    <w:p>
      <w:pPr>
        <w:pStyle w:val="Heading2"/>
      </w:pPr>
      <w:r>
        <w:t xml:space="preserve">4.3 Implications for building design and standards</w:t>
      </w:r>
    </w:p>
    <w:p>
      <w:pPr>
        <w:pStyle w:val="FirstParagraph"/>
      </w:pPr>
      <w:r>
        <w:t xml:space="preserve">The ankle draft model proposed by</w:t>
      </w:r>
      <w:r>
        <w:t xml:space="preserve"> </w:t>
      </w:r>
      <w:r>
        <w:t xml:space="preserve">Liu et al. (</w:t>
      </w:r>
      <w:hyperlink w:anchor="X0e41857b9754d3f46055296e8711d0a459bcc8a">
        <w:r>
          <w:rPr>
            <w:rStyle w:val="Hyperlink"/>
          </w:rPr>
          <w:t xml:space="preserve">2017</w:t>
        </w:r>
      </w:hyperlink>
      <w:r>
        <w:t xml:space="preserve">)</w:t>
      </w:r>
      <w:r>
        <w:t xml:space="preserve"> </w:t>
      </w:r>
      <w:r>
        <w:t xml:space="preserve">has been incorporated into</w:t>
      </w:r>
      <w:r>
        <w:t xml:space="preserve"> </w:t>
      </w:r>
      <w:r>
        <w:t xml:space="preserve">ASHRAE-55 as a basis for assessing ankle-level draft risk. However, this</w:t>
      </w:r>
      <w:r>
        <w:t xml:space="preserve"> </w:t>
      </w:r>
      <w:r>
        <w:t xml:space="preserve">model does not distinguish between covered and uncovered ankle</w:t>
      </w:r>
      <w:r>
        <w:t xml:space="preserve"> </w:t>
      </w:r>
      <w:r>
        <w:t xml:space="preserve">conditions in its formulation. Given that ASHRAE specifies an acceptable</w:t>
      </w:r>
      <w:r>
        <w:t xml:space="preserve"> </w:t>
      </w:r>
      <w:r>
        <w:t xml:space="preserve">overall thermal sensation range of PMV = −0.5 to +0.5, the current</w:t>
      </w:r>
      <w:r>
        <w:t xml:space="preserve"> </w:t>
      </w:r>
      <w:r>
        <w:t xml:space="preserve">standard requires ankle level air speed &lt; 0.22 m/s (corresponding to</w:t>
      </w:r>
      <w:r>
        <w:t xml:space="preserve"> </w:t>
      </w:r>
      <w:r>
        <w:t xml:space="preserve">&lt;20% dissatisfied) when TS = −0.5. This constraint may be overly</w:t>
      </w:r>
      <w:r>
        <w:t xml:space="preserve"> </w:t>
      </w:r>
      <w:r>
        <w:t xml:space="preserve">conservative in practical winter conditions in office buildings.</w:t>
      </w:r>
    </w:p>
    <w:p>
      <w:pPr>
        <w:pStyle w:val="BodyText"/>
      </w:pPr>
      <w:r>
        <w:t xml:space="preserve">Based on empirical algorithms considering window surface temperature,</w:t>
      </w:r>
      <w:r>
        <w:t xml:space="preserve"> </w:t>
      </w:r>
      <w:r>
        <w:t xml:space="preserve">window size, and occupant distance from the façade, the maximum</w:t>
      </w:r>
      <w:r>
        <w:t xml:space="preserve"> </w:t>
      </w:r>
      <w:r>
        <w:t xml:space="preserve">downdraft velocity at approximately 1 m from a window is around 0.25</w:t>
      </w:r>
      <w:r>
        <w:t xml:space="preserve"> </w:t>
      </w:r>
      <w:r>
        <w:t xml:space="preserve">m/s. Under milder outdoor conditions or with smaller window areas, peak</w:t>
      </w:r>
      <w:r>
        <w:t xml:space="preserve"> </w:t>
      </w:r>
      <w:r>
        <w:t xml:space="preserve">velocities are often predicted to fall within the range of 0.1–0.2 m/s</w:t>
      </w:r>
      <w:r>
        <w:t xml:space="preserve"> </w:t>
      </w:r>
      <w:r>
        <w:t xml:space="preserve">(</w:t>
      </w:r>
      <w:hyperlink w:anchor="ref-lyonsWindowPerformanceHuman1999">
        <w:r>
          <w:rPr>
            <w:rStyle w:val="Hyperlink"/>
          </w:rPr>
          <w:t xml:space="preserve">Lyons et al., 1999</w:t>
        </w:r>
      </w:hyperlink>
      <w:r>
        <w:t xml:space="preserve">)</w:t>
      </w:r>
      <w:r>
        <w:t xml:space="preserve">. Within this context, for the winter</w:t>
      </w:r>
      <w:r>
        <w:t xml:space="preserve"> </w:t>
      </w:r>
      <w:r>
        <w:t xml:space="preserve">perimeter conditions examined in this study (air velocity 0.1–0.7 m/s,</w:t>
      </w:r>
      <w:r>
        <w:t xml:space="preserve"> </w:t>
      </w:r>
      <w:r>
        <w:t xml:space="preserve">supply air temperature 15–19°C), the covered model developed here</w:t>
      </w:r>
      <w:r>
        <w:t xml:space="preserve"> </w:t>
      </w:r>
      <w:r>
        <w:t xml:space="preserve">suggests that ankle-level dissatisfaction remains within acceptable</w:t>
      </w:r>
      <w:r>
        <w:t xml:space="preserve"> </w:t>
      </w:r>
      <w:r>
        <w:t xml:space="preserve">limits under many typical winter scenarios. Therefore, the</w:t>
      </w:r>
      <w:r>
        <w:t xml:space="preserve"> </w:t>
      </w:r>
      <w:r>
        <w:t xml:space="preserve">single-threshold constraint in ASHRAE, based on the Liu model, may lead</w:t>
      </w:r>
      <w:r>
        <w:t xml:space="preserve"> </w:t>
      </w:r>
      <w:r>
        <w:t xml:space="preserve">to conservative design decisions regarding the sizing or necessity of</w:t>
      </w:r>
      <w:r>
        <w:t xml:space="preserve"> </w:t>
      </w:r>
      <w:r>
        <w:t xml:space="preserve">perimeter heating or reheat systems. From an energy and system sizing</w:t>
      </w:r>
      <w:r>
        <w:t xml:space="preserve"> </w:t>
      </w:r>
      <w:r>
        <w:t xml:space="preserve">perspective, perimeter heating systems are often nontrivial in both cost</w:t>
      </w:r>
      <w:r>
        <w:t xml:space="preserve"> </w:t>
      </w:r>
      <w:r>
        <w:t xml:space="preserve">and energy use. For example, commercial electric perimeter heaters</w:t>
      </w:r>
      <w:r>
        <w:t xml:space="preserve"> </w:t>
      </w:r>
      <w:r>
        <w:t xml:space="preserve">typically have a rated power density of approximately 150–250 W/ft</w:t>
      </w:r>
      <w:r>
        <w:t xml:space="preserve"> </w:t>
      </w:r>
      <w:r>
        <w:t xml:space="preserve">(≈490–820 W/m)</w:t>
      </w:r>
      <w:r>
        <w:t xml:space="preserve"> </w:t>
      </w:r>
      <w:r>
        <w:t xml:space="preserve">(</w:t>
      </w:r>
      <w:hyperlink w:anchor="ref-stelproCommercialBaseboardCBF2026">
        <w:r>
          <w:rPr>
            <w:rStyle w:val="Hyperlink"/>
          </w:rPr>
          <w:t xml:space="preserve">Stelpro, 2026</w:t>
        </w:r>
      </w:hyperlink>
      <w:r>
        <w:t xml:space="preserve">)</w:t>
      </w:r>
      <w:r>
        <w:t xml:space="preserve">. For a continuous 10</w:t>
      </w:r>
      <w:r>
        <w:t xml:space="preserve"> </w:t>
      </w:r>
      <w:r>
        <w:t xml:space="preserve">m window perimeter, this corresponds to an installed capacity of roughly</w:t>
      </w:r>
      <w:r>
        <w:t xml:space="preserve"> </w:t>
      </w:r>
      <w:r>
        <w:t xml:space="preserve">5–8 kW. If</w:t>
      </w:r>
      <w:r>
        <w:t xml:space="preserve"> </w:t>
      </w:r>
      <w:r>
        <w:t xml:space="preserve">“covered”</w:t>
      </w:r>
      <w:r>
        <w:t xml:space="preserve"> </w:t>
      </w:r>
      <w:r>
        <w:t xml:space="preserve">(≥0.75 clo) and</w:t>
      </w:r>
      <w:r>
        <w:t xml:space="preserve"> </w:t>
      </w:r>
      <w:r>
        <w:t xml:space="preserve">“uncovered”</w:t>
      </w:r>
      <w:r>
        <w:t xml:space="preserve"> </w:t>
      </w:r>
      <w:r>
        <w:t xml:space="preserve">(&lt;0.5 clo) scenarios</w:t>
      </w:r>
      <w:r>
        <w:t xml:space="preserve"> </w:t>
      </w:r>
      <w:r>
        <w:t xml:space="preserve">are evaluated separately, it may be possible to relax ankle-level air</w:t>
      </w:r>
      <w:r>
        <w:t xml:space="preserve"> </w:t>
      </w:r>
      <w:r>
        <w:t xml:space="preserve">speed limits under winter clothing conditions, thereby reducing</w:t>
      </w:r>
      <w:r>
        <w:t xml:space="preserve"> </w:t>
      </w:r>
      <w:r>
        <w:t xml:space="preserve">unnecessary perimeter heating deployment and operation, and unlocking</w:t>
      </w:r>
      <w:r>
        <w:t xml:space="preserve"> </w:t>
      </w:r>
      <w:r>
        <w:t xml:space="preserve">energy-saving potential and cost reductions.</w:t>
      </w:r>
    </w:p>
    <w:p>
      <w:pPr>
        <w:pStyle w:val="BodyText"/>
      </w:pPr>
      <w:r>
        <w:t xml:space="preserve">In practical applications, the model proposed in this study is</w:t>
      </w:r>
      <w:r>
        <w:t xml:space="preserve"> </w:t>
      </w:r>
      <w:r>
        <w:t xml:space="preserve">consistent with the framework of the ankle draft model in ASHRAE. By</w:t>
      </w:r>
      <w:r>
        <w:t xml:space="preserve"> </w:t>
      </w:r>
      <w:r>
        <w:t xml:space="preserve">constraining overall thermal sensation within the range of −0.5 to +0.5</w:t>
      </w:r>
      <w:r>
        <w:t xml:space="preserve"> </w:t>
      </w:r>
      <w:r>
        <w:t xml:space="preserve">and adopting a dissatisfaction threshold of &lt;20%, acceptable air</w:t>
      </w:r>
      <w:r>
        <w:t xml:space="preserve"> </w:t>
      </w:r>
      <w:r>
        <w:t xml:space="preserve">velocity limits can be derived.</w:t>
      </w:r>
    </w:p>
    <w:p>
      <w:pPr>
        <w:pStyle w:val="BodyText"/>
      </w:pPr>
      <w:r>
        <w:t xml:space="preserve">Within this near-neutral thermal range, the Predicted Mean Vote (PMV)</w:t>
      </w:r>
      <w:r>
        <w:t xml:space="preserve"> </w:t>
      </w:r>
      <w:r>
        <w:t xml:space="preserve">model provides relatively reliable predictions of overall thermal</w:t>
      </w:r>
      <w:r>
        <w:t xml:space="preserve"> </w:t>
      </w:r>
      <w:r>
        <w:t xml:space="preserve">sensation. Therefore, PMV can be used as a proxy for overall thermal</w:t>
      </w:r>
      <w:r>
        <w:t xml:space="preserve"> </w:t>
      </w:r>
      <w:r>
        <w:t xml:space="preserve">sensation during the design or evaluation stage. After specifying the</w:t>
      </w:r>
      <w:r>
        <w:t xml:space="preserve"> </w:t>
      </w:r>
      <w:r>
        <w:t xml:space="preserve">ankle exposure condition (covered vs. uncovered), the corresponding</w:t>
      </w:r>
      <w:r>
        <w:t xml:space="preserve"> </w:t>
      </w:r>
      <w:r>
        <w:t xml:space="preserve">model can then be applied to determine the acceptable range of</w:t>
      </w:r>
      <w:r>
        <w:t xml:space="preserve"> </w:t>
      </w:r>
      <w:r>
        <w:t xml:space="preserve">ankle-level air speed.</w:t>
      </w:r>
    </w:p>
    <w:bookmarkEnd w:id="86"/>
    <w:bookmarkStart w:id="87" w:name="limitations"/>
    <w:p>
      <w:pPr>
        <w:pStyle w:val="Heading2"/>
      </w:pPr>
      <w:r>
        <w:t xml:space="preserve">4.4 Limitations</w:t>
      </w:r>
    </w:p>
    <w:bookmarkEnd w:id="87"/>
    <w:bookmarkEnd w:id="88"/>
    <w:bookmarkStart w:id="89" w:name="conclusions"/>
    <w:p>
      <w:pPr>
        <w:pStyle w:val="Heading1"/>
      </w:pPr>
      <w:r>
        <w:t xml:space="preserve">5. Conclusions</w:t>
      </w:r>
    </w:p>
    <w:bookmarkEnd w:id="89"/>
    <w:bookmarkStart w:id="90"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w:t>
      </w:r>
      <w:r>
        <w:t xml:space="preserve"> </w:t>
      </w:r>
      <w:r>
        <w:rPr>
          <w:b/>
          <w:bCs/>
        </w:rPr>
        <w:t xml:space="preserve">Junmeng Lyu</w:t>
      </w:r>
      <w:r>
        <w:t xml:space="preserve">: Formal</w:t>
      </w:r>
      <w:r>
        <w:t xml:space="preserve"> </w:t>
      </w:r>
      <w:r>
        <w:t xml:space="preserve">analysis, Methodology, Software, Writing - original draft, Writing -</w:t>
      </w:r>
      <w:r>
        <w:t xml:space="preserve"> </w:t>
      </w:r>
      <w:r>
        <w:t xml:space="preserve">review &amp; editing.</w:t>
      </w:r>
      <w:r>
        <w:t xml:space="preserve"> </w:t>
      </w:r>
      <w:r>
        <w:rPr>
          <w:b/>
          <w:bCs/>
        </w:rPr>
        <w:t xml:space="preserve">Stefano Schiavon</w:t>
      </w:r>
      <w:r>
        <w:t xml:space="preserve">: Conceptualization, Funding</w:t>
      </w:r>
      <w:r>
        <w:t xml:space="preserve"> </w:t>
      </w:r>
      <w:r>
        <w:t xml:space="preserve">acquisition, Methodology, Project administration, Supervision, Writing -</w:t>
      </w:r>
      <w:r>
        <w:t xml:space="preserve"> </w:t>
      </w:r>
      <w:r>
        <w:t xml:space="preserve">review &amp; editing.</w:t>
      </w:r>
    </w:p>
    <w:bookmarkEnd w:id="90"/>
    <w:bookmarkStart w:id="91" w:name="declaration-of-competing-interest"/>
    <w:p>
      <w:pPr>
        <w:pStyle w:val="Heading1"/>
      </w:pPr>
      <w:r>
        <w:t xml:space="preserve">Declaration of competing interest</w:t>
      </w:r>
    </w:p>
    <w:p>
      <w:pPr>
        <w:pStyle w:val="FirstParagraph"/>
      </w:pPr>
      <w:r>
        <w:t xml:space="preserve">All authors declare XYZ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91"/>
    <w:bookmarkStart w:id="92" w:name="data-availability"/>
    <w:p>
      <w:pPr>
        <w:pStyle w:val="Heading1"/>
      </w:pPr>
      <w:r>
        <w:t xml:space="preserve">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 XXX.</w:t>
      </w:r>
    </w:p>
    <w:bookmarkEnd w:id="92"/>
    <w:bookmarkStart w:id="9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93"/>
    <w:bookmarkStart w:id="94" w:name="acknowledgements"/>
    <w:p>
      <w:pPr>
        <w:pStyle w:val="Heading1"/>
      </w:pPr>
      <w:r>
        <w:t xml:space="preserve">Acknowledgements</w:t>
      </w:r>
    </w:p>
    <w:p>
      <w:pPr>
        <w:pStyle w:val="FirstParagraph"/>
      </w:pPr>
      <w:r>
        <w:t xml:space="preserve">The Center for the Built Environment at the University of California,</w:t>
      </w:r>
      <w:r>
        <w:t xml:space="preserve"> </w:t>
      </w:r>
      <w:r>
        <w:t xml:space="preserve">Berkeley supported this research.</w:t>
      </w:r>
    </w:p>
    <w:bookmarkEnd w:id="94"/>
    <w:bookmarkStart w:id="134" w:name="references"/>
    <w:p>
      <w:pPr>
        <w:pStyle w:val="Heading1"/>
      </w:pPr>
      <w:r>
        <w:t xml:space="preserve">References</w:t>
      </w:r>
    </w:p>
    <w:bookmarkStart w:id="133" w:name="refs"/>
    <w:bookmarkStart w:id="95" w:name="ref-ashraeANSIASHRAEStandard2023"/>
    <w:p>
      <w:pPr>
        <w:pStyle w:val="Bibliography"/>
      </w:pPr>
      <w:r>
        <w:t xml:space="preserve">ASHRAE. (2023).</w:t>
      </w:r>
      <w:r>
        <w:t xml:space="preserve"> </w:t>
      </w:r>
      <w:r>
        <w:rPr>
          <w:i/>
          <w:iCs/>
        </w:rPr>
        <w:t xml:space="preserve">ANSI</w:t>
      </w:r>
      <w:r>
        <w:rPr>
          <w:i/>
          <w:iCs/>
        </w:rPr>
        <w:t xml:space="preserve">/</w:t>
      </w:r>
      <w:r>
        <w:rPr>
          <w:i/>
          <w:iCs/>
        </w:rPr>
        <w:t xml:space="preserve">ASHRAE</w:t>
      </w:r>
      <w:r>
        <w:rPr>
          <w:i/>
          <w:iCs/>
        </w:rPr>
        <w:t xml:space="preserve"> </w:t>
      </w:r>
      <w:r>
        <w:rPr>
          <w:i/>
          <w:iCs/>
        </w:rPr>
        <w:t xml:space="preserve">Standard</w:t>
      </w:r>
      <w:r>
        <w:rPr>
          <w:i/>
          <w:iCs/>
        </w:rPr>
        <w:t xml:space="preserve"> </w:t>
      </w:r>
      <w:r>
        <w:rPr>
          <w:i/>
          <w:iCs/>
        </w:rPr>
        <w:t xml:space="preserve">55-2023:</w:t>
      </w:r>
      <w:r>
        <w:rPr>
          <w:i/>
          <w:iCs/>
        </w:rPr>
        <w:t xml:space="preserve"> </w:t>
      </w:r>
      <w:r>
        <w:rPr>
          <w:i/>
          <w:iCs/>
        </w:rPr>
        <w:t xml:space="preserve">Thermal</w:t>
      </w:r>
      <w:r>
        <w:rPr>
          <w:i/>
          <w:iCs/>
        </w:rPr>
        <w:t xml:space="preserve"> </w:t>
      </w:r>
      <w:r>
        <w:rPr>
          <w:i/>
          <w:iCs/>
        </w:rPr>
        <w:t xml:space="preserve">Environmental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Occupancy</w:t>
      </w:r>
      <w:r>
        <w:t xml:space="preserve">. American Society of Heating, Refrigerating; Air-Conditioning Engineers.</w:t>
      </w:r>
    </w:p>
    <w:bookmarkEnd w:id="95"/>
    <w:bookmarkStart w:id="97" w:name="ref-benjaminiHighberg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w:t>
      </w:r>
      <w:r>
        <w:t xml:space="preserve">,</w:t>
      </w:r>
      <w:r>
        <w:t xml:space="preserve"> </w:t>
      </w:r>
      <w:r>
        <w:rPr>
          <w:i/>
          <w:iCs/>
        </w:rPr>
        <w:t xml:space="preserve">57</w:t>
      </w:r>
      <w:r>
        <w:t xml:space="preserve">(1), 289–300.</w:t>
      </w:r>
      <w:r>
        <w:t xml:space="preserve"> </w:t>
      </w:r>
      <w:hyperlink r:id="rId96">
        <w:r>
          <w:rPr>
            <w:rStyle w:val="Hyperlink"/>
          </w:rPr>
          <w:t xml:space="preserve">https://doi.org/10.1111/j.2517-6161.1995.tb02031.x</w:t>
        </w:r>
      </w:hyperlink>
    </w:p>
    <w:bookmarkEnd w:id="97"/>
    <w:bookmarkStart w:id="99" w:name="X02829bcc6a4cfbfd37a28359b08c0b0a759b280"/>
    <w:p>
      <w:pPr>
        <w:pStyle w:val="Bibliography"/>
      </w:pPr>
      <w:r>
        <w:t xml:space="preserve">Cheng, F., Cheng, Y., &amp; Lin, Z. (2023). Experimental study of draft-related local discomfort in a room with stratum ventilation.</w:t>
      </w:r>
      <w:r>
        <w:t xml:space="preserve"> </w:t>
      </w:r>
      <w:r>
        <w:rPr>
          <w:i/>
          <w:iCs/>
        </w:rPr>
        <w:t xml:space="preserve">Applied Thermal Engineering</w:t>
      </w:r>
      <w:r>
        <w:t xml:space="preserve">,</w:t>
      </w:r>
      <w:r>
        <w:t xml:space="preserve"> </w:t>
      </w:r>
      <w:r>
        <w:rPr>
          <w:i/>
          <w:iCs/>
        </w:rPr>
        <w:t xml:space="preserve">234</w:t>
      </w:r>
      <w:r>
        <w:t xml:space="preserve">, 121259.</w:t>
      </w:r>
      <w:r>
        <w:t xml:space="preserve"> </w:t>
      </w:r>
      <w:hyperlink r:id="rId98">
        <w:r>
          <w:rPr>
            <w:rStyle w:val="Hyperlink"/>
          </w:rPr>
          <w:t xml:space="preserve">https://doi.org/10.1016/j.applthermaleng.2023.121259</w:t>
        </w:r>
      </w:hyperlink>
    </w:p>
    <w:bookmarkEnd w:id="99"/>
    <w:bookmarkStart w:id="100" w:name="ref-ChoiInvestigationHumanBody2012"/>
    <w:p>
      <w:pPr>
        <w:pStyle w:val="Bibliography"/>
      </w:pPr>
      <w:r>
        <w:t xml:space="preserve">Choi, J.-H., &amp; Loftness, V. (2012).</w:t>
      </w:r>
      <w:r>
        <w:t xml:space="preserve"> </w:t>
      </w:r>
      <w:r>
        <w:rPr>
          <w:i/>
          <w:iCs/>
        </w:rPr>
        <w:t xml:space="preserve">Investigation of human body skin temperatures as a bio-signal to indicate overall thermal sensations</w:t>
      </w:r>
      <w:r>
        <w:t xml:space="preserve">.</w:t>
      </w:r>
      <w:r>
        <w:t xml:space="preserve"> </w:t>
      </w:r>
      <w:r>
        <w:rPr>
          <w:i/>
          <w:iCs/>
        </w:rPr>
        <w:t xml:space="preserve">58</w:t>
      </w:r>
      <w:r>
        <w:t xml:space="preserve">, 258–269.</w:t>
      </w:r>
    </w:p>
    <w:bookmarkEnd w:id="100"/>
    <w:bookmarkStart w:id="102" w:name="ref-deCockCalibrationCurves2023"/>
    <w:p>
      <w:pPr>
        <w:pStyle w:val="Bibliography"/>
      </w:pPr>
      <w:r>
        <w:t xml:space="preserve">De Cock, B., Nieboer, D., Van Calster, B., Steyerberg, E. W., &amp; Vergouwe, Y. (2025).</w:t>
      </w:r>
      <w:r>
        <w:t xml:space="preserve"> </w:t>
      </w:r>
      <w:r>
        <w:rPr>
          <w:i/>
          <w:iCs/>
        </w:rPr>
        <w:t xml:space="preserve">The</w:t>
      </w:r>
      <w:r>
        <w:rPr>
          <w:i/>
          <w:iCs/>
        </w:rPr>
        <w:t xml:space="preserve"> </w:t>
      </w:r>
      <w:r>
        <w:rPr>
          <w:i/>
          <w:iCs/>
        </w:rPr>
        <w:t xml:space="preserve">CalibrationCurves</w:t>
      </w:r>
      <w:r>
        <w:rPr>
          <w:i/>
          <w:iCs/>
        </w:rPr>
        <w:t xml:space="preserve"> </w:t>
      </w:r>
      <w:r>
        <w:rPr>
          <w:i/>
          <w:iCs/>
        </w:rPr>
        <w:t xml:space="preserve">package: Assessing the agreement between observed outcomes and predictions</w:t>
      </w:r>
      <w:r>
        <w:t xml:space="preserve">.</w:t>
      </w:r>
      <w:r>
        <w:t xml:space="preserve"> </w:t>
      </w:r>
      <w:hyperlink r:id="rId101">
        <w:r>
          <w:rPr>
            <w:rStyle w:val="Hyperlink"/>
          </w:rPr>
          <w:t xml:space="preserve">https://doi.org/10.32614/CRAN.package.CalibrationCurves</w:t>
        </w:r>
      </w:hyperlink>
    </w:p>
    <w:bookmarkEnd w:id="102"/>
    <w:bookmarkStart w:id="104" w:name="X9df5917af8f84de39d37f25bb914b381b4d01ad"/>
    <w:p>
      <w:pPr>
        <w:pStyle w:val="Bibliography"/>
      </w:pPr>
      <w:r>
        <w:t xml:space="preserve">Földváry Ličina, V., Cheung, T., Zhang, H., Dear, R. de, Parkinson, T., Arens, E., Chun, C., Schiavon, S., Luo, M., Brager, G., Li, P., Kaam, S., Adebamowo, M. A., Andamon, M. M., Babich, F., Bouden, C., Bukovianska, H., Candido, C., Cao, B., … Zhou, X. (2018).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w:t>
      </w:r>
      <w:r>
        <w:t xml:space="preserve"> </w:t>
      </w:r>
      <w:r>
        <w:rPr>
          <w:i/>
          <w:iCs/>
        </w:rPr>
        <w:t xml:space="preserve">Building and Environment</w:t>
      </w:r>
      <w:r>
        <w:t xml:space="preserve">,</w:t>
      </w:r>
      <w:r>
        <w:t xml:space="preserve"> </w:t>
      </w:r>
      <w:r>
        <w:rPr>
          <w:i/>
          <w:iCs/>
        </w:rPr>
        <w:t xml:space="preserve">142</w:t>
      </w:r>
      <w:r>
        <w:t xml:space="preserve">, 502–512.</w:t>
      </w:r>
      <w:r>
        <w:t xml:space="preserve"> </w:t>
      </w:r>
      <w:hyperlink r:id="rId103">
        <w:r>
          <w:rPr>
            <w:rStyle w:val="Hyperlink"/>
          </w:rPr>
          <w:t xml:space="preserve">https://doi.org/10.1016/j.buildenv.2018.06.022</w:t>
        </w:r>
      </w:hyperlink>
    </w:p>
    <w:bookmarkEnd w:id="104"/>
    <w:bookmarkStart w:id="105" w:name="ref-heiselbergDraftComfortReview1994"/>
    <w:p>
      <w:pPr>
        <w:pStyle w:val="Bibliography"/>
      </w:pPr>
      <w:r>
        <w:t xml:space="preserve">Heiselberg, P. (1994). Draft from cold vertical surfaces: A review of the state of the art.</w:t>
      </w:r>
      <w:r>
        <w:t xml:space="preserve"> </w:t>
      </w:r>
      <w:r>
        <w:rPr>
          <w:i/>
          <w:iCs/>
        </w:rPr>
        <w:t xml:space="preserve">ASHRAE Transactions</w:t>
      </w:r>
      <w:r>
        <w:t xml:space="preserve">,</w:t>
      </w:r>
      <w:r>
        <w:t xml:space="preserve"> </w:t>
      </w:r>
      <w:r>
        <w:rPr>
          <w:i/>
          <w:iCs/>
        </w:rPr>
        <w:t xml:space="preserve">100</w:t>
      </w:r>
      <w:r>
        <w:t xml:space="preserve">, 1073–1081.</w:t>
      </w:r>
    </w:p>
    <w:bookmarkEnd w:id="105"/>
    <w:bookmarkStart w:id="106" w:name="ref-KenshaloCoolThresholds1968"/>
    <w:p>
      <w:pPr>
        <w:pStyle w:val="Bibliography"/>
      </w:pPr>
      <w:r>
        <w:t xml:space="preserve">Kenshalo, D. R., Holmes, C. E., &amp; Wood, P. B. (1968).</w:t>
      </w:r>
      <w:r>
        <w:t xml:space="preserve"> </w:t>
      </w:r>
      <w:r>
        <w:rPr>
          <w:i/>
          <w:iCs/>
        </w:rPr>
        <w:t xml:space="preserve">Warm and cool thresholds as a function of rate of stimulus temperature change</w:t>
      </w:r>
      <w:r>
        <w:t xml:space="preserve">.</w:t>
      </w:r>
      <w:r>
        <w:t xml:space="preserve"> </w:t>
      </w:r>
      <w:r>
        <w:rPr>
          <w:i/>
          <w:iCs/>
        </w:rPr>
        <w:t xml:space="preserve">3</w:t>
      </w:r>
      <w:r>
        <w:t xml:space="preserve">, 81–84.</w:t>
      </w:r>
    </w:p>
    <w:bookmarkEnd w:id="106"/>
    <w:bookmarkStart w:id="108" w:name="ref-lee3DQuantificationMicroclimate2007"/>
    <w:p>
      <w:pPr>
        <w:pStyle w:val="Bibliography"/>
      </w:pPr>
      <w:r>
        <w:t xml:space="preserve">Lee, Y., Hong, K., &amp; Hong, S.-A. (2007). 3D quantification of microclimate volume in layered clothing for the prediction of clothing insulation.</w:t>
      </w:r>
      <w:r>
        <w:t xml:space="preserve"> </w:t>
      </w:r>
      <w:r>
        <w:rPr>
          <w:i/>
          <w:iCs/>
        </w:rPr>
        <w:t xml:space="preserve">Applied Ergonomics</w:t>
      </w:r>
      <w:r>
        <w:t xml:space="preserve">,</w:t>
      </w:r>
      <w:r>
        <w:t xml:space="preserve"> </w:t>
      </w:r>
      <w:r>
        <w:rPr>
          <w:i/>
          <w:iCs/>
        </w:rPr>
        <w:t xml:space="preserve">38</w:t>
      </w:r>
      <w:r>
        <w:t xml:space="preserve">(3), 349–355.</w:t>
      </w:r>
      <w:r>
        <w:t xml:space="preserve"> </w:t>
      </w:r>
      <w:hyperlink r:id="rId107">
        <w:r>
          <w:rPr>
            <w:rStyle w:val="Hyperlink"/>
          </w:rPr>
          <w:t xml:space="preserve">https://doi.org/10.1016/j.apergo.2006.04.017</w:t>
        </w:r>
      </w:hyperlink>
    </w:p>
    <w:bookmarkEnd w:id="108"/>
    <w:bookmarkStart w:id="110" w:name="X0e41857b9754d3f46055296e8711d0a459bcc8a"/>
    <w:p>
      <w:pPr>
        <w:pStyle w:val="Bibliography"/>
      </w:pPr>
      <w:r>
        <w:t xml:space="preserve">Liu, S., Schiavon, S., Kabanshi, A., &amp; Nazaroff, W. W. (2017). Predicted percentage dissatisfied with ankle draft.</w:t>
      </w:r>
      <w:r>
        <w:t xml:space="preserve"> </w:t>
      </w:r>
      <w:r>
        <w:rPr>
          <w:i/>
          <w:iCs/>
        </w:rPr>
        <w:t xml:space="preserve">Indoor Air</w:t>
      </w:r>
      <w:r>
        <w:t xml:space="preserve">,</w:t>
      </w:r>
      <w:r>
        <w:t xml:space="preserve"> </w:t>
      </w:r>
      <w:r>
        <w:rPr>
          <w:i/>
          <w:iCs/>
        </w:rPr>
        <w:t xml:space="preserve">27</w:t>
      </w:r>
      <w:r>
        <w:t xml:space="preserve">(4), 852–862.</w:t>
      </w:r>
      <w:r>
        <w:t xml:space="preserve"> </w:t>
      </w:r>
      <w:hyperlink r:id="rId109">
        <w:r>
          <w:rPr>
            <w:rStyle w:val="Hyperlink"/>
          </w:rPr>
          <w:t xml:space="preserve">https://doi.org/10.1111/ina.12364</w:t>
        </w:r>
      </w:hyperlink>
    </w:p>
    <w:bookmarkEnd w:id="110"/>
    <w:bookmarkStart w:id="112" w:name="ref-lyonsWindowPerformanceHuman1999"/>
    <w:p>
      <w:pPr>
        <w:pStyle w:val="Bibliography"/>
      </w:pPr>
      <w:r>
        <w:t xml:space="preserve">Lyons, P., Arasteh, D., &amp; Huizenga, C. (1999).</w:t>
      </w:r>
      <w:r>
        <w:t xml:space="preserve"> </w:t>
      </w:r>
      <w:r>
        <w:rPr>
          <w:i/>
          <w:iCs/>
        </w:rPr>
        <w:t xml:space="preserve">Window</w:t>
      </w:r>
      <w:r>
        <w:rPr>
          <w:i/>
          <w:iCs/>
        </w:rPr>
        <w:t xml:space="preserve"> </w:t>
      </w:r>
      <w:r>
        <w:rPr>
          <w:i/>
          <w:iCs/>
        </w:rPr>
        <w:t xml:space="preserve">Performance</w:t>
      </w:r>
      <w:r>
        <w:rPr>
          <w:i/>
          <w:iCs/>
        </w:rPr>
        <w:t xml:space="preserve"> </w:t>
      </w:r>
      <w:r>
        <w:rPr>
          <w:i/>
          <w:iCs/>
        </w:rPr>
        <w:t xml:space="preserve">for</w:t>
      </w:r>
      <w:r>
        <w:rPr>
          <w:i/>
          <w:iCs/>
        </w:rPr>
        <w:t xml:space="preserve"> </w:t>
      </w:r>
      <w:r>
        <w:rPr>
          <w:i/>
          <w:iCs/>
        </w:rPr>
        <w:t xml:space="preserve">Human</w:t>
      </w:r>
      <w:r>
        <w:rPr>
          <w:i/>
          <w:iCs/>
        </w:rPr>
        <w:t xml:space="preserve"> </w:t>
      </w:r>
      <w:r>
        <w:rPr>
          <w:i/>
          <w:iCs/>
        </w:rPr>
        <w:t xml:space="preserve">Thermal</w:t>
      </w:r>
      <w:r>
        <w:rPr>
          <w:i/>
          <w:iCs/>
        </w:rPr>
        <w:t xml:space="preserve"> </w:t>
      </w:r>
      <w:r>
        <w:rPr>
          <w:i/>
          <w:iCs/>
        </w:rPr>
        <w:t xml:space="preserve">Comfort</w:t>
      </w:r>
      <w:r>
        <w:t xml:space="preserve"> </w:t>
      </w:r>
      <w:r>
        <w:t xml:space="preserve">(LBNL-44032). Ernest Orlando Lawrence Berkeley National Laboratory.</w:t>
      </w:r>
      <w:r>
        <w:t xml:space="preserve"> </w:t>
      </w:r>
      <w:hyperlink r:id="rId111">
        <w:r>
          <w:rPr>
            <w:rStyle w:val="Hyperlink"/>
          </w:rPr>
          <w:t xml:space="preserve">https://windows.lbl.gov/sites/default/files/lbnl-44032.pdf</w:t>
        </w:r>
      </w:hyperlink>
    </w:p>
    <w:bookmarkEnd w:id="112"/>
    <w:bookmarkStart w:id="114" w:name="ref-neuhausKalbfleischHauck1991"/>
    <w:p>
      <w:pPr>
        <w:pStyle w:val="Bibliography"/>
      </w:pPr>
      <w:r>
        <w:t xml:space="preserve">Neuhaus, J. M., Kalbfleisch, J. D., &amp; Hauck, W. W. (1991). A comparison of cluster-specific and population-averaged approaches for analyzing correlated binary data.</w:t>
      </w:r>
      <w:r>
        <w:t xml:space="preserve"> </w:t>
      </w:r>
      <w:r>
        <w:rPr>
          <w:i/>
          <w:iCs/>
        </w:rPr>
        <w:t xml:space="preserve">International Statistical Review</w:t>
      </w:r>
      <w:r>
        <w:t xml:space="preserve">,</w:t>
      </w:r>
      <w:r>
        <w:t xml:space="preserve"> </w:t>
      </w:r>
      <w:r>
        <w:rPr>
          <w:i/>
          <w:iCs/>
        </w:rPr>
        <w:t xml:space="preserve">59</w:t>
      </w:r>
      <w:r>
        <w:t xml:space="preserve">(1), 25–36.</w:t>
      </w:r>
      <w:r>
        <w:t xml:space="preserve"> </w:t>
      </w:r>
      <w:hyperlink r:id="rId113">
        <w:r>
          <w:rPr>
            <w:rStyle w:val="Hyperlink"/>
          </w:rPr>
          <w:t xml:space="preserve">https://doi.org/10.2307/1403572</w:t>
        </w:r>
      </w:hyperlink>
    </w:p>
    <w:bookmarkEnd w:id="114"/>
    <w:bookmarkStart w:id="116" w:name="ref-schiavonSensationDraftUncovered2016"/>
    <w:p>
      <w:pPr>
        <w:pStyle w:val="Bibliography"/>
      </w:pPr>
      <w:r>
        <w:t xml:space="preserve">Schiavon, S., Rim, D., Pasut, W., &amp; Nazaroff, W. W. (2016). Sensation of draft at uncovered ankles for women exposed to displacement ventilation and underfloor air distribution systems.</w:t>
      </w:r>
      <w:r>
        <w:t xml:space="preserve"> </w:t>
      </w:r>
      <w:r>
        <w:rPr>
          <w:i/>
          <w:iCs/>
        </w:rPr>
        <w:t xml:space="preserve">Building and Environment</w:t>
      </w:r>
      <w:r>
        <w:t xml:space="preserve">,</w:t>
      </w:r>
      <w:r>
        <w:t xml:space="preserve"> </w:t>
      </w:r>
      <w:r>
        <w:rPr>
          <w:i/>
          <w:iCs/>
        </w:rPr>
        <w:t xml:space="preserve">96</w:t>
      </w:r>
      <w:r>
        <w:t xml:space="preserve">, 228–236.</w:t>
      </w:r>
      <w:r>
        <w:t xml:space="preserve"> </w:t>
      </w:r>
      <w:hyperlink r:id="rId115">
        <w:r>
          <w:rPr>
            <w:rStyle w:val="Hyperlink"/>
          </w:rPr>
          <w:t xml:space="preserve">https://doi.org/10.1016/j.buildenv.2015.11.009</w:t>
        </w:r>
      </w:hyperlink>
    </w:p>
    <w:bookmarkEnd w:id="116"/>
    <w:bookmarkStart w:id="118" w:name="ref-schweikerThermalExpectation2020"/>
    <w:p>
      <w:pPr>
        <w:pStyle w:val="Bibliography"/>
      </w:pPr>
      <w:r>
        <w:t xml:space="preserve">Schweiker, M., Rissetto, R., &amp; Wagner, A. (2020). Thermal expectation: Influencing factors and its effect on thermal perception.</w:t>
      </w:r>
      <w:r>
        <w:t xml:space="preserve"> </w:t>
      </w:r>
      <w:r>
        <w:rPr>
          <w:i/>
          <w:iCs/>
        </w:rPr>
        <w:t xml:space="preserve">Energy and Buildings</w:t>
      </w:r>
      <w:r>
        <w:t xml:space="preserve">,</w:t>
      </w:r>
      <w:r>
        <w:t xml:space="preserve"> </w:t>
      </w:r>
      <w:r>
        <w:rPr>
          <w:i/>
          <w:iCs/>
        </w:rPr>
        <w:t xml:space="preserve">210</w:t>
      </w:r>
      <w:r>
        <w:t xml:space="preserve">, 109729.</w:t>
      </w:r>
      <w:r>
        <w:t xml:space="preserve"> </w:t>
      </w:r>
      <w:hyperlink r:id="rId117">
        <w:r>
          <w:rPr>
            <w:rStyle w:val="Hyperlink"/>
          </w:rPr>
          <w:t xml:space="preserve">https://doi.org/10.1016/j.enbuild.2019.109729</w:t>
        </w:r>
      </w:hyperlink>
    </w:p>
    <w:bookmarkEnd w:id="118"/>
    <w:bookmarkStart w:id="120" w:name="ref-stelproCommercialBaseboardCBF2026"/>
    <w:p>
      <w:pPr>
        <w:pStyle w:val="Bibliography"/>
      </w:pPr>
      <w:r>
        <w:t xml:space="preserve">Stelpro. (2026).</w:t>
      </w:r>
      <w:r>
        <w:t xml:space="preserve"> </w:t>
      </w:r>
      <w:r>
        <w:rPr>
          <w:i/>
          <w:iCs/>
        </w:rPr>
        <w:t xml:space="preserve">Commercial baseboard heater (</w:t>
      </w:r>
      <w:r>
        <w:rPr>
          <w:i/>
          <w:iCs/>
        </w:rPr>
        <w:t xml:space="preserve">CBF</w:t>
      </w:r>
      <w:r>
        <w:rPr>
          <w:i/>
          <w:iCs/>
        </w:rPr>
        <w:t xml:space="preserve"> </w:t>
      </w:r>
      <w:r>
        <w:rPr>
          <w:i/>
          <w:iCs/>
        </w:rPr>
        <w:t xml:space="preserve">series) selection table</w:t>
      </w:r>
      <w:r>
        <w:t xml:space="preserve">.</w:t>
      </w:r>
      <w:r>
        <w:t xml:space="preserve"> </w:t>
      </w:r>
      <w:hyperlink r:id="rId119">
        <w:r>
          <w:rPr>
            <w:rStyle w:val="Hyperlink"/>
          </w:rPr>
          <w:t xml:space="preserve">https://assets.gordonelectricsupply.com/datasheets/ts/STLPROE00012_51_50.pdf</w:t>
        </w:r>
      </w:hyperlink>
      <w:r>
        <w:t xml:space="preserve">.</w:t>
      </w:r>
    </w:p>
    <w:bookmarkEnd w:id="120"/>
    <w:bookmarkStart w:id="122" w:name="ref-tartariniCBEThermalComfort2020"/>
    <w:p>
      <w:pPr>
        <w:pStyle w:val="Bibliography"/>
      </w:pPr>
      <w:r>
        <w:t xml:space="preserve">Tartarini, F., Schiavon, S., Cheung, T., &amp; Hoyt, T. (2020). CBE thermal comfort tool: Online tool for thermal comfort calculations and visualizations.</w:t>
      </w:r>
      <w:r>
        <w:t xml:space="preserve"> </w:t>
      </w:r>
      <w:r>
        <w:rPr>
          <w:i/>
          <w:iCs/>
        </w:rPr>
        <w:t xml:space="preserve">SoftwareX</w:t>
      </w:r>
      <w:r>
        <w:t xml:space="preserve">,</w:t>
      </w:r>
      <w:r>
        <w:t xml:space="preserve"> </w:t>
      </w:r>
      <w:r>
        <w:rPr>
          <w:i/>
          <w:iCs/>
        </w:rPr>
        <w:t xml:space="preserve">12</w:t>
      </w:r>
      <w:r>
        <w:t xml:space="preserve">, 100563. https://doi.org/</w:t>
      </w:r>
      <w:hyperlink r:id="rId121">
        <w:r>
          <w:rPr>
            <w:rStyle w:val="Hyperlink"/>
          </w:rPr>
          <w:t xml:space="preserve">https://doi.org/10.1016/j.softx.2020.100563</w:t>
        </w:r>
      </w:hyperlink>
    </w:p>
    <w:bookmarkEnd w:id="122"/>
    <w:bookmarkStart w:id="124" w:name="Xc6822f8f52189dbfe9f84a83a245251ba38a71f"/>
    <w:p>
      <w:pPr>
        <w:pStyle w:val="Bibliography"/>
      </w:pPr>
      <w:r>
        <w:t xml:space="preserve">Toftum, J., &amp; Nielsen, R. (1996). Draught sensitivity is influenced by general thermal sensation.</w:t>
      </w:r>
      <w:r>
        <w:t xml:space="preserve"> </w:t>
      </w:r>
      <w:r>
        <w:rPr>
          <w:i/>
          <w:iCs/>
        </w:rPr>
        <w:t xml:space="preserve">International Journal of Industrial Ergonomics</w:t>
      </w:r>
      <w:r>
        <w:t xml:space="preserve">,</w:t>
      </w:r>
      <w:r>
        <w:t xml:space="preserve"> </w:t>
      </w:r>
      <w:r>
        <w:rPr>
          <w:i/>
          <w:iCs/>
        </w:rPr>
        <w:t xml:space="preserve">18</w:t>
      </w:r>
      <w:r>
        <w:t xml:space="preserve">, 295–305.</w:t>
      </w:r>
      <w:r>
        <w:t xml:space="preserve"> </w:t>
      </w:r>
      <w:hyperlink r:id="rId123">
        <w:r>
          <w:rPr>
            <w:rStyle w:val="Hyperlink"/>
          </w:rPr>
          <w:t xml:space="preserve">https://doi.org/10.1016/0169-8141(95)00070-4</w:t>
        </w:r>
      </w:hyperlink>
    </w:p>
    <w:bookmarkEnd w:id="124"/>
    <w:bookmarkStart w:id="126" w:name="ref-vancalster2016"/>
    <w:p>
      <w:pPr>
        <w:pStyle w:val="Bibliography"/>
      </w:pPr>
      <w:r>
        <w:t xml:space="preserve">Van Calster, B., Nieboer, D., Vergouwe, Y., De Cock, B., Pencina, M. J., &amp; Steyerberg, E. W. (2016). A calibration hierarchy for risk models was defined: From utopia to empirical data.</w:t>
      </w:r>
      <w:r>
        <w:t xml:space="preserve"> </w:t>
      </w:r>
      <w:r>
        <w:rPr>
          <w:i/>
          <w:iCs/>
        </w:rPr>
        <w:t xml:space="preserve">Journal of Clinical Epidemiology</w:t>
      </w:r>
      <w:r>
        <w:t xml:space="preserve">,</w:t>
      </w:r>
      <w:r>
        <w:t xml:space="preserve"> </w:t>
      </w:r>
      <w:r>
        <w:rPr>
          <w:i/>
          <w:iCs/>
        </w:rPr>
        <w:t xml:space="preserve">74</w:t>
      </w:r>
      <w:r>
        <w:t xml:space="preserve">, 167–176. https://doi.org/</w:t>
      </w:r>
      <w:hyperlink r:id="rId125">
        <w:r>
          <w:rPr>
            <w:rStyle w:val="Hyperlink"/>
          </w:rPr>
          <w:t xml:space="preserve">https://doi.org/10.1016/j.jclinepi.2015.12.005</w:t>
        </w:r>
      </w:hyperlink>
    </w:p>
    <w:bookmarkEnd w:id="126"/>
    <w:bookmarkStart w:id="128" w:name="ref-xuPerceivedControlWinter2021"/>
    <w:p>
      <w:pPr>
        <w:pStyle w:val="Bibliography"/>
      </w:pPr>
      <w:r>
        <w:t xml:space="preserve">Xu, C., &amp; Li, S. (2021). Influence of perceived control on thermal comfort in winter,</w:t>
      </w:r>
      <w:r>
        <w:t xml:space="preserve"> </w:t>
      </w:r>
      <w:r>
        <w:t xml:space="preserve">A</w:t>
      </w:r>
      <w:r>
        <w:t xml:space="preserve"> </w:t>
      </w:r>
      <w:r>
        <w:t xml:space="preserve">case study in hot summer and cold winter zone in</w:t>
      </w:r>
      <w:r>
        <w:t xml:space="preserve"> </w:t>
      </w:r>
      <w:r>
        <w:t xml:space="preserve">China</w:t>
      </w:r>
      <w:r>
        <w:t xml:space="preserve">.</w:t>
      </w:r>
      <w:r>
        <w:t xml:space="preserve"> </w:t>
      </w:r>
      <w:r>
        <w:rPr>
          <w:i/>
          <w:iCs/>
        </w:rPr>
        <w:t xml:space="preserve">Journal of Building Engineering</w:t>
      </w:r>
      <w:r>
        <w:t xml:space="preserve">,</w:t>
      </w:r>
      <w:r>
        <w:t xml:space="preserve"> </w:t>
      </w:r>
      <w:r>
        <w:rPr>
          <w:i/>
          <w:iCs/>
        </w:rPr>
        <w:t xml:space="preserve">40</w:t>
      </w:r>
      <w:r>
        <w:t xml:space="preserve">, 102389.</w:t>
      </w:r>
      <w:r>
        <w:t xml:space="preserve"> </w:t>
      </w:r>
      <w:hyperlink r:id="rId127">
        <w:r>
          <w:rPr>
            <w:rStyle w:val="Hyperlink"/>
          </w:rPr>
          <w:t xml:space="preserve">https://doi.org/10.1016/j.jobe.2021.102389</w:t>
        </w:r>
      </w:hyperlink>
    </w:p>
    <w:bookmarkEnd w:id="128"/>
    <w:bookmarkStart w:id="130" w:name="ref-zhangGroupPerceptionFeedback2022"/>
    <w:p>
      <w:pPr>
        <w:pStyle w:val="Bibliography"/>
      </w:pPr>
      <w:r>
        <w:t xml:space="preserve">Zhang, Z., Lin, B., Geng, Y., Zhou, H., Wu, X., &amp; Zhang, C. (2022). The effect of temperature and group perception feedbacks on thermal comfort.</w:t>
      </w:r>
      <w:r>
        <w:t xml:space="preserve"> </w:t>
      </w:r>
      <w:r>
        <w:rPr>
          <w:i/>
          <w:iCs/>
        </w:rPr>
        <w:t xml:space="preserve">Energy and Buildings</w:t>
      </w:r>
      <w:r>
        <w:t xml:space="preserve">,</w:t>
      </w:r>
      <w:r>
        <w:t xml:space="preserve"> </w:t>
      </w:r>
      <w:r>
        <w:rPr>
          <w:i/>
          <w:iCs/>
        </w:rPr>
        <w:t xml:space="preserve">254</w:t>
      </w:r>
      <w:r>
        <w:t xml:space="preserve">, 111603.</w:t>
      </w:r>
      <w:r>
        <w:t xml:space="preserve"> </w:t>
      </w:r>
      <w:hyperlink r:id="rId129">
        <w:r>
          <w:rPr>
            <w:rStyle w:val="Hyperlink"/>
          </w:rPr>
          <w:t xml:space="preserve">https://doi.org/10.1016/j.enbuild.2021.111603</w:t>
        </w:r>
      </w:hyperlink>
    </w:p>
    <w:bookmarkEnd w:id="130"/>
    <w:bookmarkStart w:id="132" w:name="ref-zhouDraughtSensationAssessment2022"/>
    <w:p>
      <w:pPr>
        <w:pStyle w:val="Bibliography"/>
      </w:pPr>
      <w:r>
        <w:t xml:space="preserve">Zhou, B., Yang, B., Wu, M., Guo, Y., Wang, F., &amp; Li, A. (2022). Draught sensation assessment in an occupied space heated by stratified ventilation system: Attachment ventilation with relayed fans.</w:t>
      </w:r>
      <w:r>
        <w:t xml:space="preserve"> </w:t>
      </w:r>
      <w:r>
        <w:rPr>
          <w:i/>
          <w:iCs/>
        </w:rPr>
        <w:t xml:space="preserve">Building and Environment</w:t>
      </w:r>
      <w:r>
        <w:t xml:space="preserve">,</w:t>
      </w:r>
      <w:r>
        <w:t xml:space="preserve"> </w:t>
      </w:r>
      <w:r>
        <w:rPr>
          <w:i/>
          <w:iCs/>
        </w:rPr>
        <w:t xml:space="preserve">207</w:t>
      </w:r>
      <w:r>
        <w:t xml:space="preserve">, 108500.</w:t>
      </w:r>
      <w:r>
        <w:t xml:space="preserve"> </w:t>
      </w:r>
      <w:hyperlink r:id="rId131">
        <w:r>
          <w:rPr>
            <w:rStyle w:val="Hyperlink"/>
          </w:rPr>
          <w:t xml:space="preserve">https://doi.org/10.1016/j.buildenv.2021.108500</w:t>
        </w:r>
      </w:hyperlink>
    </w:p>
    <w:bookmarkEnd w:id="132"/>
    <w:bookmarkEnd w:id="133"/>
    <w:bookmarkEnd w:id="134"/>
    <w:sectPr w:rsidR="008874BC" w:rsidRPr="004946A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5049132" w:numId="1">
    <w:abstractNumId w:val="0"/>
  </w:num>
  <w:num w16cid:durableId="802499594"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A3E0A"/>
    <w:rsid w:val="00E10DC5"/>
    <w:rsid w:val="00E37D37"/>
    <w:rsid w:val="00F042C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62035C"/>
    <w:pPr>
      <w:snapToGrid w:val="0"/>
      <w:spacing w:after="60" w:before="60"/>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42" Target="media/rId42.png" /><Relationship Type="http://schemas.openxmlformats.org/officeDocument/2006/relationships/image" Id="rId61" Target="media/rId61.png" /><Relationship Type="http://schemas.openxmlformats.org/officeDocument/2006/relationships/hyperlink" Id="rId119" Target="https://assets.gordonelectricsupply.com/datasheets/ts/STLPROE00012_51_50.pdf" TargetMode="External" /><Relationship Type="http://schemas.openxmlformats.org/officeDocument/2006/relationships/hyperlink" Id="rId123" Target="https://doi.org/10.1016/0169-8141(95)00070-4" TargetMode="External" /><Relationship Type="http://schemas.openxmlformats.org/officeDocument/2006/relationships/hyperlink" Id="rId107" Target="https://doi.org/10.1016/j.apergo.2006.04.017" TargetMode="External" /><Relationship Type="http://schemas.openxmlformats.org/officeDocument/2006/relationships/hyperlink" Id="rId98" Target="https://doi.org/10.1016/j.applthermaleng.2023.121259" TargetMode="External" /><Relationship Type="http://schemas.openxmlformats.org/officeDocument/2006/relationships/hyperlink" Id="rId115" Target="https://doi.org/10.1016/j.buildenv.2015.11.009" TargetMode="External" /><Relationship Type="http://schemas.openxmlformats.org/officeDocument/2006/relationships/hyperlink" Id="rId103" Target="https://doi.org/10.1016/j.buildenv.2018.06.022" TargetMode="External" /><Relationship Type="http://schemas.openxmlformats.org/officeDocument/2006/relationships/hyperlink" Id="rId131" Target="https://doi.org/10.1016/j.buildenv.2021.108500" TargetMode="External" /><Relationship Type="http://schemas.openxmlformats.org/officeDocument/2006/relationships/hyperlink" Id="rId117" Target="https://doi.org/10.1016/j.enbuild.2019.109729" TargetMode="External" /><Relationship Type="http://schemas.openxmlformats.org/officeDocument/2006/relationships/hyperlink" Id="rId129" Target="https://doi.org/10.1016/j.enbuild.2021.111603" TargetMode="External" /><Relationship Type="http://schemas.openxmlformats.org/officeDocument/2006/relationships/hyperlink" Id="rId125" Target="https://doi.org/10.1016/j.jclinepi.2015.12.005" TargetMode="External" /><Relationship Type="http://schemas.openxmlformats.org/officeDocument/2006/relationships/hyperlink" Id="rId127" Target="https://doi.org/10.1016/j.jobe.2021.102389" TargetMode="External" /><Relationship Type="http://schemas.openxmlformats.org/officeDocument/2006/relationships/hyperlink" Id="rId121" Target="https://doi.org/10.1016/j.softx.2020.100563" TargetMode="External" /><Relationship Type="http://schemas.openxmlformats.org/officeDocument/2006/relationships/hyperlink" Id="rId109" Target="https://doi.org/10.1111/ina.12364" TargetMode="External" /><Relationship Type="http://schemas.openxmlformats.org/officeDocument/2006/relationships/hyperlink" Id="rId96" Target="https://doi.org/10.1111/j.2517-6161.1995.tb02031.x" TargetMode="External" /><Relationship Type="http://schemas.openxmlformats.org/officeDocument/2006/relationships/hyperlink" Id="rId113" Target="https://doi.org/10.2307/1403572" TargetMode="External" /><Relationship Type="http://schemas.openxmlformats.org/officeDocument/2006/relationships/hyperlink" Id="rId101" Target="https://doi.org/10.32614/CRAN.package.CalibrationCurves" TargetMode="External" /><Relationship Type="http://schemas.openxmlformats.org/officeDocument/2006/relationships/hyperlink" Id="rId111" Target="https://windows.lbl.gov/sites/default/files/lbnl-44032.pdf"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119" Target="https://assets.gordonelectricsupply.com/datasheets/ts/STLPROE00012_51_50.pdf" TargetMode="External" /><Relationship Type="http://schemas.openxmlformats.org/officeDocument/2006/relationships/hyperlink" Id="rId123" Target="https://doi.org/10.1016/0169-8141(95)00070-4" TargetMode="External" /><Relationship Type="http://schemas.openxmlformats.org/officeDocument/2006/relationships/hyperlink" Id="rId107" Target="https://doi.org/10.1016/j.apergo.2006.04.017" TargetMode="External" /><Relationship Type="http://schemas.openxmlformats.org/officeDocument/2006/relationships/hyperlink" Id="rId98" Target="https://doi.org/10.1016/j.applthermaleng.2023.121259" TargetMode="External" /><Relationship Type="http://schemas.openxmlformats.org/officeDocument/2006/relationships/hyperlink" Id="rId115" Target="https://doi.org/10.1016/j.buildenv.2015.11.009" TargetMode="External" /><Relationship Type="http://schemas.openxmlformats.org/officeDocument/2006/relationships/hyperlink" Id="rId103" Target="https://doi.org/10.1016/j.buildenv.2018.06.022" TargetMode="External" /><Relationship Type="http://schemas.openxmlformats.org/officeDocument/2006/relationships/hyperlink" Id="rId131" Target="https://doi.org/10.1016/j.buildenv.2021.108500" TargetMode="External" /><Relationship Type="http://schemas.openxmlformats.org/officeDocument/2006/relationships/hyperlink" Id="rId117" Target="https://doi.org/10.1016/j.enbuild.2019.109729" TargetMode="External" /><Relationship Type="http://schemas.openxmlformats.org/officeDocument/2006/relationships/hyperlink" Id="rId129" Target="https://doi.org/10.1016/j.enbuild.2021.111603" TargetMode="External" /><Relationship Type="http://schemas.openxmlformats.org/officeDocument/2006/relationships/hyperlink" Id="rId125" Target="https://doi.org/10.1016/j.jclinepi.2015.12.005" TargetMode="External" /><Relationship Type="http://schemas.openxmlformats.org/officeDocument/2006/relationships/hyperlink" Id="rId127" Target="https://doi.org/10.1016/j.jobe.2021.102389" TargetMode="External" /><Relationship Type="http://schemas.openxmlformats.org/officeDocument/2006/relationships/hyperlink" Id="rId121" Target="https://doi.org/10.1016/j.softx.2020.100563" TargetMode="External" /><Relationship Type="http://schemas.openxmlformats.org/officeDocument/2006/relationships/hyperlink" Id="rId109" Target="https://doi.org/10.1111/ina.12364" TargetMode="External" /><Relationship Type="http://schemas.openxmlformats.org/officeDocument/2006/relationships/hyperlink" Id="rId96" Target="https://doi.org/10.1111/j.2517-6161.1995.tb02031.x" TargetMode="External" /><Relationship Type="http://schemas.openxmlformats.org/officeDocument/2006/relationships/hyperlink" Id="rId113" Target="https://doi.org/10.2307/1403572" TargetMode="External" /><Relationship Type="http://schemas.openxmlformats.org/officeDocument/2006/relationships/hyperlink" Id="rId101" Target="https://doi.org/10.32614/CRAN.package.CalibrationCurves" TargetMode="External" /><Relationship Type="http://schemas.openxmlformats.org/officeDocument/2006/relationships/hyperlink" Id="rId111" Target="https://windows.lbl.gov/sites/default/files/lbnl-44032.pdf"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63</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Thermal comfort responses to ankle-level draft under winter clothing conditions</dc:title>
  <dc:creator>Tobias Kramer1,✉, Junmeng Lyu1,4, and Stefano Schiavon1,2,3</dc:creator>
  <cp:keywords/>
  <dcterms:created xsi:type="dcterms:W3CDTF">2026-04-29T21:27:19Z</dcterms:created>
  <dcterms:modified xsi:type="dcterms:W3CDTF">2026-04-29T21:27:19Z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2026-04-29</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