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32.jpg" ContentType="image/jpeg"/>
  <Override PartName="/word/media/rId41.jpg" ContentType="image/jpeg"/>
  <Override PartName="/word/media/rId29.jpg" ContentType="image/jpeg"/>
  <Override PartName="/word/media/rId23.jpg" ContentType="image/jpeg"/>
  <Override PartName="/word/media/rId38.jpg" ContentType="image/jpeg"/>
  <Override PartName="/word/media/rId26.jpg" ContentType="image/jpeg"/>
  <Override PartName="/word/media/rId47.jpg" ContentType="image/jpeg"/>
  <Override PartName="/word/media/rId44.jpg" ContentType="image/jpeg"/>
  <Override PartName="/word/media/rId35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CaptionedFigure"/>
      </w:pPr>
      <w:r>
        <w:drawing>
          <wp:inline>
            <wp:extent cx="5943600" cy="4457700"/>
            <wp:effectExtent b="0" l="0" r="0" t="0"/>
            <wp:docPr descr="Figure 1: Site summary of the filtered buildings from BDG2 dataset (counts &lt; 10 are omitted for visualization; left: aggregated counts of buildings for each type; right: breakdown building counts for each building type at each location)" title="" id="21" name="Picture"/>
            <a:graphic>
              <a:graphicData uri="http://schemas.openxmlformats.org/drawingml/2006/picture">
                <pic:pic>
                  <pic:nvPicPr>
                    <pic:cNvPr descr="../figs/supplementary/figs/stablesite-1.jpe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Site summary of the filtered buildings from BDG2 dataset (counts &lt; 10 are omitted for visualization; left: aggregated counts of buildings for each type; right: breakdown building counts for each building type at each location)</w:t>
      </w:r>
    </w:p>
    <w:p>
      <w:pPr>
        <w:pStyle w:val="CaptionedFigure"/>
      </w:pPr>
      <w:r>
        <w:drawing>
          <wp:inline>
            <wp:extent cx="5943600" cy="2971800"/>
            <wp:effectExtent b="0" l="0" r="0" t="0"/>
            <wp:docPr descr="Figure 2: Proposed intervention strategy: chilled water supply temperature reset based on outdoor temperature." title="" id="24" name="Picture"/>
            <a:graphic>
              <a:graphicData uri="http://schemas.openxmlformats.org/drawingml/2006/picture">
                <pic:pic>
                  <pic:nvPicPr>
                    <pic:cNvPr descr="../figs/supplementary/figs/chwst-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Proposed intervention strategy: chilled water supply temperature reset based on outdoor temperature.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3: Distribution of estimated deviation (without absolute calculation) from the ground-truth savings calculated by the two M&amp;V methods (red dashed line highlighting 0% error)" title="" id="27" name="Picture"/>
            <a:graphic>
              <a:graphicData uri="http://schemas.openxmlformats.org/drawingml/2006/picture">
                <pic:pic>
                  <pic:nvPicPr>
                    <pic:cNvPr descr="../figs/supplementary/figs/meanerr-1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Distribution of estimated deviation (without absolute calculation) from the ground-truth savings calculated by the two M&amp;V methods (red dashed line highlighting 0% error)</w:t>
      </w:r>
    </w:p>
    <w:p>
      <w:pPr>
        <w:pStyle w:val="CaptionedFigure"/>
      </w:pPr>
      <w:r>
        <w:drawing>
          <wp:inline>
            <wp:extent cx="5943600" cy="2641600"/>
            <wp:effectExtent b="0" l="0" r="0" t="0"/>
            <wp:docPr descr="Figure 4: Comparison between the two M&amp;V methods in detecting no intervention effect when buildings are subject to baseline change." title="" id="30" name="Picture"/>
            <a:graphic>
              <a:graphicData uri="http://schemas.openxmlformats.org/drawingml/2006/picture">
                <pic:pic>
                  <pic:nvPicPr>
                    <pic:cNvPr descr="../figs/supplementary/figs/absnull-1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Comparison between the two M&amp;V methods in detecting no intervention effect when buildings are subject to baseline change.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5: Comparison of different sampling ratio impact on M&amp;V estimation accuracy over the entire 24 months (previous results of sampling at 50%/50% shown on the left side of the red dashed line)" title="" id="33" name="Picture"/>
            <a:graphic>
              <a:graphicData uri="http://schemas.openxmlformats.org/drawingml/2006/picture">
                <pic:pic>
                  <pic:nvPicPr>
                    <pic:cNvPr descr="../figs/supplementary/figs/abscont-1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Comparison of different sampling ratio impact on M&amp;V estimation accuracy over the entire 24 months (previous results of sampling at 50%/50% shown on the left side of the red dashed line)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6: Comparison of different sampling ratio impact on M&amp;V estimation accuracy using buildings with stable electricity usage over the entire 24 months (results of sampling at 50%/50% shown on the left side of the red dashed line)" title="" id="36" name="Picture"/>
            <a:graphic>
              <a:graphicData uri="http://schemas.openxmlformats.org/drawingml/2006/picture">
                <pic:pic>
                  <pic:nvPicPr>
                    <pic:cNvPr descr="../figs/supplementary/figs/stablecont-1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Comparison of different sampling ratio impact on M&amp;V estimation accuracy using buildings with stable electricity usage over the entire 24 months (results of sampling at 50%/50% shown on the left side of the red dashed line)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7: Comparison of different sampling ratio impact on M&amp;V estimation accuracy at the time of satisfying all stopping criteria (expressed without absolute calculation for errors)" title="" id="39" name="Picture"/>
            <a:graphic>
              <a:graphicData uri="http://schemas.openxmlformats.org/drawingml/2006/picture">
                <pic:pic>
                  <pic:nvPicPr>
                    <pic:cNvPr descr="../figs/supplementary/figs/meancont-1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Comparison of different sampling ratio impact on M&amp;V estimation accuracy at the time of satisfying all stopping criteria (expressed without absolute calculation for errors)</w:t>
      </w:r>
    </w:p>
    <w:p>
      <w:pPr>
        <w:pStyle w:val="CaptionedFigure"/>
      </w:pPr>
      <w:r>
        <w:drawing>
          <wp:inline>
            <wp:extent cx="5943600" cy="5283200"/>
            <wp:effectExtent b="0" l="0" r="0" t="0"/>
            <wp:docPr descr="Figure 8: Comparison of different sampling interval impact on M&amp;V estimation accuracy over the course of two years (dropped: all non-consecutive days were dropped; kept: all measurements were kept)" title="" id="42" name="Picture"/>
            <a:graphic>
              <a:graphicData uri="http://schemas.openxmlformats.org/drawingml/2006/picture">
                <pic:pic>
                  <pic:nvPicPr>
                    <pic:cNvPr descr="../figs/supplementary/figs/absint2y-1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Comparison of different sampling interval impact on M&amp;V estimation accuracy over the course of two years (dropped: all non-consecutive days were dropped; kept: all measurements were kept)</w:t>
      </w:r>
    </w:p>
    <w:p>
      <w:pPr>
        <w:pStyle w:val="CaptionedFigure"/>
      </w:pPr>
      <w:r>
        <w:drawing>
          <wp:inline>
            <wp:extent cx="5943600" cy="5283200"/>
            <wp:effectExtent b="0" l="0" r="0" t="0"/>
            <wp:docPr descr="Figure 9: Comparison of different sampling interval impact on M&amp;V estimation accuracy after satisfying all stopping criteria (without absolute calculation)" title="" id="45" name="Picture"/>
            <a:graphic>
              <a:graphicData uri="http://schemas.openxmlformats.org/drawingml/2006/picture">
                <pic:pic>
                  <pic:nvPicPr>
                    <pic:cNvPr descr="../figs/supplementary/figs/meanintspt-1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Comparison of different sampling interval impact on M&amp;V estimation accuracy after satisfying all stopping criteria (without absolute calculation)</w:t>
      </w:r>
    </w:p>
    <w:p>
      <w:pPr>
        <w:pStyle w:val="CaptionedFigure"/>
      </w:pPr>
      <w:r>
        <w:drawing>
          <wp:inline>
            <wp:extent cx="5943600" cy="5283200"/>
            <wp:effectExtent b="0" l="0" r="0" t="0"/>
            <wp:docPr descr="Figure 10: Comparison of different sampling interval impact on M&amp;V estimation accuracy over the course of the two years (without absolute calculation)" title="" id="48" name="Picture"/>
            <a:graphic>
              <a:graphicData uri="http://schemas.openxmlformats.org/drawingml/2006/picture">
                <pic:pic>
                  <pic:nvPicPr>
                    <pic:cNvPr descr="../figs/supplementary/figs/meanint2y-1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Comparison of different sampling interval impact on M&amp;V estimation accuracy over the course of the two years (without absolute calculation)</w:t>
      </w:r>
    </w:p>
    <w:p>
      <w:pPr>
        <w:pStyle w:val="CaptionedFigure"/>
      </w:pPr>
      <w:r>
        <w:drawing>
          <wp:inline>
            <wp:extent cx="5943600" cy="3169919"/>
            <wp:effectExtent b="0" l="0" r="0" t="0"/>
            <wp:docPr descr="Figure 11: Time required to satisfy all stopping criteria starting from March and using a shorter blocking period of 6 weeks" title="" id="51" name="Picture"/>
            <a:graphic>
              <a:graphicData uri="http://schemas.openxmlformats.org/drawingml/2006/picture">
                <pic:pic>
                  <pic:nvPicPr>
                    <pic:cNvPr descr="../figs/supplementary/6week_start_time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Time required to satisfy all stopping criteria starting from March and using a shorter blocking period of 6 weeks</w:t>
      </w:r>
    </w:p>
    <w:sectPr w:rsidR="00C955DE" w:rsidRPr="00C57E1C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9A10DDE4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9656C99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2">
    <w:nsid w:val="00A99411"/>
    <w:multiLevelType w:val="multilevel"/>
    <w:tmpl w:val="78F26710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3">
    <w:nsid w:val="00A99421"/>
    <w:multiLevelType w:val="multilevel"/>
    <w:tmpl w:val="74C8778C"/>
    <w:lvl w:ilvl="0">
      <w:start w:val="1"/>
      <w:numFmt w:val="decimal"/>
      <w:lvlText w:val="%1)"/>
      <w:lvlJc w:val="left"/>
      <w:pPr>
        <w:ind w:hanging="480" w:left="720"/>
      </w:pPr>
    </w:lvl>
    <w:lvl w:ilvl="1">
      <w:start w:val="1"/>
      <w:numFmt w:val="decimal"/>
      <w:lvlText w:val="%2)"/>
      <w:lvlJc w:val="left"/>
      <w:pPr>
        <w:ind w:hanging="480" w:left="1440"/>
      </w:pPr>
    </w:lvl>
    <w:lvl w:ilvl="2">
      <w:start w:val="1"/>
      <w:numFmt w:val="decimal"/>
      <w:lvlText w:val="%3)"/>
      <w:lvlJc w:val="left"/>
      <w:pPr>
        <w:ind w:hanging="480" w:left="2160"/>
      </w:pPr>
    </w:lvl>
    <w:lvl w:ilvl="3">
      <w:start w:val="1"/>
      <w:numFmt w:val="decimal"/>
      <w:lvlText w:val="%4)"/>
      <w:lvlJc w:val="left"/>
      <w:pPr>
        <w:ind w:hanging="480" w:left="2880"/>
      </w:pPr>
    </w:lvl>
    <w:lvl w:ilvl="4">
      <w:start w:val="1"/>
      <w:numFmt w:val="decimal"/>
      <w:lvlText w:val="%5)"/>
      <w:lvlJc w:val="left"/>
      <w:pPr>
        <w:ind w:hanging="480" w:left="3600"/>
      </w:pPr>
    </w:lvl>
    <w:lvl w:ilvl="5">
      <w:start w:val="1"/>
      <w:numFmt w:val="decimal"/>
      <w:lvlText w:val="%6)"/>
      <w:lvlJc w:val="left"/>
      <w:pPr>
        <w:ind w:hanging="480" w:left="4320"/>
      </w:pPr>
    </w:lvl>
    <w:lvl w:ilvl="6">
      <w:start w:val="1"/>
      <w:numFmt w:val="decimal"/>
      <w:lvlText w:val="%7)"/>
      <w:lvlJc w:val="left"/>
      <w:pPr>
        <w:ind w:hanging="480" w:left="5040"/>
      </w:pPr>
    </w:lvl>
    <w:lvl w:ilvl="7">
      <w:start w:val="1"/>
      <w:numFmt w:val="decimal"/>
      <w:lvlText w:val="%8)"/>
      <w:lvlJc w:val="left"/>
      <w:pPr>
        <w:ind w:hanging="480" w:left="5760"/>
      </w:pPr>
    </w:lvl>
    <w:lvl w:ilvl="8">
      <w:start w:val="1"/>
      <w:numFmt w:val="decimal"/>
      <w:lvlText w:val="%9)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962662570" w:numId="1">
    <w:abstractNumId w:val="0"/>
  </w:num>
  <w:num w16cid:durableId="686829732" w:numId="2">
    <w:abstractNumId w:val="1"/>
  </w:num>
  <w:num w16cid:durableId="1271274920"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611479131"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233656594"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087843543"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81040581" w:numId="7">
    <w:abstractNumId w:val="1"/>
  </w:num>
  <w:num w16cid:durableId="73014698" w:numId="8">
    <w:abstractNumId w:val="1"/>
  </w:num>
  <w:num w16cid:durableId="118690423" w:numId="9">
    <w:abstractNumId w:val="1"/>
  </w:num>
  <w:num w16cid:durableId="2064718523" w:numId="10">
    <w:abstractNumId w:val="1"/>
  </w:num>
  <w:num w16cid:durableId="479736680" w:numId="11">
    <w:abstractNumId w:val="1"/>
  </w:num>
  <w:num w16cid:durableId="382869197" w:numId="12">
    <w:abstractNumId w:val="1"/>
  </w:num>
  <w:num w16cid:durableId="543256746" w:numId="13">
    <w:abstractNumId w:val="1"/>
  </w:num>
  <w:num w16cid:durableId="1636446278" w:numId="14">
    <w:abstractNumId w:val="1"/>
  </w:num>
  <w:num w16cid:durableId="2127770922"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128348787"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A66AC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A66AC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A66AC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A66AC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A66AC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A66AC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A66AC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A66AC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A66AC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4879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C57E1C"/>
    <w:pPr>
      <w:spacing w:after="0"/>
    </w:pPr>
    <w:rPr>
      <w:sz w:val="20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A66AC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74C8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32" Target="media/rId32.jpg" /><Relationship Type="http://schemas.openxmlformats.org/officeDocument/2006/relationships/image" Id="rId41" Target="media/rId41.jpg" /><Relationship Type="http://schemas.openxmlformats.org/officeDocument/2006/relationships/image" Id="rId29" Target="media/rId29.jpg" /><Relationship Type="http://schemas.openxmlformats.org/officeDocument/2006/relationships/image" Id="rId23" Target="media/rId23.jpg" /><Relationship Type="http://schemas.openxmlformats.org/officeDocument/2006/relationships/image" Id="rId38" Target="media/rId38.jpg" /><Relationship Type="http://schemas.openxmlformats.org/officeDocument/2006/relationships/image" Id="rId26" Target="media/rId26.jpg" /><Relationship Type="http://schemas.openxmlformats.org/officeDocument/2006/relationships/image" Id="rId47" Target="media/rId47.jpg" /><Relationship Type="http://schemas.openxmlformats.org/officeDocument/2006/relationships/image" Id="rId44" Target="media/rId44.jpg" /><Relationship Type="http://schemas.openxmlformats.org/officeDocument/2006/relationships/image" Id="rId35" Target="media/rId35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</dc:title>
  <dc:creator/>
  <cp:keywords/>
  <dcterms:created xsi:type="dcterms:W3CDTF">2025-07-14T00:17:50Z</dcterms:created>
  <dcterms:modified xsi:type="dcterms:W3CDTF">2025-07-14T00:17:50Z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knit">
    <vt:lpwstr>(function(input, …) { rmarkdown::render( input, output_dir = “../paper” ) })</vt:lpwstr>
  </property>
  <property fmtid="{D5CDD505-2E9C-101B-9397-08002B2CF9AE}" pid="4" name="output">
    <vt:lpwstr/>
  </property>
</Properties>
</file>