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Revisión legal Centinelia — Pre-contrato Municipio</w:t>
      </w:r>
    </w:p>
    <w:p>
      <w:pPr>
        <w:pStyle w:val="Author"/>
      </w:pPr>
      <w:r>
        <w:t xml:space="preserve">Centinelia (Pneuma Studio)</w:t>
      </w:r>
    </w:p>
    <w:p>
      <w:pPr>
        <w:pStyle w:val="Date"/>
      </w:pPr>
      <w:r>
        <w:t xml:space="preserve">11 de agosto de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X6c2aeb660ebf133edc5adf62cfdb7304a7232b5"/>
    <w:p>
      <w:pPr>
        <w:pStyle w:val="Heading1"/>
      </w:pPr>
      <w:r>
        <w:t xml:space="preserve">Revisión legal — Centinelia pre-contrato Municipio (2026-08-11)</w:t>
      </w:r>
    </w:p>
    <w:p>
      <w:pPr>
        <w:pStyle w:val="BlockText"/>
      </w:pPr>
      <w:r>
        <w:rPr>
          <w:b/>
          <w:bCs/>
        </w:rPr>
        <w:t xml:space="preserve">Contexto:</w:t>
      </w:r>
      <w:r>
        <w:t xml:space="preserve"> </w:t>
      </w:r>
      <w:r>
        <w:t xml:space="preserve">Audit exhaustivo técnico completo (62 fixes shipped en 6 sesiones). Estos son los 10 items que quedan y</w:t>
      </w:r>
      <w:r>
        <w:t xml:space="preserve"> </w:t>
      </w:r>
      <w:r>
        <w:rPr>
          <w:b/>
          <w:bCs/>
        </w:rPr>
        <w:t xml:space="preserve">requieren tu revisión legal</w:t>
      </w:r>
      <w:r>
        <w:t xml:space="preserve"> </w:t>
      </w:r>
      <w:r>
        <w:t xml:space="preserve">antes de publicar. Cada item tiene: qué falta, por qué importa, y texto sugerido en español para acelerar tu revisión.</w:t>
      </w:r>
    </w:p>
    <w:p>
      <w:pPr>
        <w:pStyle w:val="Block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Municipio de Monterrey es cliente gobierno → LGTAIP + LFPDPPP + PCI + LFTR se aplican todos.</w:t>
      </w:r>
    </w:p>
    <w:p>
      <w:r>
        <w:pict>
          <v:rect style="width:0;height:1.5pt" o:hralign="center" o:hrstd="t" o:hr="t"/>
        </w:pict>
      </w:r>
    </w:p>
    <w:bookmarkStart w:id="9" w:name="Xd65dfea2f511ebf8e51615166ea18adf51a0cac"/>
    <w:p>
      <w:pPr>
        <w:pStyle w:val="Heading2"/>
      </w:pPr>
      <w:r>
        <w:t xml:space="preserve">🔴 CRÍTICO 1 — Publicar Política de Uso Aceptable (AUP)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En el registro Step 4 el checkbox obliga aceptar</w:t>
      </w:r>
      <w:r>
        <w:t xml:space="preserve"> </w:t>
      </w:r>
      <w:r>
        <w:rPr>
          <w:rStyle w:val="VerbatimChar"/>
        </w:rPr>
        <w:t xml:space="preserve">#aup</w:t>
      </w:r>
      <w:r>
        <w:t xml:space="preserve"> </w:t>
      </w:r>
      <w:r>
        <w:t xml:space="preserve">pero</w:t>
      </w:r>
      <w:r>
        <w:t xml:space="preserve"> </w:t>
      </w:r>
      <w:r>
        <w:rPr>
          <w:b/>
          <w:bCs/>
        </w:rPr>
        <w:t xml:space="preserve">el ancla no existe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/legal</w:t>
      </w:r>
      <w:r>
        <w:t xml:space="preserve">. Legalmente, cliente acepta política que no está publicada = consentimiento inválido.</w:t>
      </w:r>
    </w:p>
    <w:p>
      <w:pPr>
        <w:pStyle w:val="BodyText"/>
      </w:pPr>
      <w:r>
        <w:rPr>
          <w:b/>
          <w:bCs/>
        </w:rPr>
        <w:t xml:space="preserve">Ubicación código:</w:t>
      </w:r>
      <w:r>
        <w:t xml:space="preserve"> </w:t>
      </w:r>
      <w:r>
        <w:rPr>
          <w:rStyle w:val="VerbatimChar"/>
        </w:rPr>
        <w:t xml:space="preserve">src/app/legal/page.tsx</w:t>
      </w:r>
      <w:r>
        <w:t xml:space="preserve"> </w:t>
      </w:r>
      <w:r>
        <w:t xml:space="preserve">— añadir sección con anchor</w:t>
      </w:r>
      <w:r>
        <w:t xml:space="preserve"> </w:t>
      </w:r>
      <w:r>
        <w:rPr>
          <w:rStyle w:val="VerbatimChar"/>
        </w:rPr>
        <w:t xml:space="preserve">#aup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Texto sugerido (revisar):</w:t>
      </w:r>
    </w:p>
    <w:p>
      <w:pPr>
        <w:pStyle w:val="SourceCode"/>
      </w:pPr>
      <w:r>
        <w:rPr>
          <w:rStyle w:val="VerbatimChar"/>
        </w:rPr>
        <w:t xml:space="preserve">## 6. Política de Uso Aceptable {#aup}</w:t>
      </w:r>
      <w:r>
        <w:br/>
      </w:r>
      <w:r>
        <w:br/>
      </w:r>
      <w:r>
        <w:rPr>
          <w:rStyle w:val="VerbatimChar"/>
        </w:rPr>
        <w:t xml:space="preserve">El uso del servicio Centinelia está prohibido para:</w:t>
      </w:r>
      <w:r>
        <w:br/>
      </w:r>
      <w:r>
        <w:br/>
      </w:r>
      <w:r>
        <w:rPr>
          <w:rStyle w:val="VerbatimChar"/>
        </w:rPr>
        <w:t xml:space="preserve">- Actividades ilegales conforme a la legislación mexicana (fraude, suplantación,</w:t>
      </w:r>
      <w:r>
        <w:br/>
      </w:r>
      <w:r>
        <w:rPr>
          <w:rStyle w:val="VerbatimChar"/>
        </w:rPr>
        <w:t xml:space="preserve">  extorsión, ingeniería social).</w:t>
      </w:r>
      <w:r>
        <w:br/>
      </w:r>
      <w:r>
        <w:rPr>
          <w:rStyle w:val="VerbatimChar"/>
        </w:rPr>
        <w:t xml:space="preserve">- Prospección masiva sin consentimiento del destinatario (violación de LFPC art. 17 BIS).</w:t>
      </w:r>
      <w:r>
        <w:br/>
      </w:r>
      <w:r>
        <w:rPr>
          <w:rStyle w:val="VerbatimChar"/>
        </w:rPr>
        <w:t xml:space="preserve">- Contacto reiterado a personas inscritas en la Lista Nacional de Consumidores</w:t>
      </w:r>
      <w:r>
        <w:br/>
      </w:r>
      <w:r>
        <w:rPr>
          <w:rStyle w:val="VerbatimChar"/>
        </w:rPr>
        <w:t xml:space="preserve">  con Llamadas (LNCL).</w:t>
      </w:r>
      <w:r>
        <w:br/>
      </w:r>
      <w:r>
        <w:rPr>
          <w:rStyle w:val="VerbatimChar"/>
        </w:rPr>
        <w:t xml:space="preserve">- Envío de información falsa o engañosa mediante los agentes.</w:t>
      </w:r>
      <w:r>
        <w:br/>
      </w:r>
      <w:r>
        <w:rPr>
          <w:rStyle w:val="VerbatimChar"/>
        </w:rPr>
        <w:t xml:space="preserve">- Discriminación basada en raza, género, religión, orientación sexual, edad o discapacidad.</w:t>
      </w:r>
      <w:r>
        <w:br/>
      </w:r>
      <w:r>
        <w:rPr>
          <w:rStyle w:val="VerbatimChar"/>
        </w:rPr>
        <w:t xml:space="preserve">- Acceso no autorizado a sistemas de terceros (SSRF, inyección SQL, escaneo de puertos).</w:t>
      </w:r>
      <w:r>
        <w:br/>
      </w:r>
      <w:r>
        <w:rPr>
          <w:rStyle w:val="VerbatimChar"/>
        </w:rPr>
        <w:t xml:space="preserve">- Uso de datos de menores de edad sin consentimiento parental documentado.</w:t>
      </w:r>
      <w:r>
        <w:br/>
      </w:r>
      <w:r>
        <w:rPr>
          <w:rStyle w:val="VerbatimChar"/>
        </w:rPr>
        <w:t xml:space="preserve">- Violación de derechos de autor o propiedad intelectual.</w:t>
      </w:r>
      <w:r>
        <w:br/>
      </w:r>
      <w:r>
        <w:rPr>
          <w:rStyle w:val="VerbatimChar"/>
        </w:rPr>
        <w:t xml:space="preserve">- Suplantación de identidad de una autoridad pública.</w:t>
      </w:r>
      <w:r>
        <w:br/>
      </w:r>
      <w:r>
        <w:rPr>
          <w:rStyle w:val="VerbatimChar"/>
        </w:rPr>
        <w:t xml:space="preserve">- Simulación de urgencia médica/emergencia no real.</w:t>
      </w:r>
      <w:r>
        <w:br/>
      </w:r>
      <w:r>
        <w:br/>
      </w:r>
      <w:r>
        <w:rPr>
          <w:rStyle w:val="VerbatimChar"/>
        </w:rPr>
        <w:t xml:space="preserve">Centinelia se reserva el derecho de suspender el servicio sin previo aviso si detecta</w:t>
      </w:r>
      <w:r>
        <w:br/>
      </w:r>
      <w:r>
        <w:rPr>
          <w:rStyle w:val="VerbatimChar"/>
        </w:rPr>
        <w:t xml:space="preserve">incumplimiento. El Cliente es responsable de cualquier acción legal derivada del uso</w:t>
      </w:r>
      <w:r>
        <w:br/>
      </w:r>
      <w:r>
        <w:rPr>
          <w:rStyle w:val="VerbatimChar"/>
        </w:rPr>
        <w:t xml:space="preserve">inadecuado de la plataforma por sus empleados o sub-usuarios.</w:t>
      </w:r>
    </w:p>
    <w:p>
      <w:pPr>
        <w:pStyle w:val="FirstParagraph"/>
      </w:pPr>
      <w:r>
        <w:rPr>
          <w:b/>
          <w:bCs/>
        </w:rPr>
        <w:t xml:space="preserve">Preguntas para el abogado:</w:t>
      </w:r>
      <w:r>
        <w:t xml:space="preserve"> </w:t>
      </w:r>
      <w:r>
        <w:t xml:space="preserve">1. ¿Debemos añadir cláusula específica sobre</w:t>
      </w:r>
      <w:r>
        <w:t xml:space="preserve"> </w:t>
      </w:r>
      <w:r>
        <w:t xml:space="preserve">“no discriminación”</w:t>
      </w:r>
      <w:r>
        <w:t xml:space="preserve"> </w:t>
      </w:r>
      <w:r>
        <w:t xml:space="preserve">para clientes gobierno (art. 1 constitucional)?</w:t>
      </w:r>
      <w:r>
        <w:t xml:space="preserve"> </w:t>
      </w:r>
      <w:r>
        <w:t xml:space="preserve">2. ¿La suspensión sin previo aviso es defendible bajo contrato de adhesión?</w:t>
      </w:r>
      <w:r>
        <w:t xml:space="preserve"> </w:t>
      </w:r>
      <w:r>
        <w:t xml:space="preserve">3. ¿Falta alguna categoría estándar de AUP mexicano?</w:t>
      </w:r>
    </w:p>
    <w:p>
      <w:r>
        <w:pict>
          <v:rect style="width:0;height:1.5pt" o:hralign="center" o:hrstd="t" o:hr="t"/>
        </w:pict>
      </w:r>
    </w:p>
    <w:bookmarkEnd w:id="9"/>
    <w:bookmarkStart w:id="10" w:name="Xd95ada96a8d14503153e22ef2bd3d85812eb697"/>
    <w:p>
      <w:pPr>
        <w:pStyle w:val="Heading2"/>
      </w:pPr>
      <w:r>
        <w:t xml:space="preserve">🔴 CRÍTICO 2 — Reconciliar retention: 90 días vs 12 meses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Contradicción entre dos páginas: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/legal</w:t>
      </w:r>
      <w:r>
        <w:t xml:space="preserve"> </w:t>
      </w:r>
      <w:r>
        <w:t xml:space="preserve">sección 4 dice:</w:t>
      </w:r>
      <w:r>
        <w:t xml:space="preserve"> </w:t>
      </w:r>
      <w:r>
        <w:t xml:space="preserve">“grabaciones se conservan</w:t>
      </w:r>
      <w:r>
        <w:t xml:space="preserve"> </w:t>
      </w:r>
      <w:r>
        <w:rPr>
          <w:b/>
          <w:bCs/>
        </w:rPr>
        <w:t xml:space="preserve">hasta 12 meses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/privacidad-datos</w:t>
      </w:r>
      <w:r>
        <w:t xml:space="preserve"> </w:t>
      </w:r>
      <w:r>
        <w:t xml:space="preserve">(versión plain-language) dice:</w:t>
      </w:r>
      <w:r>
        <w:t xml:space="preserve"> </w:t>
      </w:r>
      <w:r>
        <w:t xml:space="preserve">“grabaciones</w:t>
      </w:r>
      <w:r>
        <w:t xml:space="preserve"> </w:t>
      </w:r>
      <w:r>
        <w:rPr>
          <w:b/>
          <w:bCs/>
        </w:rPr>
        <w:t xml:space="preserve">90 días</w:t>
      </w:r>
      <w:r>
        <w:t xml:space="preserve"> </w:t>
      </w:r>
      <w:r>
        <w:t xml:space="preserve">por defecto”</w:t>
      </w:r>
    </w:p>
    <w:p>
      <w:pPr>
        <w:pStyle w:val="BodyText"/>
      </w:pPr>
      <w:r>
        <w:t xml:space="preserve">Auditor INAI marca esto como inadecuada gobernanza de datos.</w:t>
      </w:r>
    </w:p>
    <w:p>
      <w:pPr>
        <w:pStyle w:val="BodyText"/>
      </w:pPr>
      <w:r>
        <w:rPr>
          <w:b/>
          <w:bCs/>
        </w:rPr>
        <w:t xml:space="preserve">Necesita decisión de negocio:</w:t>
      </w:r>
      <w:r>
        <w:t xml:space="preserve"> </w:t>
      </w:r>
      <w:r>
        <w:t xml:space="preserve">- ¿Cuál es la política real? 90 días para reducir storage cost, o 12 meses para valor de análisis histórico?</w:t>
      </w:r>
      <w:r>
        <w:t xml:space="preserve"> </w:t>
      </w:r>
      <w:r>
        <w:t xml:space="preserve">- ¿Aplican excepciones para Municipio (contrato específico con retention distinta)?</w:t>
      </w:r>
    </w:p>
    <w:p>
      <w:pPr>
        <w:pStyle w:val="BodyText"/>
      </w:pPr>
      <w:r>
        <w:rPr>
          <w:b/>
          <w:bCs/>
        </w:rPr>
        <w:t xml:space="preserve">Sugerencia:</w:t>
      </w:r>
      <w:r>
        <w:t xml:space="preserve"> </w:t>
      </w:r>
      <w:r>
        <w:t xml:space="preserve">Adoptar</w:t>
      </w:r>
      <w:r>
        <w:t xml:space="preserve"> </w:t>
      </w:r>
      <w:r>
        <w:rPr>
          <w:b/>
          <w:bCs/>
        </w:rPr>
        <w:t xml:space="preserve">12 meses default</w:t>
      </w:r>
      <w:r>
        <w:t xml:space="preserve"> </w:t>
      </w:r>
      <w:r>
        <w:t xml:space="preserve">con opt-out configurable per-cliente (portal setting</w:t>
      </w:r>
      <w:r>
        <w:t xml:space="preserve"> </w:t>
      </w:r>
      <w:r>
        <w:t xml:space="preserve">“reducir a 90 días para menos storage cost”</w:t>
      </w:r>
      <w:r>
        <w:t xml:space="preserve">). Documentar la excepción de audit trail 7 años en ledger + admin_access_log.</w:t>
      </w:r>
    </w:p>
    <w:p>
      <w:pPr>
        <w:pStyle w:val="BodyText"/>
      </w:pPr>
      <w:r>
        <w:rPr>
          <w:b/>
          <w:bCs/>
        </w:rPr>
        <w:t xml:space="preserve">Ubicación código:</w:t>
      </w:r>
      <w:r>
        <w:t xml:space="preserve"> </w:t>
      </w:r>
      <w:r>
        <w:rPr>
          <w:rStyle w:val="VerbatimChar"/>
        </w:rPr>
        <w:t xml:space="preserve">src/app/legal/page.tsx</w:t>
      </w:r>
      <w:r>
        <w:t xml:space="preserve"> </w:t>
      </w:r>
      <w:r>
        <w:t xml:space="preserve">sección 4 +</w:t>
      </w:r>
      <w:r>
        <w:t xml:space="preserve"> </w:t>
      </w:r>
      <w:r>
        <w:rPr>
          <w:rStyle w:val="VerbatimChar"/>
        </w:rPr>
        <w:t xml:space="preserve">src/app/privacidad-datos/page.tsx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accfcbaa3bc59cbdb50e064540d887bf02af2a4"/>
    <w:p>
      <w:pPr>
        <w:pStyle w:val="Heading2"/>
      </w:pPr>
      <w:r>
        <w:t xml:space="preserve">🔴 CRÍTICO 3 — Página pública de sub-procesadores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Aviso menciona sub-procesadores inline pero no hay página dedicada con tabla actualizable + status DPA.</w:t>
      </w:r>
    </w:p>
    <w:p>
      <w:pPr>
        <w:pStyle w:val="BodyText"/>
      </w:pPr>
      <w:r>
        <w:rPr>
          <w:b/>
          <w:bCs/>
        </w:rPr>
        <w:t xml:space="preserve">Ubicación código:</w:t>
      </w:r>
      <w:r>
        <w:t xml:space="preserve"> </w:t>
      </w:r>
      <w:r>
        <w:t xml:space="preserve">Crear</w:t>
      </w:r>
      <w:r>
        <w:t xml:space="preserve"> </w:t>
      </w:r>
      <w:r>
        <w:rPr>
          <w:rStyle w:val="VerbatimChar"/>
        </w:rPr>
        <w:t xml:space="preserve">src/app/sub-procesadores/page.tsx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Estructura sugerida (revisar):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1"/>
        <w:gridCol w:w="698"/>
        <w:gridCol w:w="1048"/>
        <w:gridCol w:w="2212"/>
        <w:gridCol w:w="1514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Proveedor</w:t>
            </w:r>
          </w:p>
        </w:tc>
        <w:tc>
          <w:tcPr/>
          <w:p>
            <w:pPr>
              <w:pStyle w:val="Compact"/>
            </w:pPr>
            <w:r>
              <w:t xml:space="preserve">País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t xml:space="preserve">Datos compartidos</w:t>
            </w:r>
          </w:p>
        </w:tc>
        <w:tc>
          <w:tcPr/>
          <w:p>
            <w:pPr>
              <w:pStyle w:val="Compact"/>
            </w:pPr>
            <w:r>
              <w:t xml:space="preserve">DPA firmado</w:t>
            </w:r>
          </w:p>
        </w:tc>
        <w:tc>
          <w:tcPr/>
          <w:p>
            <w:pPr>
              <w:pStyle w:val="Compact"/>
            </w:pPr>
            <w:r>
              <w:t xml:space="preserve">Contacto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Inc.</w:t>
            </w:r>
          </w:p>
        </w:tc>
        <w:tc>
          <w:tcPr/>
          <w:p>
            <w:pPr>
              <w:pStyle w:val="Compact"/>
            </w:pPr>
            <w:r>
              <w:t xml:space="preserve">🇺🇸 US (AWS us-east-1)</w:t>
            </w:r>
          </w:p>
        </w:tc>
        <w:tc>
          <w:tcPr/>
          <w:p>
            <w:pPr>
              <w:pStyle w:val="Compact"/>
            </w:pPr>
            <w:r>
              <w:t xml:space="preserve">Base de datos + storage</w:t>
            </w:r>
          </w:p>
        </w:tc>
        <w:tc>
          <w:tcPr/>
          <w:p>
            <w:pPr>
              <w:pStyle w:val="Compact"/>
            </w:pPr>
            <w:r>
              <w:t xml:space="preserve">Datos del pool, ledger, ai_ops_log</w:t>
            </w:r>
          </w:p>
        </w:tc>
        <w:tc>
          <w:tcPr/>
          <w:p>
            <w:pPr>
              <w:pStyle w:val="Compac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</w:pPr>
            <w:r>
              <w:t xml:space="preserve">dpa@supabase.io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 Inc.</w:t>
            </w:r>
          </w:p>
        </w:tc>
        <w:tc>
          <w:tcPr/>
          <w:p>
            <w:pPr>
              <w:pStyle w:val="Compact"/>
            </w:pPr>
            <w:r>
              <w:t xml:space="preserve">🇺🇸 US</w:t>
            </w:r>
          </w:p>
        </w:tc>
        <w:tc>
          <w:tcPr/>
          <w:p>
            <w:pPr>
              <w:pStyle w:val="Compact"/>
            </w:pPr>
            <w:r>
              <w:t xml:space="preserve">Hosting Next.js + serverless</w:t>
            </w:r>
          </w:p>
        </w:tc>
        <w:tc>
          <w:tcPr/>
          <w:p>
            <w:pPr>
              <w:pStyle w:val="Compact"/>
            </w:pPr>
            <w:r>
              <w:t xml:space="preserve">Requests, logs</w:t>
            </w:r>
          </w:p>
        </w:tc>
        <w:tc>
          <w:tcPr/>
          <w:p>
            <w:pPr>
              <w:pStyle w:val="Compac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</w:pPr>
            <w:r>
              <w:t xml:space="preserve">legal@vercel.com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Stripe Inc.</w:t>
            </w:r>
          </w:p>
        </w:tc>
        <w:tc>
          <w:tcPr/>
          <w:p>
            <w:pPr>
              <w:pStyle w:val="Compact"/>
            </w:pPr>
            <w:r>
              <w:t xml:space="preserve">🇺🇸 US</w:t>
            </w:r>
          </w:p>
        </w:tc>
        <w:tc>
          <w:tcPr/>
          <w:p>
            <w:pPr>
              <w:pStyle w:val="Compact"/>
            </w:pPr>
            <w:r>
              <w:t xml:space="preserve">Procesamiento de pagos (Centinelia NO almacena tarjetas — SAQ-A)</w:t>
            </w:r>
          </w:p>
        </w:tc>
        <w:tc>
          <w:tcPr/>
          <w:p>
            <w:pPr>
              <w:pStyle w:val="Compact"/>
            </w:pPr>
            <w:r>
              <w:t xml:space="preserve">Emails de clientes, metadata de cobros</w:t>
            </w:r>
          </w:p>
        </w:tc>
        <w:tc>
          <w:tcPr/>
          <w:p>
            <w:pPr>
              <w:pStyle w:val="Compac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</w:pPr>
            <w:r>
              <w:t xml:space="preserve">dpa@stripe.com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Vapi Inc.</w:t>
            </w:r>
          </w:p>
        </w:tc>
        <w:tc>
          <w:tcPr/>
          <w:p>
            <w:pPr>
              <w:pStyle w:val="Compact"/>
            </w:pPr>
            <w:r>
              <w:t xml:space="preserve">🇺🇸 US</w:t>
            </w:r>
          </w:p>
        </w:tc>
        <w:tc>
          <w:tcPr/>
          <w:p>
            <w:pPr>
              <w:pStyle w:val="Compact"/>
            </w:pPr>
            <w:r>
              <w:t xml:space="preserve">Orquestación de llamadas (audio inbound/outbound)</w:t>
            </w:r>
          </w:p>
        </w:tc>
        <w:tc>
          <w:tcPr/>
          <w:p>
            <w:pPr>
              <w:pStyle w:val="Compact"/>
            </w:pPr>
            <w:r>
              <w:t xml:space="preserve">Grabaciones, transcripciones, metadatos</w:t>
            </w:r>
          </w:p>
        </w:tc>
        <w:tc>
          <w:tcPr/>
          <w:p>
            <w:pPr>
              <w:pStyle w:val="Compac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</w:pPr>
            <w:r>
              <w:t xml:space="preserve">privacy@vapi.ai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Twilio Inc.</w:t>
            </w:r>
          </w:p>
        </w:tc>
        <w:tc>
          <w:tcPr/>
          <w:p>
            <w:pPr>
              <w:pStyle w:val="Compact"/>
            </w:pPr>
            <w:r>
              <w:t xml:space="preserve">🇺🇸 US</w:t>
            </w:r>
          </w:p>
        </w:tc>
        <w:tc>
          <w:tcPr/>
          <w:p>
            <w:pPr>
              <w:pStyle w:val="Compact"/>
            </w:pPr>
            <w:r>
              <w:t xml:space="preserve">Telefonía (números virtuales, SMS)</w:t>
            </w:r>
          </w:p>
        </w:tc>
        <w:tc>
          <w:tcPr/>
          <w:p>
            <w:pPr>
              <w:pStyle w:val="Compact"/>
            </w:pPr>
            <w:r>
              <w:t xml:space="preserve">Números salientes/entrantes</w:t>
            </w:r>
          </w:p>
        </w:tc>
        <w:tc>
          <w:tcPr/>
          <w:p>
            <w:pPr>
              <w:pStyle w:val="Compac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</w:pPr>
            <w:r>
              <w:t xml:space="preserve">privacy@twilio.com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 PBC</w:t>
            </w:r>
          </w:p>
        </w:tc>
        <w:tc>
          <w:tcPr/>
          <w:p>
            <w:pPr>
              <w:pStyle w:val="Compact"/>
            </w:pPr>
            <w:r>
              <w:t xml:space="preserve">🇺🇸 US</w:t>
            </w:r>
          </w:p>
        </w:tc>
        <w:tc>
          <w:tcPr/>
          <w:p>
            <w:pPr>
              <w:pStyle w:val="Compact"/>
            </w:pPr>
            <w:r>
              <w:t xml:space="preserve">LLM (Claude) — prompts + respuestas</w:t>
            </w:r>
          </w:p>
        </w:tc>
        <w:tc>
          <w:tcPr/>
          <w:p>
            <w:pPr>
              <w:pStyle w:val="Compact"/>
            </w:pPr>
            <w:r>
              <w:t xml:space="preserve">Prompt content sin PII masiva</w:t>
            </w:r>
          </w:p>
        </w:tc>
        <w:tc>
          <w:tcPr/>
          <w:p>
            <w:pPr>
              <w:pStyle w:val="Compact"/>
            </w:pPr>
            <w:r>
              <w:t xml:space="preserve">✅ Auto vía terms</w:t>
            </w:r>
          </w:p>
        </w:tc>
        <w:tc>
          <w:tcPr/>
          <w:p>
            <w:pPr>
              <w:pStyle w:val="Compact"/>
            </w:pPr>
            <w:r>
              <w:t xml:space="preserve">privacy@anthropic.com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ElevenLabs Inc.</w:t>
            </w:r>
          </w:p>
        </w:tc>
        <w:tc>
          <w:tcPr/>
          <w:p>
            <w:pPr>
              <w:pStyle w:val="Compact"/>
            </w:pPr>
            <w:r>
              <w:t xml:space="preserve">🇺🇸 US</w:t>
            </w:r>
          </w:p>
        </w:tc>
        <w:tc>
          <w:tcPr/>
          <w:p>
            <w:pPr>
              <w:pStyle w:val="Compact"/>
            </w:pPr>
            <w:r>
              <w:t xml:space="preserve">Text-to-Speech</w:t>
            </w:r>
          </w:p>
        </w:tc>
        <w:tc>
          <w:tcPr/>
          <w:p>
            <w:pPr>
              <w:pStyle w:val="Compact"/>
            </w:pPr>
            <w:r>
              <w:t xml:space="preserve">Texto que agente dice al llamante</w:t>
            </w:r>
          </w:p>
        </w:tc>
        <w:tc>
          <w:tcPr/>
          <w:p>
            <w:pPr>
              <w:pStyle w:val="Compac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</w:pPr>
            <w:r>
              <w:t xml:space="preserve">privacy@elevenlabs.io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Deepgram Inc.</w:t>
            </w:r>
          </w:p>
        </w:tc>
        <w:tc>
          <w:tcPr/>
          <w:p>
            <w:pPr>
              <w:pStyle w:val="Compact"/>
            </w:pPr>
            <w:r>
              <w:t xml:space="preserve">🇺🇸 US</w:t>
            </w:r>
          </w:p>
        </w:tc>
        <w:tc>
          <w:tcPr/>
          <w:p>
            <w:pPr>
              <w:pStyle w:val="Compact"/>
            </w:pPr>
            <w:r>
              <w:t xml:space="preserve">Speech-to-Text</w:t>
            </w:r>
          </w:p>
        </w:tc>
        <w:tc>
          <w:tcPr/>
          <w:p>
            <w:pPr>
              <w:pStyle w:val="Compact"/>
            </w:pPr>
            <w:r>
              <w:t xml:space="preserve">Audio para transcripción</w:t>
            </w:r>
          </w:p>
        </w:tc>
        <w:tc>
          <w:tcPr/>
          <w:p>
            <w:pPr>
              <w:pStyle w:val="Compac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</w:pPr>
            <w:r>
              <w:t xml:space="preserve">privacy@deepgram.com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Upstash Inc.</w:t>
            </w:r>
          </w:p>
        </w:tc>
        <w:tc>
          <w:tcPr/>
          <w:p>
            <w:pPr>
              <w:pStyle w:val="Compact"/>
            </w:pPr>
            <w:r>
              <w:t xml:space="preserve">🇺🇸 US</w:t>
            </w:r>
          </w:p>
        </w:tc>
        <w:tc>
          <w:tcPr/>
          <w:p>
            <w:pPr>
              <w:pStyle w:val="Compact"/>
            </w:pPr>
            <w:r>
              <w:t xml:space="preserve">Redis rate limiting</w:t>
            </w:r>
          </w:p>
        </w:tc>
        <w:tc>
          <w:tcPr/>
          <w:p>
            <w:pPr>
              <w:pStyle w:val="Compact"/>
            </w:pPr>
            <w:r>
              <w:t xml:space="preserve">IPs, timestamps de requests</w:t>
            </w:r>
          </w:p>
        </w:tc>
        <w:tc>
          <w:tcPr/>
          <w:p>
            <w:pPr>
              <w:pStyle w:val="Compac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</w:pPr>
            <w:r>
              <w:t xml:space="preserve">legal@upstash.com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LLC</w:t>
            </w:r>
          </w:p>
        </w:tc>
        <w:tc>
          <w:tcPr/>
          <w:p>
            <w:pPr>
              <w:pStyle w:val="Compact"/>
            </w:pPr>
            <w:r>
              <w:t xml:space="preserve">🌎 Global</w:t>
            </w:r>
          </w:p>
        </w:tc>
        <w:tc>
          <w:tcPr/>
          <w:p>
            <w:pPr>
              <w:pStyle w:val="Compact"/>
            </w:pPr>
            <w:r>
              <w:t xml:space="preserve">Gmail/Calendar/Sheets integración</w:t>
            </w:r>
          </w:p>
        </w:tc>
        <w:tc>
          <w:tcPr/>
          <w:p>
            <w:pPr>
              <w:pStyle w:val="Compact"/>
            </w:pPr>
            <w:r>
              <w:t xml:space="preserve">Emails y calendarios del cliente que autorizó</w:t>
            </w:r>
          </w:p>
        </w:tc>
        <w:tc>
          <w:tcPr/>
          <w:p>
            <w:pPr>
              <w:pStyle w:val="Compact"/>
            </w:pPr>
            <w:r>
              <w:t xml:space="preserve">Auto vía Google Workspace admin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Corp</w:t>
            </w:r>
          </w:p>
        </w:tc>
        <w:tc>
          <w:tcPr/>
          <w:p>
            <w:pPr>
              <w:pStyle w:val="Compact"/>
            </w:pPr>
            <w:r>
              <w:t xml:space="preserve">🌎 Global</w:t>
            </w:r>
          </w:p>
        </w:tc>
        <w:tc>
          <w:tcPr/>
          <w:p>
            <w:pPr>
              <w:pStyle w:val="Compact"/>
            </w:pPr>
            <w:r>
              <w:t xml:space="preserve">Outlook/Teams integración</w:t>
            </w:r>
          </w:p>
        </w:tc>
        <w:tc>
          <w:tcPr/>
          <w:p>
            <w:pPr>
              <w:pStyle w:val="Compact"/>
            </w:pPr>
            <w:r>
              <w:t xml:space="preserve">Emails del cliente que autorizó</w:t>
            </w:r>
          </w:p>
        </w:tc>
        <w:tc>
          <w:tcPr/>
          <w:p>
            <w:pPr>
              <w:pStyle w:val="Compact"/>
            </w:pPr>
            <w:r>
              <w:t xml:space="preserve">Auto vía M365 admin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Nota debajo:</w:t>
      </w:r>
      <w:r>
        <w:t xml:space="preserve"> </w:t>
      </w:r>
      <w:r>
        <w:t xml:space="preserve">&gt; Cambios a esta lista se notifican con</w:t>
      </w:r>
      <w:r>
        <w:t xml:space="preserve"> </w:t>
      </w:r>
      <w:r>
        <w:rPr>
          <w:b/>
          <w:bCs/>
        </w:rPr>
        <w:t xml:space="preserve">30 días de anticipación</w:t>
      </w:r>
      <w:r>
        <w:t xml:space="preserve"> </w:t>
      </w:r>
      <w:r>
        <w:t xml:space="preserve">por email al portal_email. Objeciones a un nuevo sub-procesador pueden enviarse a</w:t>
      </w:r>
      <w:r>
        <w:t xml:space="preserve"> </w:t>
      </w:r>
      <w:r>
        <w:rPr>
          <w:rStyle w:val="VerbatimChar"/>
        </w:rPr>
        <w:t xml:space="preserve">privacidad@centinelia.mx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Preguntas para el abogado:</w:t>
      </w:r>
      <w:r>
        <w:t xml:space="preserve"> </w:t>
      </w:r>
      <w:r>
        <w:t xml:space="preserve">1. ¿DPA con Vapi/Stripe/Anthropic es indispensable para firmar Municipio o basta con menciones en aviso?</w:t>
      </w:r>
      <w:r>
        <w:t xml:space="preserve"> </w:t>
      </w:r>
      <w:r>
        <w:t xml:space="preserve">2. ¿Hay obligación legal de listar región exacta (us-east-1)?</w:t>
      </w:r>
      <w:r>
        <w:t xml:space="preserve"> </w:t>
      </w:r>
      <w:r>
        <w:t xml:space="preserve">3. ¿El</w:t>
      </w:r>
      <w:r>
        <w:t xml:space="preserve"> </w:t>
      </w:r>
      <w:r>
        <w:t xml:space="preserve">“auto vía terms”</w:t>
      </w:r>
      <w:r>
        <w:t xml:space="preserve"> </w:t>
      </w:r>
      <w:r>
        <w:t xml:space="preserve">para Anthropic es defensible?</w:t>
      </w:r>
    </w:p>
    <w:p>
      <w:r>
        <w:pict>
          <v:rect style="width:0;height:1.5pt" o:hralign="center" o:hrstd="t" o:hr="t"/>
        </w:pict>
      </w:r>
    </w:p>
    <w:bookmarkEnd w:id="11"/>
    <w:bookmarkStart w:id="12" w:name="Xf2691f1b0a9f16c5e5bcaeda4df396ae42311f7"/>
    <w:p>
      <w:pPr>
        <w:pStyle w:val="Heading2"/>
      </w:pPr>
      <w:r>
        <w:t xml:space="preserve">🔴 CRÍTICO 4 — Cláusula LGTAIP en contrato Municipio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Contract template no menciona Ley General de Transparencia. Municipio es gobierno → obligado directo.</w:t>
      </w:r>
    </w:p>
    <w:p>
      <w:pPr>
        <w:pStyle w:val="BodyText"/>
      </w:pPr>
      <w:r>
        <w:rPr>
          <w:b/>
          <w:bCs/>
        </w:rPr>
        <w:t xml:space="preserve">Ubicación código:</w:t>
      </w:r>
      <w:r>
        <w:t xml:space="preserve"> </w:t>
      </w:r>
      <w:r>
        <w:rPr>
          <w:rStyle w:val="VerbatimChar"/>
        </w:rPr>
        <w:t xml:space="preserve">src/lib/contract/template.tsx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docs/legal/municipio-addendum-template.md</w:t>
      </w:r>
      <w:r>
        <w:t xml:space="preserve"> </w:t>
      </w:r>
      <w:r>
        <w:t xml:space="preserve">(nuevo).</w:t>
      </w:r>
    </w:p>
    <w:p>
      <w:pPr>
        <w:pStyle w:val="BodyText"/>
      </w:pPr>
      <w:r>
        <w:rPr>
          <w:b/>
          <w:bCs/>
        </w:rPr>
        <w:t xml:space="preserve">Texto sugerido (revisar):</w:t>
      </w:r>
    </w:p>
    <w:p>
      <w:pPr>
        <w:pStyle w:val="SourceCode"/>
      </w:pPr>
      <w:r>
        <w:rPr>
          <w:rStyle w:val="VerbatimChar"/>
        </w:rPr>
        <w:t xml:space="preserve">## Cláusula X — Obligaciones de Transparencia Gubernamental (LGTAIP)</w:t>
      </w:r>
      <w:r>
        <w:br/>
      </w:r>
      <w:r>
        <w:br/>
      </w:r>
      <w:r>
        <w:rPr>
          <w:rStyle w:val="VerbatimChar"/>
        </w:rPr>
        <w:t xml:space="preserve">Cuando el Cliente sea una entidad gubernamental sujeta a la Ley General de</w:t>
      </w:r>
      <w:r>
        <w:br/>
      </w:r>
      <w:r>
        <w:rPr>
          <w:rStyle w:val="VerbatimChar"/>
        </w:rPr>
        <w:t xml:space="preserve">Transparencia y Acceso a la Información Pública (LGTAIP):</w:t>
      </w:r>
      <w:r>
        <w:br/>
      </w:r>
      <w:r>
        <w:br/>
      </w:r>
      <w:r>
        <w:rPr>
          <w:rStyle w:val="VerbatimChar"/>
        </w:rPr>
        <w:t xml:space="preserve">1. **Publicación del contrato:** El Cliente podrá publicar este contrato,</w:t>
      </w:r>
      <w:r>
        <w:br/>
      </w:r>
      <w:r>
        <w:rPr>
          <w:rStyle w:val="VerbatimChar"/>
        </w:rPr>
        <w:t xml:space="preserve">   con datos sensibles redactados (montos, credenciales, arquitectura técnica),</w:t>
      </w:r>
      <w:r>
        <w:br/>
      </w:r>
      <w:r>
        <w:rPr>
          <w:rStyle w:val="VerbatimChar"/>
        </w:rPr>
        <w:t xml:space="preserve">   en su portal de transparencia conforme a los artículos 70 fracción XXVII de</w:t>
      </w:r>
      <w:r>
        <w:br/>
      </w:r>
      <w:r>
        <w:rPr>
          <w:rStyle w:val="VerbatimChar"/>
        </w:rPr>
        <w:t xml:space="preserve">   la LGTAIP y equivalentes locales.</w:t>
      </w:r>
      <w:r>
        <w:br/>
      </w:r>
      <w:r>
        <w:br/>
      </w:r>
      <w:r>
        <w:rPr>
          <w:rStyle w:val="VerbatimChar"/>
        </w:rPr>
        <w:t xml:space="preserve">2. **Solicitudes ciudadanas de información:** Solicitudes de acceso a información</w:t>
      </w:r>
      <w:r>
        <w:br/>
      </w:r>
      <w:r>
        <w:rPr>
          <w:rStyle w:val="VerbatimChar"/>
        </w:rPr>
        <w:t xml:space="preserve">   pública sobre las llamadas de la Municipalidad (número, duración, temas</w:t>
      </w:r>
      <w:r>
        <w:br/>
      </w:r>
      <w:r>
        <w:rPr>
          <w:rStyle w:val="VerbatimChar"/>
        </w:rPr>
        <w:t xml:space="preserve">   agregados sin PII) son responsabilidad del Cliente. Centinelia proveerá</w:t>
      </w:r>
      <w:r>
        <w:br/>
      </w:r>
      <w:r>
        <w:rPr>
          <w:rStyle w:val="VerbatimChar"/>
        </w:rPr>
        <w:t xml:space="preserve">   reportes agregados dentro de 10 días hábiles cuando se solicite formalmente</w:t>
      </w:r>
      <w:r>
        <w:br/>
      </w:r>
      <w:r>
        <w:rPr>
          <w:rStyle w:val="VerbatimChar"/>
        </w:rPr>
        <w:t xml:space="preserve">   por escrito.</w:t>
      </w:r>
      <w:r>
        <w:br/>
      </w:r>
      <w:r>
        <w:br/>
      </w:r>
      <w:r>
        <w:rPr>
          <w:rStyle w:val="VerbatimChar"/>
        </w:rPr>
        <w:t xml:space="preserve">3. **Datos personales de ciudadanos:** Las grabaciones y transcripciones de</w:t>
      </w:r>
      <w:r>
        <w:br/>
      </w:r>
      <w:r>
        <w:rPr>
          <w:rStyle w:val="VerbatimChar"/>
        </w:rPr>
        <w:t xml:space="preserve">   llamadas de ciudadanos son datos personales titulados por el ciudadano</w:t>
      </w:r>
      <w:r>
        <w:br/>
      </w:r>
      <w:r>
        <w:rPr>
          <w:rStyle w:val="VerbatimChar"/>
        </w:rPr>
        <w:t xml:space="preserve">   (no por la Municipalidad). Centinelia y el Cliente actúan como</w:t>
      </w:r>
      <w:r>
        <w:br/>
      </w:r>
      <w:r>
        <w:rPr>
          <w:rStyle w:val="VerbatimChar"/>
        </w:rPr>
        <w:t xml:space="preserve">   corresponsables. Los ciudadanos pueden ejercer ARCO directamente ante</w:t>
      </w:r>
      <w:r>
        <w:br/>
      </w:r>
      <w:r>
        <w:rPr>
          <w:rStyle w:val="VerbatimChar"/>
        </w:rPr>
        <w:t xml:space="preserve">   Centinelia (privacidad@centinelia.mx) o ante el Cliente.</w:t>
      </w:r>
      <w:r>
        <w:br/>
      </w:r>
      <w:r>
        <w:br/>
      </w:r>
      <w:r>
        <w:rPr>
          <w:rStyle w:val="VerbatimChar"/>
        </w:rPr>
        <w:t xml:space="preserve">4. **Reserva técnica:** Centinelia conserva el derecho de reservar</w:t>
      </w:r>
      <w:r>
        <w:br/>
      </w:r>
      <w:r>
        <w:rPr>
          <w:rStyle w:val="VerbatimChar"/>
        </w:rPr>
        <w:t xml:space="preserve">   información técnica propietaria (arquitectura, prompts, modelos, código</w:t>
      </w:r>
      <w:r>
        <w:br/>
      </w:r>
      <w:r>
        <w:rPr>
          <w:rStyle w:val="VerbatimChar"/>
        </w:rPr>
        <w:t xml:space="preserve">   fuente) conforme al artículo 113 LGTAIP como información confidencial.</w:t>
      </w:r>
      <w:r>
        <w:br/>
      </w:r>
      <w:r>
        <w:br/>
      </w:r>
      <w:r>
        <w:rPr>
          <w:rStyle w:val="VerbatimChar"/>
        </w:rPr>
        <w:t xml:space="preserve">5. **Cooperación en auditorías:** Centinelia proveerá dentro de 5 días</w:t>
      </w:r>
      <w:r>
        <w:br/>
      </w:r>
      <w:r>
        <w:rPr>
          <w:rStyle w:val="VerbatimChar"/>
        </w:rPr>
        <w:t xml:space="preserve">   hábiles la evidencia técnica que el Órgano Interno de Control del Cliente</w:t>
      </w:r>
      <w:r>
        <w:br/>
      </w:r>
      <w:r>
        <w:rPr>
          <w:rStyle w:val="VerbatimChar"/>
        </w:rPr>
        <w:t xml:space="preserve">   requiera formalmente para cumplir con sus obligaciones de auditoría.</w:t>
      </w:r>
    </w:p>
    <w:p>
      <w:pPr>
        <w:pStyle w:val="FirstParagraph"/>
      </w:pPr>
      <w:r>
        <w:rPr>
          <w:b/>
          <w:bCs/>
        </w:rPr>
        <w:t xml:space="preserve">Preguntas:</w:t>
      </w:r>
      <w:r>
        <w:t xml:space="preserve"> </w:t>
      </w:r>
      <w:r>
        <w:t xml:space="preserve">1. ¿La reserva técnica del punto 4 es defendible contra INAI?</w:t>
      </w:r>
      <w:r>
        <w:t xml:space="preserve"> </w:t>
      </w:r>
      <w:r>
        <w:t xml:space="preserve">2. ¿Debemos mencionar corresponsabilidad ante ciudadano (título 5to LFPDPPP art. 33)?</w:t>
      </w:r>
      <w:r>
        <w:t xml:space="preserve"> </w:t>
      </w:r>
      <w:r>
        <w:t xml:space="preserve">3. ¿Falta cláusula específica sobre</w:t>
      </w:r>
      <w:r>
        <w:t xml:space="preserve"> </w:t>
      </w:r>
      <w:r>
        <w:t xml:space="preserve">“Datos Abiertos”</w:t>
      </w:r>
      <w:r>
        <w:t xml:space="preserve"> </w:t>
      </w:r>
      <w:r>
        <w:t xml:space="preserve">para stats agregados?</w:t>
      </w:r>
    </w:p>
    <w:p>
      <w:r>
        <w:pict>
          <v:rect style="width:0;height:1.5pt" o:hralign="center" o:hrstd="t" o:hr="t"/>
        </w:pict>
      </w:r>
    </w:p>
    <w:bookmarkEnd w:id="12"/>
    <w:bookmarkStart w:id="13" w:name="X943019ff9fb131d6a8d98f80fb452b103c3674c"/>
    <w:p>
      <w:pPr>
        <w:pStyle w:val="Heading2"/>
      </w:pPr>
      <w:r>
        <w:t xml:space="preserve">🔴 CRÍTICO 5 — Voice recording notice (verificado técnicamente OK)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YA CODIFICADO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src/lib/vapi/sync.ts:618</w:t>
      </w:r>
      <w:r>
        <w:t xml:space="preserve">. El firstMessage default incluye</w:t>
      </w:r>
      <w:r>
        <w:t xml:space="preserve"> </w:t>
      </w:r>
      <w:r>
        <w:t xml:space="preserve">“su llamada puede ser grabada”</w:t>
      </w:r>
      <w:r>
        <w:t xml:space="preserve"> </w:t>
      </w:r>
      <w:r>
        <w:t xml:space="preserve">con opt-out flag</w:t>
      </w:r>
      <w:r>
        <w:t xml:space="preserve"> </w:t>
      </w:r>
      <w:r>
        <w:rPr>
          <w:rStyle w:val="VerbatimChar"/>
        </w:rPr>
        <w:t xml:space="preserve">skip_recording_notice</w:t>
      </w:r>
      <w:r>
        <w:t xml:space="preserve">. Confirmado durante audit.</w:t>
      </w:r>
    </w:p>
    <w:p>
      <w:pPr>
        <w:pStyle w:val="BodyText"/>
      </w:pPr>
      <w:r>
        <w:rPr>
          <w:b/>
          <w:bCs/>
        </w:rPr>
        <w:t xml:space="preserve">Riesgo para abogado:</w:t>
      </w:r>
      <w:r>
        <w:t xml:space="preserve"> </w:t>
      </w:r>
      <w:r>
        <w:t xml:space="preserve">¿La frase</w:t>
      </w:r>
      <w:r>
        <w:t xml:space="preserve"> </w:t>
      </w:r>
      <w:r>
        <w:t xml:space="preserve">“su llamada puede ser grabada”</w:t>
      </w:r>
      <w:r>
        <w:t xml:space="preserve"> </w:t>
      </w:r>
      <w:r>
        <w:t xml:space="preserve">(opcional, no absoluto) es suficiente bajo LFTR? Alternativa:</w:t>
      </w:r>
      <w:r>
        <w:t xml:space="preserve"> </w:t>
      </w:r>
      <w:r>
        <w:t xml:space="preserve">“esta llamada será grabada”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Recomendación técnica:</w:t>
      </w:r>
      <w:r>
        <w:t xml:space="preserve"> </w:t>
      </w:r>
      <w:r>
        <w:t xml:space="preserve">Cambiar</w:t>
      </w:r>
      <w:r>
        <w:t xml:space="preserve"> </w:t>
      </w:r>
      <w:r>
        <w:t xml:space="preserve">“puede ser”</w:t>
      </w:r>
      <w:r>
        <w:t xml:space="preserve"> </w:t>
      </w:r>
      <w:r>
        <w:t xml:space="preserve">→</w:t>
      </w:r>
      <w:r>
        <w:t xml:space="preserve"> </w:t>
      </w:r>
      <w:r>
        <w:t xml:space="preserve">“será”</w:t>
      </w:r>
      <w:r>
        <w:t xml:space="preserve"> </w:t>
      </w:r>
      <w:r>
        <w:t xml:space="preserve">si abogado lo pide (1 línea de código).</w:t>
      </w:r>
    </w:p>
    <w:p>
      <w:r>
        <w:pict>
          <v:rect style="width:0;height:1.5pt" o:hralign="center" o:hrstd="t" o:hr="t"/>
        </w:pict>
      </w:r>
    </w:p>
    <w:bookmarkEnd w:id="13"/>
    <w:bookmarkStart w:id="14" w:name="alta-1-data-breach-notification-en-aviso"/>
    <w:p>
      <w:pPr>
        <w:pStyle w:val="Heading2"/>
      </w:pPr>
      <w:r>
        <w:t xml:space="preserve">🟠 ALTA 1 — Data breach notification en aviso</w:t>
      </w:r>
    </w:p>
    <w:p>
      <w:pPr>
        <w:pStyle w:val="FirstParagraph"/>
      </w:pPr>
      <w:r>
        <w:rPr>
          <w:b/>
          <w:bCs/>
        </w:rPr>
        <w:t xml:space="preserve">Ubicación:</w:t>
      </w:r>
      <w:r>
        <w:t xml:space="preserve"> </w:t>
      </w:r>
      <w:r>
        <w:rPr>
          <w:rStyle w:val="VerbatimChar"/>
        </w:rPr>
        <w:t xml:space="preserve">src/app/legal/page.tsx</w:t>
      </w:r>
      <w:r>
        <w:t xml:space="preserve"> </w:t>
      </w:r>
      <w:r>
        <w:t xml:space="preserve">— añadir sección 2.12.</w:t>
      </w:r>
    </w:p>
    <w:p>
      <w:pPr>
        <w:pStyle w:val="BodyText"/>
      </w:pPr>
      <w:r>
        <w:rPr>
          <w:b/>
          <w:bCs/>
        </w:rPr>
        <w:t xml:space="preserve">Texto sugerido (revisar):</w:t>
      </w:r>
    </w:p>
    <w:p>
      <w:pPr>
        <w:pStyle w:val="SourceCode"/>
      </w:pPr>
      <w:r>
        <w:rPr>
          <w:rStyle w:val="VerbatimChar"/>
        </w:rPr>
        <w:t xml:space="preserve">## 2.12 Notificación de Vulneración de Datos</w:t>
      </w:r>
      <w:r>
        <w:br/>
      </w:r>
      <w:r>
        <w:br/>
      </w:r>
      <w:r>
        <w:rPr>
          <w:rStyle w:val="VerbatimChar"/>
        </w:rPr>
        <w:t xml:space="preserve">En caso de vulneración que afecte datos personales bajo custodia de Centinelia:</w:t>
      </w:r>
      <w:r>
        <w:br/>
      </w:r>
      <w:r>
        <w:br/>
      </w:r>
      <w:r>
        <w:rPr>
          <w:rStyle w:val="VerbatimChar"/>
        </w:rPr>
        <w:t xml:space="preserve">1. Notificaremos al Cliente dentro de **72 horas** de la confirmación de la</w:t>
      </w:r>
      <w:r>
        <w:br/>
      </w:r>
      <w:r>
        <w:rPr>
          <w:rStyle w:val="VerbatimChar"/>
        </w:rPr>
        <w:t xml:space="preserve">   vulneración, indicando:</w:t>
      </w:r>
      <w:r>
        <w:br/>
      </w:r>
      <w:r>
        <w:rPr>
          <w:rStyle w:val="VerbatimChar"/>
        </w:rPr>
        <w:t xml:space="preserve">   - Naturaleza y alcance de los datos comprometidos</w:t>
      </w:r>
      <w:r>
        <w:br/>
      </w:r>
      <w:r>
        <w:rPr>
          <w:rStyle w:val="VerbatimChar"/>
        </w:rPr>
        <w:t xml:space="preserve">   - Fecha aproximada del evento</w:t>
      </w:r>
      <w:r>
        <w:br/>
      </w:r>
      <w:r>
        <w:rPr>
          <w:rStyle w:val="VerbatimChar"/>
        </w:rPr>
        <w:t xml:space="preserve">   - Medidas de contención adoptadas</w:t>
      </w:r>
      <w:r>
        <w:br/>
      </w:r>
      <w:r>
        <w:rPr>
          <w:rStyle w:val="VerbatimChar"/>
        </w:rPr>
        <w:t xml:space="preserve">   - Recomendaciones para los titulares afectados</w:t>
      </w:r>
      <w:r>
        <w:br/>
      </w:r>
      <w:r>
        <w:br/>
      </w:r>
      <w:r>
        <w:rPr>
          <w:rStyle w:val="VerbatimChar"/>
        </w:rPr>
        <w:t xml:space="preserve">2. Si la vulneración afecta a **100 o más titulares** o involucra **datos</w:t>
      </w:r>
      <w:r>
        <w:br/>
      </w:r>
      <w:r>
        <w:rPr>
          <w:rStyle w:val="VerbatimChar"/>
        </w:rPr>
        <w:t xml:space="preserve">   sensibles** (biométricos, salud, sexual, ideología, origen étnico),</w:t>
      </w:r>
      <w:r>
        <w:br/>
      </w:r>
      <w:r>
        <w:rPr>
          <w:rStyle w:val="VerbatimChar"/>
        </w:rPr>
        <w:t xml:space="preserve">   Centinelia notificará al INAI dentro del mismo plazo de 72 horas conforme</w:t>
      </w:r>
      <w:r>
        <w:br/>
      </w:r>
      <w:r>
        <w:rPr>
          <w:rStyle w:val="VerbatimChar"/>
        </w:rPr>
        <w:t xml:space="preserve">   al artículo 20 de LFPDPPP.</w:t>
      </w:r>
      <w:r>
        <w:br/>
      </w:r>
      <w:r>
        <w:br/>
      </w:r>
      <w:r>
        <w:rPr>
          <w:rStyle w:val="VerbatimChar"/>
        </w:rPr>
        <w:t xml:space="preserve">3. El Cliente es responsable de notificar a los titulares afectados</w:t>
      </w:r>
      <w:r>
        <w:br/>
      </w:r>
      <w:r>
        <w:rPr>
          <w:rStyle w:val="VerbatimChar"/>
        </w:rPr>
        <w:t xml:space="preserve">   (ciudadanos, empleados) conforme al Reglamento de LFPDPPP artículo 65.</w:t>
      </w:r>
      <w:r>
        <w:br/>
      </w:r>
      <w:r>
        <w:rPr>
          <w:rStyle w:val="VerbatimChar"/>
        </w:rPr>
        <w:t xml:space="preserve">   Centinelia proveerá plantillas de notificación en español.</w:t>
      </w:r>
      <w:r>
        <w:br/>
      </w:r>
      <w:r>
        <w:br/>
      </w:r>
      <w:r>
        <w:rPr>
          <w:rStyle w:val="VerbatimChar"/>
        </w:rPr>
        <w:t xml:space="preserve">4. Centinelia realizará un análisis post-incidente y compartirá el reporte</w:t>
      </w:r>
      <w:r>
        <w:br/>
      </w:r>
      <w:r>
        <w:rPr>
          <w:rStyle w:val="VerbatimChar"/>
        </w:rPr>
        <w:t xml:space="preserve">   con el Cliente dentro de 30 días naturales.</w:t>
      </w:r>
    </w:p>
    <w:p>
      <w:pPr>
        <w:pStyle w:val="FirstParagraph"/>
      </w:pPr>
      <w:r>
        <w:rPr>
          <w:b/>
          <w:bCs/>
        </w:rPr>
        <w:t xml:space="preserve">Preguntas:</w:t>
      </w:r>
      <w:r>
        <w:t xml:space="preserve"> </w:t>
      </w:r>
      <w:r>
        <w:t xml:space="preserve">1. ¿</w:t>
      </w:r>
      <w:r>
        <w:t xml:space="preserve">“100 titulares”</w:t>
      </w:r>
      <w:r>
        <w:t xml:space="preserve"> </w:t>
      </w:r>
      <w:r>
        <w:t xml:space="preserve">es umbral suficiente o debemos notificar siempre a INAI?</w:t>
      </w:r>
      <w:r>
        <w:t xml:space="preserve"> </w:t>
      </w:r>
      <w:r>
        <w:t xml:space="preserve">2. ¿Formato específico de reporte post-incidente (PDF firmado?, JSON?)?</w:t>
      </w:r>
    </w:p>
    <w:p>
      <w:r>
        <w:pict>
          <v:rect style="width:0;height:1.5pt" o:hralign="center" o:hrstd="t" o:hr="t"/>
        </w:pict>
      </w:r>
    </w:p>
    <w:bookmarkEnd w:id="14"/>
    <w:bookmarkStart w:id="15" w:name="X4fff51522ea75f6e9ab22eb7ec846613df92dfc"/>
    <w:p>
      <w:pPr>
        <w:pStyle w:val="Heading2"/>
      </w:pPr>
      <w:r>
        <w:t xml:space="preserve">🟠 ALTA 2 — Right to be forgotten (procedimiento explícito)</w:t>
      </w:r>
    </w:p>
    <w:p>
      <w:pPr>
        <w:pStyle w:val="FirstParagraph"/>
      </w:pPr>
      <w:r>
        <w:rPr>
          <w:b/>
          <w:bCs/>
        </w:rPr>
        <w:t xml:space="preserve">Ubicación:</w:t>
      </w:r>
      <w:r>
        <w:t xml:space="preserve"> </w:t>
      </w:r>
      <w:r>
        <w:rPr>
          <w:rStyle w:val="VerbatimChar"/>
        </w:rPr>
        <w:t xml:space="preserve">src/app/legal/page.tsx</w:t>
      </w:r>
      <w:r>
        <w:t xml:space="preserve"> </w:t>
      </w:r>
      <w:r>
        <w:t xml:space="preserve">sección 2.8 (expandir).</w:t>
      </w:r>
    </w:p>
    <w:p>
      <w:pPr>
        <w:pStyle w:val="BodyText"/>
      </w:pPr>
      <w:r>
        <w:rPr>
          <w:b/>
          <w:bCs/>
        </w:rPr>
        <w:t xml:space="preserve">Texto sugerido:</w:t>
      </w:r>
    </w:p>
    <w:p>
      <w:pPr>
        <w:pStyle w:val="SourceCode"/>
      </w:pPr>
      <w:r>
        <w:rPr>
          <w:rStyle w:val="VerbatimChar"/>
        </w:rPr>
        <w:t xml:space="preserve">### Procedimiento para ejercer Cancelación (Derecho al Olvido)</w:t>
      </w:r>
      <w:r>
        <w:br/>
      </w:r>
      <w:r>
        <w:br/>
      </w:r>
      <w:r>
        <w:rPr>
          <w:rStyle w:val="VerbatimChar"/>
        </w:rPr>
        <w:t xml:space="preserve">1. Envía correo a **privacidad@centinelia.mx** con asunto **"Solicitud</w:t>
      </w:r>
      <w:r>
        <w:br/>
      </w:r>
      <w:r>
        <w:rPr>
          <w:rStyle w:val="VerbatimChar"/>
        </w:rPr>
        <w:t xml:space="preserve">   Cancelación"** e incluye:</w:t>
      </w:r>
      <w:r>
        <w:br/>
      </w:r>
      <w:r>
        <w:rPr>
          <w:rStyle w:val="VerbatimChar"/>
        </w:rPr>
        <w:t xml:space="preserve">   - Copia de identificación oficial vigente (INE, pasaporte, cédula)</w:t>
      </w:r>
      <w:r>
        <w:br/>
      </w:r>
      <w:r>
        <w:rPr>
          <w:rStyle w:val="VerbatimChar"/>
        </w:rPr>
        <w:t xml:space="preserve">   - Especifica qué datos deseas eliminar:</w:t>
      </w:r>
      <w:r>
        <w:br/>
      </w:r>
      <w:r>
        <w:rPr>
          <w:rStyle w:val="VerbatimChar"/>
        </w:rPr>
        <w:t xml:space="preserve">     - [ ] Datos personales identificatorios (nombre, teléfono, email)</w:t>
      </w:r>
      <w:r>
        <w:br/>
      </w:r>
      <w:r>
        <w:rPr>
          <w:rStyle w:val="VerbatimChar"/>
        </w:rPr>
        <w:t xml:space="preserve">     - [ ] Grabaciones de llamadas y transcripciones</w:t>
      </w:r>
      <w:r>
        <w:br/>
      </w:r>
      <w:r>
        <w:rPr>
          <w:rStyle w:val="VerbatimChar"/>
        </w:rPr>
        <w:t xml:space="preserve">     - [ ] Historial de interacciones (facturas, tickets, aprendizajes)</w:t>
      </w:r>
      <w:r>
        <w:br/>
      </w:r>
      <w:r>
        <w:br/>
      </w:r>
      <w:r>
        <w:rPr>
          <w:rStyle w:val="VerbatimChar"/>
        </w:rPr>
        <w:t xml:space="preserve">2. **Confirmación**: recibirás acuse dentro de **48 horas hábiles**.</w:t>
      </w:r>
      <w:r>
        <w:br/>
      </w:r>
      <w:r>
        <w:br/>
      </w:r>
      <w:r>
        <w:rPr>
          <w:rStyle w:val="VerbatimChar"/>
        </w:rPr>
        <w:t xml:space="preserve">3. **Investigación**: **20 días hábiles** máximo desde acuse.</w:t>
      </w:r>
      <w:r>
        <w:br/>
      </w:r>
      <w:r>
        <w:br/>
      </w:r>
      <w:r>
        <w:rPr>
          <w:rStyle w:val="VerbatimChar"/>
        </w:rPr>
        <w:t xml:space="preserve">4. **Ejecución**: si procede, **15 días hábiles** adicionales.</w:t>
      </w:r>
      <w:r>
        <w:br/>
      </w:r>
      <w:r>
        <w:br/>
      </w:r>
      <w:r>
        <w:rPr>
          <w:rStyle w:val="VerbatimChar"/>
        </w:rPr>
        <w:t xml:space="preserve">5. **Plazo total máximo: 35 días hábiles**.</w:t>
      </w:r>
      <w:r>
        <w:br/>
      </w:r>
      <w:r>
        <w:br/>
      </w:r>
      <w:r>
        <w:rPr>
          <w:rStyle w:val="VerbatimChar"/>
        </w:rPr>
        <w:t xml:space="preserve">### Excepciones legales — datos NO eliminados</w:t>
      </w:r>
      <w:r>
        <w:br/>
      </w:r>
      <w:r>
        <w:br/>
      </w:r>
      <w:r>
        <w:rPr>
          <w:rStyle w:val="VerbatimChar"/>
        </w:rPr>
        <w:t xml:space="preserve">Ciertos datos se conservan aún después de cancelación por obligaciones legales:</w:t>
      </w:r>
      <w:r>
        <w:br/>
      </w:r>
      <w:r>
        <w:br/>
      </w:r>
      <w:r>
        <w:rPr>
          <w:rStyle w:val="VerbatimChar"/>
        </w:rPr>
        <w:t xml:space="preserve">- **Ledger de transacciones** (billing, minutos, tareas): 7 años (Código Fiscal</w:t>
      </w:r>
      <w:r>
        <w:br/>
      </w:r>
      <w:r>
        <w:rPr>
          <w:rStyle w:val="VerbatimChar"/>
        </w:rPr>
        <w:t xml:space="preserve">  de la Federación art. 30).</w:t>
      </w:r>
      <w:r>
        <w:br/>
      </w:r>
      <w:r>
        <w:rPr>
          <w:rStyle w:val="VerbatimChar"/>
        </w:rPr>
        <w:t xml:space="preserve">- **Registros de auditoría de acceso** (admin_access_log): 7 años (LGTAIP).</w:t>
      </w:r>
      <w:r>
        <w:br/>
      </w:r>
      <w:r>
        <w:rPr>
          <w:rStyle w:val="VerbatimChar"/>
        </w:rPr>
        <w:t xml:space="preserve">- **Documentos con datos fiscales** (CFDI, facturas): 5 años (SAT).</w:t>
      </w:r>
      <w:r>
        <w:br/>
      </w:r>
      <w:r>
        <w:rPr>
          <w:rStyle w:val="VerbatimChar"/>
        </w:rPr>
        <w:t xml:space="preserve">- **Comunicaciones sujetas a disputa activa**: hasta resolución + 6 años.</w:t>
      </w:r>
      <w:r>
        <w:br/>
      </w:r>
      <w:r>
        <w:br/>
      </w:r>
      <w:r>
        <w:rPr>
          <w:rStyle w:val="VerbatimChar"/>
        </w:rPr>
        <w:t xml:space="preserve">Los datos exceptuados se **anonimizan** (nombre, teléfono, email reemplazados</w:t>
      </w:r>
      <w:r>
        <w:br/>
      </w:r>
      <w:r>
        <w:rPr>
          <w:rStyle w:val="VerbatimChar"/>
        </w:rPr>
        <w:t xml:space="preserve">por hash) pero se conservan los montos y timestamps.</w:t>
      </w:r>
    </w:p>
    <w:p>
      <w:r>
        <w:pict>
          <v:rect style="width:0;height:1.5pt" o:hralign="center" o:hrstd="t" o:hr="t"/>
        </w:pict>
      </w:r>
    </w:p>
    <w:bookmarkEnd w:id="15"/>
    <w:bookmarkStart w:id="16" w:name="alta-3-email-footer-legal"/>
    <w:p>
      <w:pPr>
        <w:pStyle w:val="Heading2"/>
      </w:pPr>
      <w:r>
        <w:t xml:space="preserve">🟠 ALTA 3 — Email footer legal</w:t>
      </w:r>
    </w:p>
    <w:p>
      <w:pPr>
        <w:pStyle w:val="FirstParagraph"/>
      </w:pPr>
      <w:r>
        <w:rPr>
          <w:b/>
          <w:bCs/>
        </w:rPr>
        <w:t xml:space="preserve">Ubicación código:</w:t>
      </w:r>
      <w:r>
        <w:t xml:space="preserve"> </w:t>
      </w:r>
      <w:r>
        <w:rPr>
          <w:rStyle w:val="VerbatimChar"/>
        </w:rPr>
        <w:t xml:space="preserve">src/lib/email/send.ts</w:t>
      </w:r>
      <w:r>
        <w:t xml:space="preserve"> </w:t>
      </w:r>
      <w:r>
        <w:t xml:space="preserve">— función</w:t>
      </w:r>
      <w:r>
        <w:t xml:space="preserve"> </w:t>
      </w:r>
      <w:r>
        <w:rPr>
          <w:rStyle w:val="VerbatimChar"/>
        </w:rPr>
        <w:t xml:space="preserve">shell()</w:t>
      </w:r>
      <w:r>
        <w:t xml:space="preserve"> </w:t>
      </w:r>
      <w:r>
        <w:t xml:space="preserve">o footer.</w:t>
      </w:r>
    </w:p>
    <w:p>
      <w:pPr>
        <w:pStyle w:val="BodyText"/>
      </w:pPr>
      <w:r>
        <w:rPr>
          <w:b/>
          <w:bCs/>
        </w:rPr>
        <w:t xml:space="preserve">Texto sugerido para footer HTML:</w:t>
      </w:r>
    </w:p>
    <w:p>
      <w:pPr>
        <w:pStyle w:val="SourceCode"/>
      </w:pPr>
      <w:r>
        <w:rPr>
          <w:rStyle w:val="VerbatimChar"/>
        </w:rPr>
        <w:t xml:space="preserve">Centinelia by Pneuma Studio · Monterrey, Nuevo León</w:t>
      </w:r>
      <w:r>
        <w:br/>
      </w:r>
      <w:r>
        <w:rPr>
          <w:rStyle w:val="VerbatimChar"/>
        </w:rPr>
        <w:t xml:space="preserve">[Términos] · [Privacidad] · [Ejercer ARCO: privacidad@centinelia.mx]</w:t>
      </w:r>
      <w:r>
        <w:br/>
      </w:r>
      <w:r>
        <w:rPr>
          <w:rStyle w:val="VerbatimChar"/>
        </w:rPr>
        <w:t xml:space="preserve">Este correo fue enviado como parte del servicio contratado. No es marketing.</w:t>
      </w:r>
    </w:p>
    <w:p>
      <w:pPr>
        <w:pStyle w:val="FirstParagraph"/>
      </w:pPr>
      <w:r>
        <w:t xml:space="preserve">Aplica a TODOS los emails transaccionales (welcome, factura, reset, notificación de pool, etc.).</w:t>
      </w:r>
    </w:p>
    <w:p>
      <w:r>
        <w:pict>
          <v:rect style="width:0;height:1.5pt" o:hralign="center" o:hrstd="t" o:hr="t"/>
        </w:pict>
      </w:r>
    </w:p>
    <w:bookmarkEnd w:id="16"/>
    <w:bookmarkStart w:id="17" w:name="alta-4-cookie-consent-banner"/>
    <w:p>
      <w:pPr>
        <w:pStyle w:val="Heading2"/>
      </w:pPr>
      <w:r>
        <w:t xml:space="preserve">🟠 ALTA 4 — Cookie consent banner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No hay banner. Sitio usa cookies funcionales (session, admin) — no third-party tracking, por lo que en México (LFPDPPP) no es estrictamente obligatorio, pero es mejor práctica publicar aviso.</w:t>
      </w:r>
    </w:p>
    <w:p>
      <w:pPr>
        <w:pStyle w:val="BodyText"/>
      </w:pPr>
      <w:r>
        <w:rPr>
          <w:b/>
          <w:bCs/>
        </w:rPr>
        <w:t xml:space="preserve">Recomendación:</w:t>
      </w:r>
      <w:r>
        <w:t xml:space="preserve"> </w:t>
      </w:r>
      <w:r>
        <w:t xml:space="preserve">Banner mínimo al primer visit con:</w:t>
      </w:r>
      <w:r>
        <w:t xml:space="preserve"> </w:t>
      </w:r>
      <w:r>
        <w:t xml:space="preserve">-</w:t>
      </w:r>
      <w:r>
        <w:t xml:space="preserve"> </w:t>
      </w:r>
      <w:r>
        <w:t xml:space="preserve">“Este sitio usa cookies esenciales para autenticación. No usamos cookies de publicidad ni tracking.”</w:t>
      </w:r>
      <w:r>
        <w:t xml:space="preserve"> </w:t>
      </w:r>
      <w:r>
        <w:t xml:space="preserve">- Botón</w:t>
      </w:r>
      <w:r>
        <w:t xml:space="preserve"> </w:t>
      </w:r>
      <w:r>
        <w:t xml:space="preserve">“Entendido”</w:t>
      </w:r>
      <w:r>
        <w:t xml:space="preserve"> </w:t>
      </w:r>
      <w:r>
        <w:t xml:space="preserve">(dismiss).</w:t>
      </w:r>
      <w:r>
        <w:t xml:space="preserve"> </w:t>
      </w:r>
      <w:r>
        <w:t xml:space="preserve">- Link a</w:t>
      </w:r>
      <w:r>
        <w:t xml:space="preserve"> </w:t>
      </w:r>
      <w:r>
        <w:rPr>
          <w:rStyle w:val="VerbatimChar"/>
        </w:rPr>
        <w:t xml:space="preserve">/privacidad-datos#cookies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Nota:</w:t>
      </w:r>
      <w:r>
        <w:t xml:space="preserve"> </w:t>
      </w:r>
      <w:r>
        <w:t xml:space="preserve">Si integramos Google Analytics o similar más adelante, banner de opt-in obligatorio.</w:t>
      </w:r>
    </w:p>
    <w:p>
      <w:r>
        <w:pict>
          <v:rect style="width:0;height:1.5pt" o:hralign="center" o:hrstd="t" o:hr="t"/>
        </w:pict>
      </w:r>
    </w:p>
    <w:bookmarkEnd w:id="17"/>
    <w:bookmarkStart w:id="18" w:name="alta-5-política-de-menores-de-edad"/>
    <w:p>
      <w:pPr>
        <w:pStyle w:val="Heading2"/>
      </w:pPr>
      <w:r>
        <w:t xml:space="preserve">🟠 ALTA 5 — Política de menores de edad</w:t>
      </w:r>
    </w:p>
    <w:p>
      <w:pPr>
        <w:pStyle w:val="FirstParagraph"/>
      </w:pPr>
      <w:r>
        <w:rPr>
          <w:b/>
          <w:bCs/>
        </w:rPr>
        <w:t xml:space="preserve">Ubicación código:</w:t>
      </w:r>
      <w:r>
        <w:t xml:space="preserve"> </w:t>
      </w:r>
      <w:r>
        <w:rPr>
          <w:rStyle w:val="VerbatimChar"/>
        </w:rPr>
        <w:t xml:space="preserve">src/app/legal/page.tsx</w:t>
      </w:r>
      <w:r>
        <w:t xml:space="preserve"> </w:t>
      </w:r>
      <w:r>
        <w:t xml:space="preserve">sección 2.4.</w:t>
      </w:r>
    </w:p>
    <w:p>
      <w:pPr>
        <w:pStyle w:val="BodyText"/>
      </w:pPr>
      <w:r>
        <w:rPr>
          <w:b/>
          <w:bCs/>
        </w:rPr>
        <w:t xml:space="preserve">Texto sugerido:</w:t>
      </w:r>
    </w:p>
    <w:p>
      <w:pPr>
        <w:pStyle w:val="SourceCode"/>
      </w:pPr>
      <w:r>
        <w:rPr>
          <w:rStyle w:val="VerbatimChar"/>
        </w:rPr>
        <w:t xml:space="preserve">### 2.4a Protección de Menores de Edad</w:t>
      </w:r>
      <w:r>
        <w:br/>
      </w:r>
      <w:r>
        <w:br/>
      </w:r>
      <w:r>
        <w:rPr>
          <w:rStyle w:val="VerbatimChar"/>
        </w:rPr>
        <w:t xml:space="preserve">El servicio está diseñado para uso por adultos representantes legales de un</w:t>
      </w:r>
      <w:r>
        <w:br/>
      </w:r>
      <w:r>
        <w:rPr>
          <w:rStyle w:val="VerbatimChar"/>
        </w:rPr>
        <w:t xml:space="preserve">negocio o entidad gubernamental. **No dirigimos publicidad a menores de edad.**</w:t>
      </w:r>
      <w:r>
        <w:br/>
      </w:r>
      <w:r>
        <w:br/>
      </w:r>
      <w:r>
        <w:rPr>
          <w:rStyle w:val="VerbatimChar"/>
        </w:rPr>
        <w:t xml:space="preserve">Cuando un menor de edad llame a un negocio operado por Centinelia (ejemplo:</w:t>
      </w:r>
      <w:r>
        <w:br/>
      </w:r>
      <w:r>
        <w:rPr>
          <w:rStyle w:val="VerbatimChar"/>
        </w:rPr>
        <w:t xml:space="preserve">municipio recibe llamada de menor para reportar problema urbano):</w:t>
      </w:r>
      <w:r>
        <w:br/>
      </w:r>
      <w:r>
        <w:br/>
      </w:r>
      <w:r>
        <w:rPr>
          <w:rStyle w:val="VerbatimChar"/>
        </w:rPr>
        <w:t xml:space="preserve">1. El agente digital solicita, cuando corresponde, un adulto responsable</w:t>
      </w:r>
      <w:r>
        <w:br/>
      </w:r>
      <w:r>
        <w:rPr>
          <w:rStyle w:val="VerbatimChar"/>
        </w:rPr>
        <w:t xml:space="preserve">   antes de continuar con trámites formales.</w:t>
      </w:r>
      <w:r>
        <w:br/>
      </w:r>
      <w:r>
        <w:rPr>
          <w:rStyle w:val="VerbatimChar"/>
        </w:rPr>
        <w:t xml:space="preserve">2. Si el menor proporciona datos personales espontáneamente:</w:t>
      </w:r>
      <w:r>
        <w:br/>
      </w:r>
      <w:r>
        <w:rPr>
          <w:rStyle w:val="VerbatimChar"/>
        </w:rPr>
        <w:t xml:space="preserve">   - Se capturan bajo la responsabilidad del adulto tutor si se identifica.</w:t>
      </w:r>
      <w:r>
        <w:br/>
      </w:r>
      <w:r>
        <w:rPr>
          <w:rStyle w:val="VerbatimChar"/>
        </w:rPr>
        <w:t xml:space="preserve">   - Se eliminan en **30 días** si el tutor lo solicita.</w:t>
      </w:r>
      <w:r>
        <w:br/>
      </w:r>
      <w:r>
        <w:rPr>
          <w:rStyle w:val="VerbatimChar"/>
        </w:rPr>
        <w:t xml:space="preserve">3. Para trámites que legalmente requieran datos de menores (pre-registro</w:t>
      </w:r>
      <w:r>
        <w:br/>
      </w:r>
      <w:r>
        <w:rPr>
          <w:rStyle w:val="VerbatimChar"/>
        </w:rPr>
        <w:t xml:space="preserve">   escolar, apoyos sociales):</w:t>
      </w:r>
      <w:r>
        <w:br/>
      </w:r>
      <w:r>
        <w:rPr>
          <w:rStyle w:val="VerbatimChar"/>
        </w:rPr>
        <w:t xml:space="preserve">   - Se requiere **consentimiento expreso del adulto responsable**, grabado</w:t>
      </w:r>
      <w:r>
        <w:br/>
      </w:r>
      <w:r>
        <w:rPr>
          <w:rStyle w:val="VerbatimChar"/>
        </w:rPr>
        <w:t xml:space="preserve">     en la propia llamada o en documento escrito.</w:t>
      </w:r>
      <w:r>
        <w:br/>
      </w:r>
      <w:r>
        <w:rPr>
          <w:rStyle w:val="VerbatimChar"/>
        </w:rPr>
        <w:t xml:space="preserve">   - Se retienen únicamente el tiempo necesario para el trámite.</w:t>
      </w:r>
      <w:r>
        <w:br/>
      </w:r>
      <w:r>
        <w:rPr>
          <w:rStyle w:val="VerbatimChar"/>
        </w:rPr>
        <w:t xml:space="preserve">   - El titular puede solicitar eliminación al cumplir 18 años.</w:t>
      </w:r>
    </w:p>
    <w:p>
      <w:r>
        <w:pict>
          <v:rect style="width:0;height:1.5pt" o:hralign="center" o:hrstd="t" o:hr="t"/>
        </w:pict>
      </w:r>
    </w:p>
    <w:bookmarkEnd w:id="18"/>
    <w:bookmarkStart w:id="19" w:name="alta-6-health-data-incidental"/>
    <w:p>
      <w:pPr>
        <w:pStyle w:val="Heading2"/>
      </w:pPr>
      <w:r>
        <w:t xml:space="preserve">🟠 ALTA 6 — Health data incidental</w:t>
      </w:r>
    </w:p>
    <w:p>
      <w:pPr>
        <w:pStyle w:val="FirstParagraph"/>
      </w:pPr>
      <w:r>
        <w:rPr>
          <w:b/>
          <w:bCs/>
        </w:rPr>
        <w:t xml:space="preserve">Ubicación:</w:t>
      </w:r>
      <w:r>
        <w:t xml:space="preserve"> </w:t>
      </w:r>
      <w:r>
        <w:rPr>
          <w:rStyle w:val="VerbatimChar"/>
        </w:rPr>
        <w:t xml:space="preserve">src/app/legal/page.tsx</w:t>
      </w:r>
      <w:r>
        <w:t xml:space="preserve"> </w:t>
      </w:r>
      <w:r>
        <w:t xml:space="preserve">sección 2.4 (expandir).</w:t>
      </w:r>
    </w:p>
    <w:p>
      <w:pPr>
        <w:pStyle w:val="BodyText"/>
      </w:pPr>
      <w:r>
        <w:rPr>
          <w:b/>
          <w:bCs/>
        </w:rPr>
        <w:t xml:space="preserve">Texto sugerido:</w:t>
      </w:r>
    </w:p>
    <w:p>
      <w:pPr>
        <w:pStyle w:val="SourceCode"/>
      </w:pPr>
      <w:r>
        <w:rPr>
          <w:rStyle w:val="VerbatimChar"/>
        </w:rPr>
        <w:t xml:space="preserve">### Datos de Salud Incidentales</w:t>
      </w:r>
      <w:r>
        <w:br/>
      </w:r>
      <w:r>
        <w:br/>
      </w:r>
      <w:r>
        <w:rPr>
          <w:rStyle w:val="VerbatimChar"/>
        </w:rPr>
        <w:t xml:space="preserve">Si un titular proporciona espontáneamente información sobre su estado de salud</w:t>
      </w:r>
      <w:r>
        <w:br/>
      </w:r>
      <w:r>
        <w:rPr>
          <w:rStyle w:val="VerbatimChar"/>
        </w:rPr>
        <w:t xml:space="preserve">durante una llamada (ejemplo: "soy diabético y me cuesta caminar"), Centinelia:</w:t>
      </w:r>
      <w:r>
        <w:br/>
      </w:r>
      <w:r>
        <w:br/>
      </w:r>
      <w:r>
        <w:rPr>
          <w:rStyle w:val="VerbatimChar"/>
        </w:rPr>
        <w:t xml:space="preserve">1. NO usa esos datos para perfilar al llamante ni para decisiones automatizadas.</w:t>
      </w:r>
      <w:r>
        <w:br/>
      </w:r>
      <w:r>
        <w:rPr>
          <w:rStyle w:val="VerbatimChar"/>
        </w:rPr>
        <w:t xml:space="preserve">2. Marca la grabación/transcripción para retención mínima de **30 días** salvo</w:t>
      </w:r>
      <w:r>
        <w:br/>
      </w:r>
      <w:r>
        <w:rPr>
          <w:rStyle w:val="VerbatimChar"/>
        </w:rPr>
        <w:t xml:space="preserve">   que sea necesaria para el trámite explícito.</w:t>
      </w:r>
      <w:r>
        <w:br/>
      </w:r>
      <w:r>
        <w:rPr>
          <w:rStyle w:val="VerbatimChar"/>
        </w:rPr>
        <w:t xml:space="preserve">3. NO transfiere datos de salud a sub-procesadores adicionales sin consentimiento</w:t>
      </w:r>
      <w:r>
        <w:br/>
      </w:r>
      <w:r>
        <w:rPr>
          <w:rStyle w:val="VerbatimChar"/>
        </w:rPr>
        <w:t xml:space="preserve">   expreso del titular.</w:t>
      </w:r>
      <w:r>
        <w:br/>
      </w:r>
      <w:r>
        <w:rPr>
          <w:rStyle w:val="VerbatimChar"/>
        </w:rPr>
        <w:t xml:space="preserve">4. Permite eliminación inmediata a solicitud, sin requerir 20 días hábiles</w:t>
      </w:r>
      <w:r>
        <w:br/>
      </w:r>
      <w:r>
        <w:rPr>
          <w:rStyle w:val="VerbatimChar"/>
        </w:rPr>
        <w:t xml:space="preserve">   del proceso ARCO estándar.</w:t>
      </w:r>
    </w:p>
    <w:p>
      <w:r>
        <w:pict>
          <v:rect style="width:0;height:1.5pt" o:hralign="center" o:hrstd="t" o:hr="t"/>
        </w:pict>
      </w:r>
    </w:p>
    <w:bookmarkEnd w:id="19"/>
    <w:bookmarkStart w:id="20" w:name="Xa39b1e62f55c7f34b242f4b7ed96ec9d07d36a1"/>
    <w:p>
      <w:pPr>
        <w:pStyle w:val="Heading2"/>
      </w:pPr>
      <w:r>
        <w:t xml:space="preserve">🟢 MEDIA 1 — Divulgación cross-border explícita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Aviso menciona US pero no región/AWS específica.</w:t>
      </w:r>
    </w:p>
    <w:p>
      <w:pPr>
        <w:pStyle w:val="BodyText"/>
      </w:pPr>
      <w:r>
        <w:rPr>
          <w:b/>
          <w:bCs/>
        </w:rPr>
        <w:t xml:space="preserve">Texto sugerido en sección 2.6:</w:t>
      </w:r>
    </w:p>
    <w:p>
      <w:pPr>
        <w:pStyle w:val="SourceCode"/>
      </w:pPr>
      <w:r>
        <w:rPr>
          <w:rStyle w:val="VerbatimChar"/>
        </w:rPr>
        <w:t xml:space="preserve">Los datos personales se procesan y almacenan en servidores de nuestros</w:t>
      </w:r>
      <w:r>
        <w:br/>
      </w:r>
      <w:r>
        <w:rPr>
          <w:rStyle w:val="VerbatimChar"/>
        </w:rPr>
        <w:t xml:space="preserve">sub-procesadores ubicados en **Estados Unidos** (región AWS us-east-1 para</w:t>
      </w:r>
      <w:r>
        <w:br/>
      </w:r>
      <w:r>
        <w:rPr>
          <w:rStyle w:val="VerbatimChar"/>
        </w:rPr>
        <w:t xml:space="preserve">Supabase; datacenters de Vercel/Vapi/Anthropic en territorio estadounidense).</w:t>
      </w:r>
      <w:r>
        <w:br/>
      </w:r>
      <w:r>
        <w:br/>
      </w:r>
      <w:r>
        <w:rPr>
          <w:rStyle w:val="VerbatimChar"/>
        </w:rPr>
        <w:t xml:space="preserve">Conforme al artículo 37 fracción III de LFPDPPP, estas transferencias</w:t>
      </w:r>
      <w:r>
        <w:br/>
      </w:r>
      <w:r>
        <w:rPr>
          <w:rStyle w:val="VerbatimChar"/>
        </w:rPr>
        <w:t xml:space="preserve">internacionales se realizan porque son **necesarias para la prestación del</w:t>
      </w:r>
      <w:r>
        <w:br/>
      </w:r>
      <w:r>
        <w:rPr>
          <w:rStyle w:val="VerbatimChar"/>
        </w:rPr>
        <w:t xml:space="preserve">servicio contratado**. El titular puede revocar consentimiento en cualquier</w:t>
      </w:r>
      <w:r>
        <w:br/>
      </w:r>
      <w:r>
        <w:rPr>
          <w:rStyle w:val="VerbatimChar"/>
        </w:rPr>
        <w:t xml:space="preserve">momento contactando privacidad@centinelia.mx.</w:t>
      </w:r>
      <w:r>
        <w:br/>
      </w:r>
      <w:r>
        <w:br/>
      </w:r>
      <w:r>
        <w:rPr>
          <w:rStyle w:val="VerbatimChar"/>
        </w:rPr>
        <w:t xml:space="preserve">**Nota importante para clientes gobierno:** si el Cliente requiere que los</w:t>
      </w:r>
      <w:r>
        <w:br/>
      </w:r>
      <w:r>
        <w:rPr>
          <w:rStyle w:val="VerbatimChar"/>
        </w:rPr>
        <w:t xml:space="preserve">datos permanezcan en territorio nacional mexicano por normativa sectorial,</w:t>
      </w:r>
      <w:r>
        <w:br/>
      </w:r>
      <w:r>
        <w:rPr>
          <w:rStyle w:val="VerbatimChar"/>
        </w:rPr>
        <w:t xml:space="preserve">Centinelia puede negociar acuerdo específico. Contactar hola@centinelia.mx.</w:t>
      </w:r>
    </w:p>
    <w:p>
      <w:r>
        <w:pict>
          <v:rect style="width:0;height:1.5pt" o:hralign="center" o:hrstd="t" o:hr="t"/>
        </w:pict>
      </w:r>
    </w:p>
    <w:bookmarkEnd w:id="20"/>
    <w:bookmarkStart w:id="21" w:name="checklist-de-preguntas-prioritarias"/>
    <w:p>
      <w:pPr>
        <w:pStyle w:val="Heading2"/>
      </w:pPr>
      <w:r>
        <w:t xml:space="preserve">Checklist de preguntas prioritarias</w:t>
      </w:r>
    </w:p>
    <w:p>
      <w:pPr>
        <w:pStyle w:val="FirstParagraph"/>
      </w:pPr>
      <w:r>
        <w:t xml:space="preserve">Antes de tu sesión con el abogado (2h estimadas):</w:t>
      </w:r>
    </w:p>
    <w:p>
      <w:pPr>
        <w:pStyle w:val="Compact"/>
        <w:numPr>
          <w:ilvl w:val="0"/>
          <w:numId w:val="1001"/>
        </w:numPr>
      </w:pPr>
      <w:r>
        <w:t xml:space="preserve">¿Cuáles de los 10 items DEBEMOS shippear antes de firmar Municipio?</w:t>
      </w:r>
    </w:p>
    <w:p>
      <w:pPr>
        <w:pStyle w:val="Compact"/>
        <w:numPr>
          <w:ilvl w:val="0"/>
          <w:numId w:val="1001"/>
        </w:numPr>
      </w:pPr>
      <w:r>
        <w:t xml:space="preserve">¿DPAs con Vapi/Stripe/Anthropic — pedir vía email o hay proceso formal?</w:t>
      </w:r>
    </w:p>
    <w:p>
      <w:pPr>
        <w:pStyle w:val="Compact"/>
        <w:numPr>
          <w:ilvl w:val="0"/>
          <w:numId w:val="1001"/>
        </w:numPr>
      </w:pPr>
      <w:r>
        <w:t xml:space="preserve">¿La retención 90 vs 12 meses la decidimos como negocio (¿cuál compramos?)?</w:t>
      </w:r>
    </w:p>
    <w:p>
      <w:pPr>
        <w:pStyle w:val="Compact"/>
        <w:numPr>
          <w:ilvl w:val="0"/>
          <w:numId w:val="1001"/>
        </w:numPr>
      </w:pPr>
      <w:r>
        <w:t xml:space="preserve">¿Necesitamos firma electrónica avanzada (e.firma SAT) para contrato Municipio o basta con signature digital simple?</w:t>
      </w:r>
    </w:p>
    <w:p>
      <w:pPr>
        <w:pStyle w:val="Compact"/>
        <w:numPr>
          <w:ilvl w:val="0"/>
          <w:numId w:val="1001"/>
        </w:numPr>
      </w:pPr>
      <w:r>
        <w:t xml:space="preserve">¿Debemos registrar Centinelia como</w:t>
      </w:r>
      <w:r>
        <w:t xml:space="preserve"> </w:t>
      </w:r>
      <w:r>
        <w:t xml:space="preserve">“prestador de servicios especializados”</w:t>
      </w:r>
      <w:r>
        <w:t xml:space="preserve"> </w:t>
      </w:r>
      <w:r>
        <w:t xml:space="preserve">en algún padrón para vender a gobierno?</w:t>
      </w:r>
    </w:p>
    <w:p>
      <w:pPr>
        <w:pStyle w:val="Compact"/>
        <w:numPr>
          <w:ilvl w:val="0"/>
          <w:numId w:val="1001"/>
        </w:numPr>
      </w:pPr>
      <w:r>
        <w:t xml:space="preserve">¿Riesgo de que INAI multe por consent captured antes de fix P8 (consent_log solo desde hoy)?</w:t>
      </w:r>
    </w:p>
    <w:p>
      <w:pPr>
        <w:pStyle w:val="Compact"/>
        <w:numPr>
          <w:ilvl w:val="0"/>
          <w:numId w:val="1001"/>
        </w:numPr>
      </w:pPr>
      <w:r>
        <w:t xml:space="preserve">¿Cláusula de limitación de responsabilidad razonable ante Municipio (dinero o multiplos de facturación)?</w:t>
      </w:r>
    </w:p>
    <w:p>
      <w:pPr>
        <w:pStyle w:val="Compact"/>
        <w:numPr>
          <w:ilvl w:val="0"/>
          <w:numId w:val="1001"/>
        </w:numPr>
      </w:pPr>
      <w:r>
        <w:t xml:space="preserve">¿Recomiendan alguna cobertura de seguro cyber liability?</w:t>
      </w:r>
    </w:p>
    <w:p>
      <w:r>
        <w:pict>
          <v:rect style="width:0;height:1.5pt" o:hralign="center" o:hrstd="t" o:hr="t"/>
        </w:pict>
      </w:r>
    </w:p>
    <w:bookmarkEnd w:id="21"/>
    <w:bookmarkStart w:id="22" w:name="archivos-de-referencia"/>
    <w:p>
      <w:pPr>
        <w:pStyle w:val="Heading2"/>
      </w:pPr>
      <w:r>
        <w:t xml:space="preserve">Archivos de referencia</w:t>
      </w:r>
    </w:p>
    <w:p>
      <w:pPr>
        <w:pStyle w:val="Compact"/>
        <w:numPr>
          <w:ilvl w:val="0"/>
          <w:numId w:val="1002"/>
        </w:numPr>
      </w:pPr>
      <w:r>
        <w:t xml:space="preserve">Aviso privacidad actual:</w:t>
      </w:r>
      <w:r>
        <w:t xml:space="preserve"> </w:t>
      </w:r>
      <w:r>
        <w:rPr>
          <w:rStyle w:val="VerbatimChar"/>
        </w:rPr>
        <w:t xml:space="preserve">src/app/legal/page.tsx</w:t>
      </w:r>
    </w:p>
    <w:p>
      <w:pPr>
        <w:pStyle w:val="Compact"/>
        <w:numPr>
          <w:ilvl w:val="0"/>
          <w:numId w:val="1002"/>
        </w:numPr>
      </w:pPr>
      <w:r>
        <w:t xml:space="preserve">Aviso plain:</w:t>
      </w:r>
      <w:r>
        <w:t xml:space="preserve"> </w:t>
      </w:r>
      <w:r>
        <w:rPr>
          <w:rStyle w:val="VerbatimChar"/>
        </w:rPr>
        <w:t xml:space="preserve">src/app/privacidad-datos/page.tsx</w:t>
      </w:r>
    </w:p>
    <w:p>
      <w:pPr>
        <w:pStyle w:val="Compact"/>
        <w:numPr>
          <w:ilvl w:val="0"/>
          <w:numId w:val="1002"/>
        </w:numPr>
      </w:pPr>
      <w:r>
        <w:t xml:space="preserve">Contract template:</w:t>
      </w:r>
      <w:r>
        <w:t xml:space="preserve"> </w:t>
      </w:r>
      <w:r>
        <w:rPr>
          <w:rStyle w:val="VerbatimChar"/>
        </w:rPr>
        <w:t xml:space="preserve">src/lib/contract/template.tsx</w:t>
      </w:r>
      <w:r>
        <w:t xml:space="preserve"> </w:t>
      </w:r>
      <w:r>
        <w:t xml:space="preserve">(o buscar por</w:t>
      </w:r>
      <w:r>
        <w:t xml:space="preserve"> </w:t>
      </w:r>
      <w:r>
        <w:t xml:space="preserve">“contrato”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Voice recording notice:</w:t>
      </w:r>
      <w:r>
        <w:t xml:space="preserve"> </w:t>
      </w:r>
      <w:r>
        <w:rPr>
          <w:rStyle w:val="VerbatimChar"/>
        </w:rPr>
        <w:t xml:space="preserve">src/lib/vapi/sync.ts:618</w:t>
      </w:r>
      <w:r>
        <w:t xml:space="preserve"> </w:t>
      </w:r>
      <w:r>
        <w:t xml:space="preserve">(ya OK)</w:t>
      </w:r>
    </w:p>
    <w:p>
      <w:pPr>
        <w:pStyle w:val="Compact"/>
        <w:numPr>
          <w:ilvl w:val="0"/>
          <w:numId w:val="1002"/>
        </w:numPr>
      </w:pPr>
      <w:r>
        <w:t xml:space="preserve">Consent log helper:</w:t>
      </w:r>
      <w:r>
        <w:t xml:space="preserve"> </w:t>
      </w:r>
      <w:r>
        <w:rPr>
          <w:rStyle w:val="VerbatimChar"/>
        </w:rPr>
        <w:t xml:space="preserve">src/lib/legal/consent-log.ts</w:t>
      </w:r>
      <w:r>
        <w:t xml:space="preserve"> </w:t>
      </w:r>
      <w:r>
        <w:t xml:space="preserve">(nuevo, shipped)</w:t>
      </w:r>
    </w:p>
    <w:p>
      <w:pPr>
        <w:pStyle w:val="Compact"/>
        <w:numPr>
          <w:ilvl w:val="0"/>
          <w:numId w:val="1002"/>
        </w:numPr>
      </w:pPr>
      <w:r>
        <w:t xml:space="preserve">Cron retention:</w:t>
      </w:r>
      <w:r>
        <w:t xml:space="preserve"> </w:t>
      </w:r>
      <w:r>
        <w:rPr>
          <w:rStyle w:val="VerbatimChar"/>
        </w:rPr>
        <w:t xml:space="preserve">src/app/api/cron/cleanup-analytics/route.ts</w:t>
      </w:r>
      <w:r>
        <w:t xml:space="preserve"> </w:t>
      </w:r>
      <w:r>
        <w:t xml:space="preserve">(nuevo, shipped)</w:t>
      </w:r>
    </w:p>
    <w:p>
      <w:r>
        <w:pict>
          <v:rect style="width:0;height:1.5pt" o:hralign="center" o:hrstd="t" o:hr="t"/>
        </w:pict>
      </w:r>
    </w:p>
    <w:bookmarkEnd w:id="22"/>
    <w:bookmarkStart w:id="23" w:name="timeline-sugerido"/>
    <w:p>
      <w:pPr>
        <w:pStyle w:val="Heading2"/>
      </w:pPr>
      <w:r>
        <w:t xml:space="preserve">Timeline sugerido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Semana 1:</w:t>
      </w:r>
      <w:r>
        <w:t xml:space="preserve"> </w:t>
      </w:r>
      <w:r>
        <w:t xml:space="preserve">Reunión abogado. Aterrizar decisión sobre P1, P2, P4, P5. Encargar DPAs.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Semana 2:</w:t>
      </w:r>
      <w:r>
        <w:t xml:space="preserve"> </w:t>
      </w:r>
      <w:r>
        <w:t xml:space="preserve">Publicar AUP, cookie banner, política menores, email footer, data breach section, health data clause. Todo texto que se decida.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Semana 3:</w:t>
      </w:r>
      <w:r>
        <w:t xml:space="preserve"> </w:t>
      </w:r>
      <w:r>
        <w:t xml:space="preserve">Firmar contrato Municipio con LGTAIP clause + DPA references.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Continuo:</w:t>
      </w:r>
      <w:r>
        <w:t xml:space="preserve"> </w:t>
      </w:r>
      <w:r>
        <w:t xml:space="preserve">Monitorear DPAs pendientes; hookear cuando firmemos.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Revisión legal Centinelia — Pre-contrato Municipio</dc:title>
  <dc:creator>Centinelia (Pneuma Studio)</dc:creator>
  <cp:keywords/>
  <dcterms:created xsi:type="dcterms:W3CDTF">2026-08-11T05:19:49Z</dcterms:created>
  <dcterms:modified xsi:type="dcterms:W3CDTF">2026-08-11T05:19:49Z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11 de agosto de 2026</vt:lpwstr>
  </property>
</Properties>
</file>