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proofErr w:type="spellStart"/>
      <w:r w:rsidR="00A242FA" w:rsidRPr="00D10010">
        <w:rPr>
          <w:szCs w:val="28"/>
          <w:lang w:val="en-US"/>
        </w:rPr>
        <w:t>Kompas</w:t>
      </w:r>
      <w:proofErr w:type="spellEnd"/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Яловский</w:t>
      </w:r>
      <w:proofErr w:type="spellEnd"/>
      <w:r w:rsidRPr="00D10010">
        <w:rPr>
          <w:szCs w:val="28"/>
        </w:rPr>
        <w:t xml:space="preserve">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proofErr w:type="spellStart"/>
      <w:r w:rsidRPr="00D10010">
        <w:rPr>
          <w:szCs w:val="28"/>
        </w:rPr>
        <w:t>Калентьев</w:t>
      </w:r>
      <w:proofErr w:type="spellEnd"/>
      <w:r w:rsidRPr="00D10010">
        <w:rPr>
          <w:szCs w:val="28"/>
        </w:rPr>
        <w:t xml:space="preserve">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F1042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F1042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F10421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D10010">
        <w:rPr>
          <w:rFonts w:cs="Times New Roman"/>
          <w:szCs w:val="28"/>
        </w:rPr>
        <w:t>CreateKompasObject</w:t>
      </w:r>
      <w:proofErr w:type="spellEnd"/>
      <w:r w:rsidRPr="00D10010">
        <w:rPr>
          <w:rFonts w:cs="Times New Roman"/>
          <w:szCs w:val="28"/>
        </w:rPr>
        <w:t>(</w:t>
      </w:r>
      <w:proofErr w:type="gramEnd"/>
      <w:r w:rsidRPr="00D10010">
        <w:rPr>
          <w:rFonts w:cs="Times New Roman"/>
          <w:szCs w:val="28"/>
        </w:rPr>
        <w:t>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D10010">
        <w:rPr>
          <w:rFonts w:cs="Times New Roman"/>
          <w:szCs w:val="28"/>
        </w:rPr>
        <w:t>KompasObject</w:t>
      </w:r>
      <w:proofErr w:type="spellEnd"/>
      <w:r w:rsidRPr="00D10010">
        <w:rPr>
          <w:rFonts w:cs="Times New Roman"/>
          <w:szCs w:val="28"/>
        </w:rPr>
        <w:t>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 xml:space="preserve">Таблица 1.1. 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proofErr w:type="spellStart"/>
      <w:r w:rsidRPr="00D10010">
        <w:rPr>
          <w:lang w:val="en"/>
        </w:rPr>
        <w:t>Ll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proofErr w:type="spellStart"/>
      <w:r w:rsidRPr="00D10010">
        <w:rPr>
          <w:lang w:val="en"/>
        </w:rPr>
        <w:t>Lw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proofErr w:type="spellStart"/>
      <w:r w:rsidRPr="00D10010">
        <w:rPr>
          <w:lang w:val="en"/>
        </w:rPr>
        <w:t>Lh</w:t>
      </w:r>
      <w:proofErr w:type="spellEnd"/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proofErr w:type="spellStart"/>
      <w:proofErr w:type="gramStart"/>
      <w:r w:rsidRPr="00D10010">
        <w:rPr>
          <w:lang w:val="en"/>
        </w:rPr>
        <w:t>Ll</w:t>
      </w:r>
      <w:proofErr w:type="spellEnd"/>
      <w:r w:rsidRPr="00D10010">
        <w:t>&lt;</w:t>
      </w:r>
      <w:proofErr w:type="gramEnd"/>
      <w:r w:rsidRPr="00D10010">
        <w:t xml:space="preserve">= </w:t>
      </w:r>
      <w:r w:rsidRPr="00D10010">
        <w:rPr>
          <w:lang w:val="en"/>
        </w:rPr>
        <w:t>H</w:t>
      </w:r>
      <w:r w:rsidRPr="00D10010">
        <w:t>/4), (</w:t>
      </w:r>
      <w:proofErr w:type="spellStart"/>
      <w:r w:rsidRPr="00D10010">
        <w:rPr>
          <w:lang w:val="en"/>
        </w:rPr>
        <w:t>Lw</w:t>
      </w:r>
      <w:proofErr w:type="spellEnd"/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proofErr w:type="spellStart"/>
      <w:r w:rsidRPr="00D10010">
        <w:rPr>
          <w:lang w:val="en"/>
        </w:rPr>
        <w:t>Lh</w:t>
      </w:r>
      <w:proofErr w:type="spellEnd"/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</w:t>
      </w:r>
      <w:proofErr w:type="spellStart"/>
      <w:r w:rsidRPr="00D10010">
        <w:rPr>
          <w:rFonts w:cs="Times New Roman"/>
          <w:szCs w:val="28"/>
        </w:rPr>
        <w:t>interaction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diagrams</w:t>
      </w:r>
      <w:proofErr w:type="spellEnd"/>
      <w:r w:rsidRPr="00D10010">
        <w:rPr>
          <w:rFonts w:cs="Times New Roman"/>
          <w:szCs w:val="28"/>
        </w:rPr>
        <w:t>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</w:t>
      </w:r>
      <w:proofErr w:type="spellStart"/>
      <w:r w:rsidRPr="00D10010">
        <w:rPr>
          <w:rFonts w:cs="Times New Roman"/>
          <w:szCs w:val="28"/>
        </w:rPr>
        <w:t>use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case</w:t>
      </w:r>
      <w:proofErr w:type="spellEnd"/>
      <w:r w:rsidRPr="00D10010">
        <w:rPr>
          <w:rFonts w:cs="Times New Roman"/>
          <w:szCs w:val="28"/>
        </w:rPr>
        <w:t>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3D317E13" w:rsidR="00DA748B" w:rsidRDefault="00C3321C" w:rsidP="00EA74F9">
      <w:pPr>
        <w:ind w:firstLine="708"/>
        <w:rPr>
          <w:rFonts w:cs="Times New Roman"/>
          <w:szCs w:val="28"/>
        </w:rPr>
      </w:pPr>
      <w:commentRangeStart w:id="0"/>
      <w:commentRangeStart w:id="1"/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End w:id="0"/>
      <w:r w:rsidR="001542BB">
        <w:rPr>
          <w:rStyle w:val="af1"/>
        </w:rPr>
        <w:commentReference w:id="0"/>
      </w:r>
      <w:commentRangeEnd w:id="1"/>
      <w:r w:rsidR="002C031F">
        <w:rPr>
          <w:rStyle w:val="af1"/>
        </w:rPr>
        <w:commentReference w:id="1"/>
      </w:r>
      <w:r w:rsidR="0088468D">
        <w:rPr>
          <w:rFonts w:cs="Times New Roman"/>
          <w:szCs w:val="28"/>
        </w:rPr>
        <w:t>Реализация дополнительной функциональности (построение доп. отверстий с других сторон) добавила три дополнительных параметра к сущности «Ввести данные».</w:t>
      </w:r>
      <w:r w:rsidR="0088468D" w:rsidRPr="0088468D">
        <w:rPr>
          <w:rFonts w:cs="Times New Roman"/>
          <w:szCs w:val="28"/>
        </w:rPr>
        <w:t xml:space="preserve"> </w:t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77092504" w:rsidR="005D7959" w:rsidRPr="00D10010" w:rsidRDefault="001542BB" w:rsidP="00EF4C49">
      <w:pPr>
        <w:jc w:val="center"/>
        <w:rPr>
          <w:rFonts w:cs="Times New Roman"/>
          <w:szCs w:val="28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762524">
        <w:rPr>
          <w:rStyle w:val="af1"/>
        </w:rPr>
        <w:commentReference w:id="3"/>
      </w:r>
      <w:r w:rsidR="00762524">
        <w:rPr>
          <w:rFonts w:cs="Times New Roman"/>
          <w:noProof/>
          <w:szCs w:val="28"/>
        </w:rPr>
        <w:drawing>
          <wp:inline distT="0" distB="0" distL="0" distR="0" wp14:anchorId="0773FBFA" wp14:editId="2B47A81D">
            <wp:extent cx="611505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lastRenderedPageBreak/>
        <w:t>HiveParams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fa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035341">
      <w:pPr>
        <w:pStyle w:val="afa"/>
        <w:ind w:left="0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ValidateAndSet</w:t>
      </w:r>
      <w:proofErr w:type="spellEnd"/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fa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CreateLeftHoles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CreateRightHoles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CreateBackHoles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fa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fa"/>
        <w:ind w:left="0" w:firstLine="284"/>
        <w:rPr>
          <w:color w:val="000000" w:themeColor="text1"/>
        </w:rPr>
      </w:pPr>
      <w:commentRangeStart w:id="4"/>
      <w:commentRangeStart w:id="5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4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4"/>
      </w:r>
      <w:commentRangeEnd w:id="5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5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666B96BE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6"/>
      <w:commentRangeStart w:id="7"/>
      <w:commentRangeEnd w:id="6"/>
      <w:r>
        <w:rPr>
          <w:rStyle w:val="af1"/>
        </w:rPr>
        <w:lastRenderedPageBreak/>
        <w:commentReference w:id="6"/>
      </w:r>
      <w:commentRangeEnd w:id="7"/>
      <w:r w:rsidR="0048114D">
        <w:rPr>
          <w:rStyle w:val="af1"/>
        </w:rPr>
        <w:commentReference w:id="7"/>
      </w:r>
      <w:r w:rsidR="00606F9F">
        <w:rPr>
          <w:rFonts w:cs="Times New Roman"/>
          <w:b/>
          <w:noProof/>
          <w:szCs w:val="28"/>
        </w:rPr>
        <w:drawing>
          <wp:inline distT="0" distB="0" distL="0" distR="0" wp14:anchorId="15A2FD21" wp14:editId="7FA70EED">
            <wp:extent cx="5586181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72" cy="48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Pr="00606F9F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Пользовательский интерфейс, или UI (</w:t>
      </w:r>
      <w:proofErr w:type="spellStart"/>
      <w:r w:rsidRPr="00D10010">
        <w:rPr>
          <w:rFonts w:cs="Times New Roman"/>
          <w:szCs w:val="28"/>
        </w:rPr>
        <w:t>User</w:t>
      </w:r>
      <w:proofErr w:type="spellEnd"/>
      <w:r w:rsidRPr="00D10010">
        <w:rPr>
          <w:rFonts w:cs="Times New Roman"/>
          <w:szCs w:val="28"/>
        </w:rPr>
        <w:t xml:space="preserve"> </w:t>
      </w:r>
      <w:proofErr w:type="spellStart"/>
      <w:r w:rsidRPr="00D10010">
        <w:rPr>
          <w:rFonts w:cs="Times New Roman"/>
          <w:szCs w:val="28"/>
        </w:rPr>
        <w:t>Interface</w:t>
      </w:r>
      <w:proofErr w:type="spellEnd"/>
      <w:r w:rsidRPr="00D10010">
        <w:rPr>
          <w:rFonts w:cs="Times New Roman"/>
          <w:szCs w:val="28"/>
        </w:rPr>
        <w:t xml:space="preserve">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</w:t>
      </w:r>
      <w:r w:rsidR="00AB52A4">
        <w:rPr>
          <w:rFonts w:cs="Times New Roman"/>
          <w:szCs w:val="28"/>
        </w:rPr>
        <w:lastRenderedPageBreak/>
        <w:t xml:space="preserve">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DC6370D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50ECE11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13607537" w14:textId="44043B6A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8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8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commentRangeStart w:id="9"/>
      <w:commentRangeStart w:id="10"/>
      <w:r>
        <w:rPr>
          <w:rFonts w:cs="Times New Roman"/>
          <w:noProof/>
          <w:szCs w:val="28"/>
          <w:lang w:eastAsia="ru-RU"/>
        </w:rPr>
        <w:t>Модель с минимальными входными параметр</w:t>
      </w:r>
      <w:commentRangeEnd w:id="9"/>
      <w:r w:rsidR="001542BB">
        <w:rPr>
          <w:rStyle w:val="af1"/>
        </w:rPr>
        <w:commentReference w:id="9"/>
      </w:r>
      <w:commentRangeEnd w:id="10"/>
      <w:r w:rsidR="00511FA3">
        <w:rPr>
          <w:rStyle w:val="af1"/>
        </w:rPr>
        <w:commentReference w:id="10"/>
      </w:r>
      <w:r>
        <w:rPr>
          <w:rFonts w:cs="Times New Roman"/>
          <w:noProof/>
          <w:szCs w:val="28"/>
          <w:lang w:eastAsia="ru-RU"/>
        </w:rPr>
        <w:t>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commentRangeStart w:id="11"/>
      <w:commentRangeStart w:id="12"/>
      <w:r>
        <w:rPr>
          <w:rFonts w:cs="Times New Roman"/>
          <w:noProof/>
          <w:szCs w:val="28"/>
          <w:lang w:eastAsia="ru-RU"/>
        </w:rPr>
        <w:t xml:space="preserve">Модель с максимальными входными </w:t>
      </w:r>
      <w:commentRangeEnd w:id="11"/>
      <w:r w:rsidR="001542BB">
        <w:rPr>
          <w:rStyle w:val="af1"/>
        </w:rPr>
        <w:commentReference w:id="11"/>
      </w:r>
      <w:commentRangeEnd w:id="12"/>
      <w:r w:rsidR="005B3FB0">
        <w:rPr>
          <w:rStyle w:val="af1"/>
        </w:rPr>
        <w:commentReference w:id="12"/>
      </w:r>
      <w:r>
        <w:rPr>
          <w:rFonts w:cs="Times New Roman"/>
          <w:noProof/>
          <w:szCs w:val="28"/>
          <w:lang w:eastAsia="ru-RU"/>
        </w:rPr>
        <w:t>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8A" w14:textId="70B2EFE4" w:rsidR="00AD729A" w:rsidRDefault="00894CB2" w:rsidP="00192DD5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83EAF0" w14:textId="77777777" w:rsidR="0036382B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lastRenderedPageBreak/>
        <w:tab/>
      </w:r>
    </w:p>
    <w:p w14:paraId="0D1DAD86" w14:textId="1645B6D6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5A80A733" w14:textId="77777777" w:rsidR="009C3C6D" w:rsidRDefault="009C3C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4FA07A4C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lastRenderedPageBreak/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77777777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6Гб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8.1.</w:t>
      </w:r>
    </w:p>
    <w:p w14:paraId="558D42AF" w14:textId="0AFBE553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</w:t>
      </w:r>
      <w:commentRangeStart w:id="13"/>
      <w:commentRangeStart w:id="14"/>
      <w:r w:rsidR="00EB02AC">
        <w:rPr>
          <w:rFonts w:eastAsia="Calibri" w:cs="Times New Roman"/>
          <w:szCs w:val="28"/>
        </w:rPr>
        <w:t xml:space="preserve">завершилась со сбоем из-за нехватки </w:t>
      </w:r>
      <w:commentRangeEnd w:id="13"/>
      <w:r w:rsidR="001542BB">
        <w:rPr>
          <w:rStyle w:val="af1"/>
        </w:rPr>
        <w:commentReference w:id="13"/>
      </w:r>
      <w:commentRangeEnd w:id="14"/>
      <w:r w:rsidR="00F63CF6">
        <w:rPr>
          <w:rStyle w:val="af1"/>
        </w:rPr>
        <w:commentReference w:id="14"/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4941DA">
      <w:pPr>
        <w:pStyle w:val="a3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147 деталей с максимальными параметрами программа также завершилась со сбоем. Но момент сбоя количество потребляемой памяти </w:t>
      </w:r>
      <w:r>
        <w:rPr>
          <w:rFonts w:eastAsia="Calibri" w:cs="Times New Roman"/>
          <w:szCs w:val="28"/>
        </w:rPr>
        <w:lastRenderedPageBreak/>
        <w:t>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6E41DB8">
            <wp:extent cx="611505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5A38442B" w:rsidR="00E63C91" w:rsidRPr="00D622CE" w:rsidRDefault="001542BB" w:rsidP="00D622CE">
      <w:pPr>
        <w:jc w:val="center"/>
        <w:rPr>
          <w:rFonts w:cs="Times New Roman"/>
          <w:b/>
          <w:noProof/>
          <w:szCs w:val="28"/>
          <w:lang w:eastAsia="ru-RU"/>
        </w:rPr>
      </w:pPr>
      <w:commentRangeStart w:id="15"/>
      <w:commentRangeStart w:id="16"/>
      <w:commentRangeEnd w:id="15"/>
      <w:r>
        <w:rPr>
          <w:rStyle w:val="af1"/>
        </w:rPr>
        <w:commentReference w:id="15"/>
      </w:r>
      <w:commentRangeEnd w:id="16"/>
      <w:r w:rsidR="00D622CE">
        <w:rPr>
          <w:rStyle w:val="af1"/>
        </w:rPr>
        <w:commentReference w:id="16"/>
      </w:r>
      <w:r w:rsidR="00EB02AC"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 w:rsidR="00EB02AC"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</w:p>
    <w:p w14:paraId="5F885C37" w14:textId="77777777" w:rsidR="004941DA" w:rsidRDefault="004941DA" w:rsidP="004941DA">
      <w:pPr>
        <w:ind w:firstLine="708"/>
      </w:pPr>
    </w:p>
    <w:p w14:paraId="3911130D" w14:textId="54A7A4E5" w:rsidR="006808D7" w:rsidRDefault="00184CEE" w:rsidP="0031780E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</w:p>
    <w:p w14:paraId="3E6DC121" w14:textId="1396E3F6" w:rsidR="00E46FDE" w:rsidRPr="00606F9F" w:rsidRDefault="00E46FDE" w:rsidP="0031780E">
      <w:pPr>
        <w:ind w:firstLine="708"/>
      </w:pPr>
    </w:p>
    <w:p w14:paraId="1EB40719" w14:textId="77777777" w:rsidR="00E46FDE" w:rsidRPr="0031780E" w:rsidRDefault="00E46FDE" w:rsidP="0031780E">
      <w:pPr>
        <w:ind w:firstLine="708"/>
        <w:rPr>
          <w:rFonts w:cs="Times New Roman"/>
          <w:bCs/>
          <w:noProof/>
          <w:szCs w:val="28"/>
          <w:lang w:eastAsia="ru-RU"/>
        </w:rPr>
      </w:pPr>
    </w:p>
    <w:p w14:paraId="478AB554" w14:textId="162F8BC0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программного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sewiki</w:t>
        </w:r>
        <w:proofErr w:type="spellEnd"/>
        <w:r w:rsidRPr="00D10010">
          <w:rPr>
            <w:rStyle w:val="a6"/>
            <w:color w:val="000000" w:themeColor="text1"/>
          </w:rPr>
          <w:t>.</w:t>
        </w:r>
        <w:proofErr w:type="spellStart"/>
        <w:r w:rsidRPr="00D10010">
          <w:rPr>
            <w:rStyle w:val="a6"/>
            <w:color w:val="000000" w:themeColor="text1"/>
            <w:lang w:val="en-US"/>
          </w:rPr>
          <w:t>ru</w:t>
        </w:r>
        <w:proofErr w:type="spellEnd"/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proofErr w:type="spellStart"/>
      <w:r w:rsidRPr="00D10010">
        <w:rPr>
          <w:lang w:val="en-US"/>
        </w:rPr>
        <w:t>ru</w:t>
      </w:r>
      <w:proofErr w:type="spellEnd"/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</w:t>
      </w:r>
      <w:proofErr w:type="spellStart"/>
      <w:r w:rsidRPr="00D10010">
        <w:t>Фаулер</w:t>
      </w:r>
      <w:proofErr w:type="spellEnd"/>
      <w:r w:rsidRPr="00D10010">
        <w:t xml:space="preserve">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7" w:history="1">
        <w:r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7:34:00Z" w:initials="KA">
    <w:p w14:paraId="561B4107" w14:textId="2D62497F" w:rsidR="00D622CE" w:rsidRDefault="00D622CE">
      <w:pPr>
        <w:pStyle w:val="af2"/>
      </w:pPr>
      <w:r>
        <w:rPr>
          <w:rStyle w:val="af1"/>
        </w:rPr>
        <w:annotationRef/>
      </w:r>
      <w:r>
        <w:t>Дело же не в виде, а в конкретной функции, которая повлекла изменение диаграммы…</w:t>
      </w:r>
    </w:p>
  </w:comment>
  <w:comment w:id="1" w:author="Administrator" w:date="2020-05-12T21:24:00Z" w:initials="A">
    <w:p w14:paraId="469CD70E" w14:textId="49F7DA18" w:rsid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2T17:35:00Z" w:initials="KA">
    <w:p w14:paraId="566082FB" w14:textId="51751FE1" w:rsidR="00D622CE" w:rsidRDefault="00D622CE">
      <w:pPr>
        <w:pStyle w:val="af2"/>
      </w:pPr>
      <w:r>
        <w:rPr>
          <w:rStyle w:val="af1"/>
        </w:rPr>
        <w:annotationRef/>
      </w:r>
      <w:r>
        <w:t>Косяк в ПС</w:t>
      </w:r>
    </w:p>
  </w:comment>
  <w:comment w:id="3" w:author="Administrator" w:date="2020-05-12T20:57:00Z" w:initials="A">
    <w:p w14:paraId="34DE0B68" w14:textId="085F2D12" w:rsidR="00D622CE" w:rsidRDefault="00D622CE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4" w:author="Kalentyev Alexey" w:date="2020-05-12T17:35:00Z" w:initials="KA">
    <w:p w14:paraId="1554D2DB" w14:textId="1BA60DA6" w:rsidR="00D622CE" w:rsidRDefault="00D622CE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5" w:author="Administrator" w:date="2020-05-12T21:37:00Z" w:initials="A">
    <w:p w14:paraId="7D721696" w14:textId="37B45019" w:rsidR="00D622CE" w:rsidRPr="00641BDC" w:rsidRDefault="00D622CE">
      <w:pPr>
        <w:pStyle w:val="af2"/>
      </w:pPr>
      <w:r>
        <w:rPr>
          <w:rStyle w:val="af1"/>
        </w:rPr>
        <w:annotationRef/>
      </w:r>
      <w:r>
        <w:t>Исправлено</w:t>
      </w:r>
      <w:r w:rsidR="00463922">
        <w:t>, добавил чуть выше</w:t>
      </w:r>
      <w:r w:rsidR="005A6455">
        <w:t xml:space="preserve"> 3 </w:t>
      </w:r>
      <w:r w:rsidR="0088468D">
        <w:t>абзаца</w:t>
      </w:r>
      <w:r>
        <w:t>.</w:t>
      </w:r>
    </w:p>
  </w:comment>
  <w:comment w:id="6" w:author="Kalentyev Alexey" w:date="2020-05-12T17:35:00Z" w:initials="KA">
    <w:p w14:paraId="4C665C24" w14:textId="65526D85" w:rsidR="00D622CE" w:rsidRDefault="00D622CE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7" w:author="Administrator" w:date="2020-05-12T21:00:00Z" w:initials="A">
    <w:p w14:paraId="6D522B6C" w14:textId="1B1CAEA1" w:rsidR="00D622CE" w:rsidRPr="0048114D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9" w:author="Kalentyev Alexey" w:date="2020-05-12T17:36:00Z" w:initials="KA">
    <w:p w14:paraId="2640802D" w14:textId="266B16B7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0" w:author="Administrator" w:date="2020-05-12T21:10:00Z" w:initials="A">
    <w:p w14:paraId="6B2F7A00" w14:textId="57C844E6" w:rsidR="00D622CE" w:rsidRPr="00511FA3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1" w:author="Kalentyev Alexey" w:date="2020-05-12T17:36:00Z" w:initials="KA">
    <w:p w14:paraId="7553206D" w14:textId="54E74E58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2" w:author="Administrator" w:date="2020-05-12T21:14:00Z" w:initials="A">
    <w:p w14:paraId="72472D97" w14:textId="52745235" w:rsidR="00D622CE" w:rsidRPr="005B3FB0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3" w:author="Kalentyev Alexey" w:date="2020-05-12T17:43:00Z" w:initials="KA">
    <w:p w14:paraId="3C8C4B57" w14:textId="48430CA7" w:rsidR="00D622CE" w:rsidRDefault="00D622CE">
      <w:pPr>
        <w:pStyle w:val="af2"/>
      </w:pPr>
      <w:r>
        <w:rPr>
          <w:rStyle w:val="af1"/>
        </w:rPr>
        <w:annotationRef/>
      </w:r>
      <w:r>
        <w:t>Где анализ- почему?</w:t>
      </w:r>
    </w:p>
  </w:comment>
  <w:comment w:id="14" w:author="Administrator" w:date="2020-05-12T22:45:00Z" w:initials="A">
    <w:p w14:paraId="6308AB58" w14:textId="2D3C7E85" w:rsidR="00F63CF6" w:rsidRDefault="00F63CF6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5" w:author="Kalentyev Alexey" w:date="2020-05-12T17:37:00Z" w:initials="KA">
    <w:p w14:paraId="48B57A68" w14:textId="7FC17AAD" w:rsidR="00D622CE" w:rsidRDefault="00D622CE">
      <w:pPr>
        <w:pStyle w:val="af2"/>
      </w:pPr>
      <w:r>
        <w:rPr>
          <w:rStyle w:val="af1"/>
        </w:rPr>
        <w:annotationRef/>
      </w:r>
      <w:r>
        <w:t>Свести на один график, подписать оси.</w:t>
      </w:r>
    </w:p>
  </w:comment>
  <w:comment w:id="16" w:author="Administrator" w:date="2020-05-12T22:30:00Z" w:initials="A">
    <w:p w14:paraId="3B9C0ED2" w14:textId="7A98F3A2" w:rsidR="00D622CE" w:rsidRP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B4107" w15:done="0"/>
  <w15:commentEx w15:paraId="469CD70E" w15:paraIdParent="561B4107" w15:done="0"/>
  <w15:commentEx w15:paraId="566082FB" w15:done="0"/>
  <w15:commentEx w15:paraId="34DE0B68" w15:paraIdParent="566082F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2640802D" w15:done="0"/>
  <w15:commentEx w15:paraId="6B2F7A00" w15:paraIdParent="2640802D" w15:done="0"/>
  <w15:commentEx w15:paraId="7553206D" w15:done="0"/>
  <w15:commentEx w15:paraId="72472D97" w15:paraIdParent="7553206D" w15:done="0"/>
  <w15:commentEx w15:paraId="3C8C4B57" w15:done="0"/>
  <w15:commentEx w15:paraId="6308AB58" w15:paraIdParent="3C8C4B57" w15:done="0"/>
  <w15:commentEx w15:paraId="48B57A68" w15:done="0"/>
  <w15:commentEx w15:paraId="3B9C0ED2" w15:paraIdParent="48B57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CAC" w16cex:dateUtc="2020-05-12T10:34:00Z"/>
  <w16cex:commentExtensible w16cex:durableId="2265928D" w16cex:dateUtc="2020-05-12T14:24:00Z"/>
  <w16cex:commentExtensible w16cex:durableId="22655CCE" w16cex:dateUtc="2020-05-12T10:35:00Z"/>
  <w16cex:commentExtensible w16cex:durableId="22658C2F" w16cex:dateUtc="2020-05-12T13:57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55D1E" w16cex:dateUtc="2020-05-12T10:36:00Z"/>
  <w16cex:commentExtensible w16cex:durableId="22658F43" w16cex:dateUtc="2020-05-12T14:10:00Z"/>
  <w16cex:commentExtensible w16cex:durableId="22655D26" w16cex:dateUtc="2020-05-12T10:36:00Z"/>
  <w16cex:commentExtensible w16cex:durableId="22659039" w16cex:dateUtc="2020-05-12T14:14:00Z"/>
  <w16cex:commentExtensible w16cex:durableId="22655EB0" w16cex:dateUtc="2020-05-12T10:43:00Z"/>
  <w16cex:commentExtensible w16cex:durableId="2265A59A" w16cex:dateUtc="2020-05-12T15:45:00Z"/>
  <w16cex:commentExtensible w16cex:durableId="22655D44" w16cex:dateUtc="2020-05-12T10:37:00Z"/>
  <w16cex:commentExtensible w16cex:durableId="2265A21D" w16cex:dateUtc="2020-05-1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B4107" w16cid:durableId="22655CAC"/>
  <w16cid:commentId w16cid:paraId="469CD70E" w16cid:durableId="2265928D"/>
  <w16cid:commentId w16cid:paraId="566082FB" w16cid:durableId="22655CCE"/>
  <w16cid:commentId w16cid:paraId="34DE0B68" w16cid:durableId="22658C2F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2640802D" w16cid:durableId="22655D1E"/>
  <w16cid:commentId w16cid:paraId="6B2F7A00" w16cid:durableId="22658F43"/>
  <w16cid:commentId w16cid:paraId="7553206D" w16cid:durableId="22655D26"/>
  <w16cid:commentId w16cid:paraId="72472D97" w16cid:durableId="22659039"/>
  <w16cid:commentId w16cid:paraId="3C8C4B57" w16cid:durableId="22655EB0"/>
  <w16cid:commentId w16cid:paraId="6308AB58" w16cid:durableId="2265A59A"/>
  <w16cid:commentId w16cid:paraId="48B57A68" w16cid:durableId="22655D44"/>
  <w16cid:commentId w16cid:paraId="3B9C0ED2" w16cid:durableId="2265A2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DAECB" w14:textId="77777777" w:rsidR="00F10421" w:rsidRDefault="00F10421" w:rsidP="004778FF">
      <w:pPr>
        <w:spacing w:line="240" w:lineRule="auto"/>
      </w:pPr>
      <w:r>
        <w:separator/>
      </w:r>
    </w:p>
  </w:endnote>
  <w:endnote w:type="continuationSeparator" w:id="0">
    <w:p w14:paraId="5FA4C14D" w14:textId="77777777" w:rsidR="00F10421" w:rsidRDefault="00F10421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F3EF" w14:textId="77777777" w:rsidR="00F10421" w:rsidRDefault="00F10421" w:rsidP="004778FF">
      <w:pPr>
        <w:spacing w:line="240" w:lineRule="auto"/>
      </w:pPr>
      <w:r>
        <w:separator/>
      </w:r>
    </w:p>
  </w:footnote>
  <w:footnote w:type="continuationSeparator" w:id="0">
    <w:p w14:paraId="7364632D" w14:textId="77777777" w:rsidR="00F10421" w:rsidRDefault="00F10421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D622CE" w:rsidRPr="00DB3096" w:rsidRDefault="00D622CE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D622CE" w:rsidRDefault="00D622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304"/>
    <w:rsid w:val="001464B9"/>
    <w:rsid w:val="00146697"/>
    <w:rsid w:val="001542BB"/>
    <w:rsid w:val="001652E3"/>
    <w:rsid w:val="00171DAF"/>
    <w:rsid w:val="00172857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F0727"/>
    <w:rsid w:val="001F217B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302F1B"/>
    <w:rsid w:val="003056BC"/>
    <w:rsid w:val="0030695B"/>
    <w:rsid w:val="00307052"/>
    <w:rsid w:val="003144E3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410F2"/>
    <w:rsid w:val="00441303"/>
    <w:rsid w:val="0044690D"/>
    <w:rsid w:val="00447103"/>
    <w:rsid w:val="0045228A"/>
    <w:rsid w:val="00457D5A"/>
    <w:rsid w:val="004631C4"/>
    <w:rsid w:val="00463922"/>
    <w:rsid w:val="00470DD6"/>
    <w:rsid w:val="004742BF"/>
    <w:rsid w:val="004778FF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06F9F"/>
    <w:rsid w:val="00610CF1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904F2"/>
    <w:rsid w:val="00891303"/>
    <w:rsid w:val="00894CB2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02B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4F9"/>
    <w:rsid w:val="00EA7F51"/>
    <w:rsid w:val="00EB02AC"/>
    <w:rsid w:val="00EB16FB"/>
    <w:rsid w:val="00EC1C6A"/>
    <w:rsid w:val="00EC390D"/>
    <w:rsid w:val="00EC3EB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openxmlformats.org/officeDocument/2006/relationships/comments" Target="comment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8/08/relationships/commentsExtensible" Target="commentsExtensible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D0831-C3C1-4981-837D-30D335F9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26</Pages>
  <Words>3570</Words>
  <Characters>20354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159</cp:revision>
  <cp:lastPrinted>2019-05-16T10:16:00Z</cp:lastPrinted>
  <dcterms:created xsi:type="dcterms:W3CDTF">2020-03-25T13:51:00Z</dcterms:created>
  <dcterms:modified xsi:type="dcterms:W3CDTF">2020-05-14T13:04:00Z</dcterms:modified>
</cp:coreProperties>
</file>