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2F5FD6"/>
          <w:sz w:val="16"/>
          <w:szCs w:val="16"/>
        </w:rPr>
        <w:t xml:space="preserve">GRIEVANCE MANAGEMENT MODULE · ARCHITECTURE</w:t>
      </w:r>
    </w:p>
    <w:p>
      <w:pPr>
        <w:pStyle w:val="Title"/>
        <w:spacing w:after="160"/>
      </w:pPr>
      <w:r>
        <w:t xml:space="preserve">Grievance Process Architecture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How the module is wired end to end: the components that talk to each other, the business domains that own the data, and the message-by-message flow of the three processes that move a case through the system.</w:t>
      </w:r>
    </w:p>
    <w:p>
      <w:pPr>
        <w:pStyle w:val="Heading1"/>
        <w:spacing w:after="160" w:before="400"/>
      </w:pPr>
      <w:r>
        <w:t xml:space="preserve">1. Component Architecture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Every actor, client, and backend service in the module, wired by the request and event traffic that actually crosses between them.</w:t>
      </w:r>
    </w:p>
    <w:p>
      <w:pPr>
        <w:spacing w:after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6577"/>
          <w:sz w:val="18"/>
          <w:szCs w:val="18"/>
        </w:rPr>
        <w:t xml:space="preserve">Duplex arrows (arrowheads on both ends) mark the two synchronous REST/RPC channels into oan_grievance_service; every other arrow is one-way. GEN2 Registry’s lifeline is short-lived — it exits once the Mobile App has an identity token, which is why it never reaches the core service directly.</w:t>
      </w:r>
    </w:p>
    <w:p>
      <w:pPr>
        <w:spacing w:after="260"/>
      </w:pPr>
      <w:r>
        <w:rPr>
          <w:b/>
          <w:bCs/>
          <w:color w:val="B5451F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User — Farmer/DA, Case Officers &amp; Admins</w:t>
      </w:r>
      <w:r>
        <w:rPr>
          <w:sz w:val="19"/>
          <w:szCs w:val="19"/>
        </w:rPr>
        <w:t xml:space="preserve">    </w:t>
      </w:r>
      <w:r>
        <w:rPr>
          <w:b/>
          <w:bCs/>
          <w:color w:val="7A4FC0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Registry / IdP — Beneficiary Registry, GEN2</w:t>
      </w:r>
    </w:p>
    <w:p>
      <w:pPr>
        <w:spacing w:after="260"/>
      </w:pPr>
      <w:r>
        <w:rPr>
          <w:b/>
          <w:bCs/>
          <w:color w:val="2F5FD6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Client / Core — Mobile App, oan_grievance_ui, oan_grievance_service</w:t>
      </w:r>
    </w:p>
    <w:p>
      <w:pPr>
        <w:spacing w:after="260"/>
      </w:pPr>
      <w:r>
        <w:rPr>
          <w:b/>
          <w:bCs/>
          <w:color w:val="C2660A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Worker — SLA Automation Engine</w:t>
      </w:r>
      <w:r>
        <w:rPr>
          <w:sz w:val="19"/>
          <w:szCs w:val="19"/>
        </w:rPr>
        <w:t xml:space="preserve">    </w:t>
      </w:r>
      <w:r>
        <w:rPr>
          <w:b/>
          <w:bCs/>
          <w:color w:val="157E70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Gateway — Notification Gateway</w:t>
      </w:r>
    </w:p>
    <w:p>
      <w:pPr>
        <w:pStyle w:val="Heading1"/>
        <w:spacing w:after="160" w:before="400"/>
      </w:pPr>
      <w:r>
        <w:t xml:space="preserve">2. Functional Domains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The same system, cut a different way — five functional domains, each owning its own DocTypes and a named actor. The arrows are the only things allowed to cross a boundary.</w:t>
      </w:r>
    </w:p>
    <w:p>
      <w:pPr>
        <w:spacing w:after="120"/>
        <w:jc w:val="center"/>
      </w:pPr>
      <w:r>
        <w:drawing>
          <wp:inline distT="0" distB="0" distL="0" distR="0">
            <wp:extent cx="5905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6577"/>
          <w:sz w:val="18"/>
          <w:szCs w:val="18"/>
        </w:rPr>
        <w:t xml:space="preserve">Two setup domains — Administration &amp; Configuration, User &amp; Access — feed the central Grievance Lifecycle, which in turn drives Notifications and Analytics &amp; Reporting. The top connector is the one explicit cross-link between setup domains: an onboarded officer becomes immediately selectable inside a routing rule.</w:t>
      </w:r>
    </w:p>
    <w:p>
      <w:pPr>
        <w:spacing w:after="260"/>
      </w:pPr>
      <w:r>
        <w:rPr>
          <w:b/>
          <w:bCs/>
          <w:color w:val="A8752E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Administration &amp; Configuration</w:t>
      </w:r>
      <w:r>
        <w:rPr>
          <w:sz w:val="19"/>
          <w:szCs w:val="19"/>
        </w:rPr>
        <w:t xml:space="preserve">    </w:t>
      </w:r>
      <w:r>
        <w:rPr>
          <w:b/>
          <w:bCs/>
          <w:color w:val="7A4FC0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User &amp; Access</w:t>
      </w:r>
    </w:p>
    <w:p>
      <w:pPr>
        <w:spacing w:after="260"/>
      </w:pPr>
      <w:r>
        <w:rPr>
          <w:b/>
          <w:bCs/>
          <w:color w:val="2F5FD6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Grievance Lifecycle (core)</w:t>
      </w:r>
      <w:r>
        <w:rPr>
          <w:sz w:val="19"/>
          <w:szCs w:val="19"/>
        </w:rPr>
        <w:t xml:space="preserve">    </w:t>
      </w:r>
      <w:r>
        <w:rPr>
          <w:b/>
          <w:bCs/>
          <w:color w:val="157E70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Notifications</w:t>
      </w:r>
      <w:r>
        <w:rPr>
          <w:sz w:val="19"/>
          <w:szCs w:val="19"/>
        </w:rPr>
        <w:t xml:space="preserve">    </w:t>
      </w:r>
      <w:r>
        <w:rPr>
          <w:b/>
          <w:bCs/>
          <w:color w:val="2F8F4F"/>
          <w:sz w:val="20"/>
          <w:szCs w:val="20"/>
        </w:rPr>
        <w:t xml:space="preserve">■ </w:t>
      </w:r>
      <w:r>
        <w:rPr>
          <w:color w:val="5C6577"/>
          <w:sz w:val="19"/>
          <w:szCs w:val="19"/>
        </w:rPr>
        <w:t xml:space="preserve">Analytics &amp; Reporting</w:t>
      </w:r>
    </w:p>
    <w:p>
      <w:pPr>
        <w:spacing w:after="120"/>
      </w:pPr>
    </w:p>
    <w:tbl>
      <w:tblPr>
        <w:tblW w:type="pct" w:w="100%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</w:tblPr>
      <w:tblGrid>
        <w:gridCol w:w="100"/>
        <w:gridCol w:w="100"/>
      </w:tblGrid>
      <w:tr>
        <w:tc>
          <w:tcPr>
            <w:tcW w:type="pct" w:w="26%"/>
            <w:shd w:fill="F2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2230"/>
                <w:sz w:val="19"/>
                <w:szCs w:val="19"/>
              </w:rPr>
              <w:t xml:space="preserve">Administration &amp; Configuration</w:t>
            </w:r>
          </w:p>
        </w:tc>
        <w:tc>
          <w:tcPr>
            <w:tcW w:type="pct" w:w="74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5C6577"/>
                <w:sz w:val="19"/>
                <w:szCs w:val="19"/>
              </w:rPr>
              <w:t xml:space="preserve">Admin-only, via oan_grievance_ui. Defines taxonomy, department routing, and SLA policy before any grievance is filed — grievance_category, grievance_department, grievance_routing_rule, grievance_sla_configuration, plus response templates.</w:t>
            </w:r>
          </w:p>
        </w:tc>
      </w:tr>
      <w:tr>
        <w:tc>
          <w:tcPr>
            <w:tcW w:type="pct" w:w="26%"/>
            <w:shd w:fill="F2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2230"/>
                <w:sz w:val="19"/>
                <w:szCs w:val="19"/>
              </w:rPr>
              <w:t xml:space="preserve">User &amp; Access</w:t>
            </w:r>
          </w:p>
        </w:tc>
        <w:tc>
          <w:tcPr>
            <w:tcW w:type="pct" w:w="74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5C6577"/>
                <w:sz w:val="19"/>
                <w:szCs w:val="19"/>
              </w:rPr>
              <w:t xml:space="preserve">Officers self-register (email + password) and Admin layers on scope after — User and grievance_rbac_assignment bound to Region/Department/Category — with account settings alongside. Citizen identity is a separate path entirely: Farmers and Development Agents authenticate externally via GEN2 Registry OAuth/SSO.</w:t>
            </w:r>
          </w:p>
        </w:tc>
      </w:tr>
      <w:tr>
        <w:tc>
          <w:tcPr>
            <w:tcW w:type="pct" w:w="26%"/>
            <w:shd w:fill="F2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2230"/>
                <w:sz w:val="19"/>
                <w:szCs w:val="19"/>
              </w:rPr>
              <w:t xml:space="preserve">Grievance Lifecycle</w:t>
            </w:r>
          </w:p>
        </w:tc>
        <w:tc>
          <w:tcPr>
            <w:tcW w:type="pct" w:w="74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5C6577"/>
                <w:sz w:val="19"/>
                <w:szCs w:val="19"/>
              </w:rPr>
              <w:t xml:space="preserve">The one domain every actor touches. The submitter reaches it only through the Mobile App; officers work it only through oan_grievance_ui. Five phases — Intake, Routing, Investigation, SLA &amp; Escalation, Confirmation — with an SLA clock running independently throughout.</w:t>
            </w:r>
          </w:p>
        </w:tc>
      </w:tr>
      <w:tr>
        <w:tc>
          <w:tcPr>
            <w:tcW w:type="pct" w:w="26%"/>
            <w:shd w:fill="F2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2230"/>
                <w:sz w:val="19"/>
                <w:szCs w:val="19"/>
              </w:rPr>
              <w:t xml:space="preserve">Notifications &amp; Analytics</w:t>
            </w:r>
          </w:p>
        </w:tc>
        <w:tc>
          <w:tcPr>
            <w:tcW w:type="pct" w:w="74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5C6577"/>
                <w:sz w:val="19"/>
                <w:szCs w:val="19"/>
              </w:rPr>
              <w:t xml:space="preserve">Notifications dispatches SMS and email off lifecycle and SLA events. Analytics has no configuration of its own — it’s a read model over the same case data, surfaced as status distribution, category mix, monthly trend, and SLA breach rate.</w:t>
            </w:r>
          </w:p>
        </w:tc>
      </w:tr>
    </w:tbl>
    <w:p>
      <w:pPr>
        <w:pStyle w:val="Heading1"/>
        <w:spacing w:after="160" w:before="400"/>
      </w:pPr>
      <w:r>
        <w:t xml:space="preserve">3. Sequence Flows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The three processes that actually move data through the module — who calls whom, in what order, and which DocType gets written at each step.</w:t>
      </w:r>
    </w:p>
    <w:p>
      <w:pPr>
        <w:pStyle w:val="Heading2"/>
        <w:spacing w:after="100" w:before="300"/>
      </w:pPr>
      <w:r>
        <w:t xml:space="preserve">Flow A — Service Category, Department &amp; SLA Configuration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Admin-only, through oan_grievance_ui. Four phases, each ending in a write to its own DocType.</w:t>
      </w:r>
    </w:p>
    <w:p>
      <w:pPr>
        <w:spacing w:after="120"/>
        <w:jc w:val="center"/>
      </w:pPr>
      <w:r>
        <w:drawing>
          <wp:inline distT="0" distB="0" distL="0" distR="0">
            <wp:extent cx="59055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6577"/>
          <w:sz w:val="18"/>
          <w:szCs w:val="18"/>
        </w:rPr>
        <w:t xml:space="preserve">Solid arrows are requests, dashed arrows are the acknowledgements that follow. oan_grievance_ui is the only component that ever calls oan_grievance_service here — no mobile app, no submitter.</w:t>
      </w:r>
    </w:p>
    <w:p>
      <w:pPr>
        <w:pStyle w:val="Heading2"/>
        <w:spacing w:after="100" w:before="300"/>
      </w:pPr>
      <w:r>
        <w:t xml:space="preserve">Flow B — Officer Onboarding (L1 / L2 / Department Head)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Internal staff provisioning, separate from the citizen identity path in Flow C. Ends with the new officer selectable back in Flow A’s routing rules.</w:t>
      </w:r>
    </w:p>
    <w:p>
      <w:pPr>
        <w:spacing w:after="120"/>
        <w:jc w:val="center"/>
      </w:pPr>
      <w:r>
        <w:drawing>
          <wp:inline distT="0" distB="0" distL="0" distR="0">
            <wp:extent cx="5905500" cy="41929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6577"/>
          <w:sz w:val="18"/>
          <w:szCs w:val="18"/>
        </w:rPr>
        <w:t xml:space="preserve">Phase 3 is the one place this flow talks past oan_grievance_ui — invitation and activation happen directly between the core service and the new officer.</w:t>
      </w:r>
    </w:p>
    <w:p>
      <w:pPr>
        <w:pStyle w:val="Heading2"/>
        <w:spacing w:after="100" w:before="300"/>
      </w:pPr>
      <w:r>
        <w:t xml:space="preserve">Flow C — Grievance Submission → Resolution</w:t>
      </w:r>
    </w:p>
    <w:p>
      <w:pPr>
        <w:spacing w:after="180"/>
      </w:pPr>
      <w:r>
        <w:rPr>
          <w:color w:val="5C6577"/>
          <w:sz w:val="21"/>
          <w:szCs w:val="21"/>
        </w:rPr>
        <w:t xml:space="preserve">The end-to-end case lifecycle — every component from the architecture diagram appears here at least once, and the SLA clock runs independently for the whole thing.</w:t>
      </w:r>
    </w:p>
    <w:p>
      <w:pPr>
        <w:spacing w:after="120"/>
        <w:jc w:val="center"/>
      </w:pPr>
      <w:r>
        <w:drawing>
          <wp:inline distT="0" distB="0" distL="0" distR="0">
            <wp:extent cx="5905500" cy="54803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6577"/>
          <w:sz w:val="18"/>
          <w:szCs w:val="18"/>
        </w:rPr>
        <w:t xml:space="preserve">Escalation is an overlay flag (is_escalated) rather than its own lifecycle state — it tracks audit history without resetting the SLA clock or breaking phase progression.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, Calibri" w:cs="IBM Plex Sans, Calibri" w:eastAsia="IBM Plex Sans, Calibri" w:hAnsi="IBM Plex Sans, Calibri"/>
        <w:color w:val="1B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6a57e44e63a3ba928a4fe4a378ca5e5589e364.png"/><Relationship Id="rId8" Type="http://schemas.openxmlformats.org/officeDocument/2006/relationships/image" Target="media/74f8556622f5fa732b2d4c5cf3ea63e245a9de40.png"/><Relationship Id="rId9" Type="http://schemas.openxmlformats.org/officeDocument/2006/relationships/image" Target="media/7d0b132e2b71a61a33a8b9d247c3fcd140991c21.png"/><Relationship Id="rId10" Type="http://schemas.openxmlformats.org/officeDocument/2006/relationships/image" Target="media/71571c5fa5edbae92aa599f51c448a04d3555236.png"/><Relationship Id="rId11" Type="http://schemas.openxmlformats.org/officeDocument/2006/relationships/image" Target="media/1ffd2f58ad9b4860489af6359ad449e42ae2a36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2026-09-09T10:49:13.592Z</dcterms:created>
  <dcterms:modified xsi:type="dcterms:W3CDTF">2026-09-09T10:49:13.593Z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