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React, Node.js, PostgreSQL, and more. I've built full-stack applications, from Python backends and REST APIs to React frontends, for clients across banking, retail, and corporate sectors. Currently, I'm at Copy Cat Group, where I'm integrating AI-driven automation into enterprise systems, including a live SAP API integration and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 Docker</w:t>
      </w:r>
    </w:p>
    <w:p>
      <w:pPr>
        <w:spacing w:before="0" w:after="40"/>
      </w:pPr>
      <w:r>
        <w:rPr>
          <w:b/>
          <w:sz w:val="20"/>
        </w:rPr>
        <w:t xml:space="preserve">AI &amp; Specialist Tools: </w:t>
      </w:r>
      <w:r>
        <w:rPr>
          <w:sz w:val="20"/>
        </w:rPr>
        <w:t>AI-driven product management, AI data analytics, Generative AI (GenAI), strategic thinking, problem-solving, decision-making, C-level executive engagement, business challenge translation, AI-powered opportunities, presentation skills, storytelling skills, English proficiency, adaptability, proactive mindset, AI innovation, consulting, financial services, Machine Learning</w:t>
      </w:r>
    </w:p>
    <w:p>
      <w:pPr>
        <w:spacing w:before="0" w:after="40"/>
      </w:pPr>
      <w:r>
        <w:rPr>
          <w:b/>
          <w:sz w:val="20"/>
        </w:rPr>
        <w:t xml:space="preserve">Platforms &amp; Methods: </w:t>
      </w:r>
      <w:r>
        <w:rPr>
          <w:sz w:val="20"/>
        </w:rPr>
        <w:t>NLP, GenAI tools, data governance, AI ethics, regulatory frameworks, Data Warehousing, Business Intelligence, Data Analytics, mentoring, professional growth, innovation, Agile, project management, stakeholder management, roadmap planning, execution strategies, solution delivery, banking ecosystems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business units.</w:t>
      </w:r>
    </w:p>
    <w:p>
      <w:pPr>
        <w:pStyle w:val="ListBullet"/>
        <w:spacing w:before="0" w:after="20"/>
      </w:pPr>
      <w:r>
        <w:rPr>
          <w:sz w:val="20"/>
        </w:rPr>
        <w:t>Authoring technical documentation: BRD, SDD, and system design documents for enterprise architecture and project scoping.</w:t>
      </w:r>
    </w:p>
    <w:p>
      <w:pPr>
        <w:pStyle w:val="ListBullet"/>
        <w:spacing w:before="0" w:after="20"/>
      </w:pPr>
      <w:r>
        <w:rPr>
          <w:sz w:val="20"/>
        </w:rPr>
        <w:t>Designing and prototyping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Built and delivered full-stack solutions, including UI components and API optimisation,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Performed intent detection and slot tagging for health and agriculture AI systems, ensuring multilingual annotation quality.</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