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AI Agent Architect with a background in full-stack development and AI data annotation. I design and build intelligent systems, specialising in multi-agent architectures and automation. Currently at Copy Cat Group, I'm integrating SAP APIs with an internal Credit Control System and designing an AI-powered tender scraping pipeline. My toolkit includes Python, React, Node.js, PostgreSQL, n8n, and a range of AI APIs, with a focus on production-grade code and rapid development.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CI/CD, Oracle Cloud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Claude Code CLI, Claude Cowork, MCP connectors, OpenClaw, VAPI, multi-agent systems, AI agents, terminal, project management, orchestration, complex workflows, Monday.com, TikTok, Modash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Instantly, Slack, personalized documents, multi-platform deployment, DM support, group chat, tool management, multi-model routing, systematic audit, creator sourcing, outreach, qualification, brief processing, campaign management, team coordination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to automate processes for OA and IT teams.</w:t>
      </w:r>
    </w:p>
    <w:p>
      <w:pPr>
        <w:pStyle w:val="ListBullet"/>
        <w:spacing w:before="0" w:after="20"/>
      </w:pPr>
      <w:r>
        <w:rPr>
          <w:sz w:val="20"/>
        </w:rPr>
        <w:t>Designing and prototyping an AI-driven tender scraping pipeline to automate tender opportunity discovery.</w:t>
      </w:r>
    </w:p>
    <w:p>
      <w:pPr>
        <w:pStyle w:val="ListBullet"/>
        <w:spacing w:before="0" w:after="20"/>
      </w:pPr>
      <w:r>
        <w:rPr>
          <w:sz w:val="20"/>
        </w:rPr>
        <w:t>Authoring technical documentation including BRDs and SDDs to define project scope and architecture.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 to improve AI model accuracy.</w:t>
      </w:r>
    </w:p>
    <w:p>
      <w:pPr>
        <w:pStyle w:val="ListBullet"/>
        <w:spacing w:before="0" w:after="20"/>
      </w:pPr>
      <w:r>
        <w:rPr>
          <w:sz w:val="20"/>
        </w:rPr>
        <w:t>Performing categorisation, bounding, and validation tasks for high-quality annotated outputs.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full-stack solutions with optimised UI components and APIs for diverse U.S. clients.</w:t>
      </w:r>
    </w:p>
    <w:p>
      <w:pPr>
        <w:pStyle w:val="ListBullet"/>
        <w:spacing w:before="0" w:after="20"/>
      </w:pPr>
      <w:r>
        <w:rPr>
          <w:sz w:val="20"/>
        </w:rPr>
        <w:t>Collaborated remotely to debug, enhance performance, and implement client feedback.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datasets for health and agriculture AI, including intent detection and slot tagging.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