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zm1sgk96k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Reforma de Estatutos CECID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Fecha de realización: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Octubre 2025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Presidencia Amelie Ramirez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Proceso previo: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Asamblea informativa de carrera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tf5olnabyc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Objetivo del Proceso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objetivo de esta reforma estatutaria fue actualizar, clarificar y fortalecer diversos artículos del Estatuto del CECID, con el fin de asegurar procesos democráticos más claros, mecanismos de reemplazo en eventuales vacíos electorales y requisitos más precisos para cargos de representación. Además, se buscó resguardar continuidad institucional frente a escenarios donde las normas de la FEUC o disposiciones territoriales impidan procesos formales de votación.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sxod98oxx8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Metodología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CECID convocó a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asamblea informativa abierta a toda la carrera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se presentaron los artículos propuestos para modificación o incorporación.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Durante la instancia se respondieron dudas, se expusieron razones para cada propuesta y se aclararon sus implicancias.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Tras la asamblea, se habilitó un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formulario oficial de votación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en el cual cada artículo se evaluó de manera separada.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Los votos fueron anónimos, y el proceso permaneció abierto durante dos días, bajo supervisión del CECID.</w:t>
        <w:br w:type="textWrapping"/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jd9i6twq35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Participación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contó con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109 votos válidamente emitidos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por estudiantes de Ingeniería en Ciencia de Datos.</w:t>
        <w:br w:type="textWrapping"/>
        <w:t xml:space="preserve"> No se registraron votos nulos ni blancos, y el formulario permaneció abierto a todas las generaciones.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ju5gl7ntv5k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Artículos Evaluados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proceso contempló la votación de cinco artículos: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Artículo 59 ter (nuevo):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Mecanismo en caso de ausencia de listas en elecciones extraordinarias de marzo.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Artículo 66 (modificación):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Requisitos de postulación para cargos de Presidencia y Vicepresidencia del CECID.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Artículo 88 (modificación):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Exigencia de PPA ≥ 4,0 para postular a representante generacional.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Artículo 69 bis (modificación):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Quórum de participación del 25% + 1 para validar elecciones y plebiscitos.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Artículo 22 bis (nuevo):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Activación del Consejo de Representantes cuando normas FEUC o territoriales impidan votaciones formales.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bdfac79c88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Resultados de la Votación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</w:rPr>
      </w:pPr>
      <w:bookmarkStart w:colFirst="0" w:colLast="0" w:name="_iz9pqqlab0al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Artículo 59 ter – Incorporación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Regula el procedimiento en caso de que en elecciones extraordinarias de marzo no existan listas inscritas o estas sean rechazadas.</w:t>
      </w:r>
    </w:p>
    <w:tbl>
      <w:tblPr>
        <w:tblStyle w:val="Table1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00"/>
        <w:gridCol w:w="1325"/>
        <w:tblGridChange w:id="0">
          <w:tblGrid>
            <w:gridCol w:w="980"/>
            <w:gridCol w:w="8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94.5%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5.5%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Aprobada la incorporación.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</w:rPr>
      </w:pPr>
      <w:bookmarkStart w:colFirst="0" w:colLast="0" w:name="_rklydrqtz5o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Artículo 66 – Modificación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Actualiza y precisa los requisitos Académicos para cargos de Presidencia y Vicepresidencia del CECID.</w:t>
      </w:r>
    </w:p>
    <w:tbl>
      <w:tblPr>
        <w:tblStyle w:val="Table2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00"/>
        <w:gridCol w:w="1325"/>
        <w:tblGridChange w:id="0">
          <w:tblGrid>
            <w:gridCol w:w="980"/>
            <w:gridCol w:w="8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83.5%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16.5%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Aprobada la modificación.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</w:rPr>
      </w:pPr>
      <w:bookmarkStart w:colFirst="0" w:colLast="0" w:name="_j7v3mdmyur4y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Artículo 88 – Modificación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Establece como requisito un promedio ponderado anual (PPA) ≥ 4,0 para postular a representante generacional.</w:t>
      </w:r>
    </w:p>
    <w:tbl>
      <w:tblPr>
        <w:tblStyle w:val="Table3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00"/>
        <w:gridCol w:w="1325"/>
        <w:tblGridChange w:id="0">
          <w:tblGrid>
            <w:gridCol w:w="980"/>
            <w:gridCol w:w="8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77.1%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22.9%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Aprobada la modificación.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</w:rPr>
      </w:pPr>
      <w:bookmarkStart w:colFirst="0" w:colLast="0" w:name="_oucdfolnxrpe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Artículo 69 bis – Modificación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Reafirma el quórum mínimo del 25% + 1 para validar elecciones y plebiscitos de carrera.</w:t>
      </w:r>
    </w:p>
    <w:tbl>
      <w:tblPr>
        <w:tblStyle w:val="Table4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00"/>
        <w:gridCol w:w="1325"/>
        <w:tblGridChange w:id="0">
          <w:tblGrid>
            <w:gridCol w:w="980"/>
            <w:gridCol w:w="8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90.8%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9.2%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Aprobada la modificación.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</w:rPr>
      </w:pPr>
      <w:bookmarkStart w:colFirst="0" w:colLast="0" w:name="_gj9upsdi5j0j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u w:val="single"/>
          <w:rtl w:val="0"/>
        </w:rPr>
        <w:t xml:space="preserve">Artículo 22 bis – Incorporación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 el Consejo de Representantes como mecanismo alternativo cuando normas FEUC o disposiciones territoriales impidan votaciones formales.</w:t>
      </w:r>
    </w:p>
    <w:tbl>
      <w:tblPr>
        <w:tblStyle w:val="Table5"/>
        <w:tblW w:w="3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800"/>
        <w:gridCol w:w="1325"/>
        <w:tblGridChange w:id="0">
          <w:tblGrid>
            <w:gridCol w:w="980"/>
            <w:gridCol w:w="800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Votos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Porcentaje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92.7%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7.3%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Aprobada la incorporación.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pv9c8k6sxka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Síntesis del Proceso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 cinco propuestas de reforma fueron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ampliamente aprobadas por el estudiantado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superando todas el 75% de apoyo.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modificación de los artículos permitirá modernizar el estatuto y fortalecer su operatividad.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asamblea previa fue fundamental para asegurar una votación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informada, transparente y participativa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alto nivel de apoyo demuestra una voluntad clara del estudiantado de mantener un estatuto actualizado y funcional.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549.4488188976391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