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gldtt8wm1w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Ayudantía de Introducción al Cálculo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dponbegk0d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de la Actividad</w:t>
      </w:r>
    </w:p>
    <w:p w:rsidR="00000000" w:rsidDel="00000000" w:rsidP="00000000" w:rsidRDefault="00000000" w:rsidRPr="00000000" w14:paraId="00000004">
      <w:pPr>
        <w:spacing w:after="240" w:before="24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presente intervención tuvo como finalidad apoyar a los estudiantes de primer año en el reforzamiento de los contenidos evaluados en la próxima interrogación de la asignatura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Introducción al Cálculo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  <w:t xml:space="preserve"> Esta iniciativa forma parte del proyecto del Centro de Estudiantes orientado a establecer un ciclo permanente de ayudantías masivas —o “Ayudatones”— para todas las asignaturas fundamentales de la carrera, promoviendo espacios de estudio guiado y colaboración académica.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0ccbe1n63u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Metodología y Enfoque</w:t>
      </w:r>
    </w:p>
    <w:p w:rsidR="00000000" w:rsidDel="00000000" w:rsidP="00000000" w:rsidRDefault="00000000" w:rsidRPr="00000000" w14:paraId="00000006">
      <w:pPr>
        <w:spacing w:after="240" w:before="24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priorización de los ramos introductorios responde a la necesidad de acompañamiento académico observada en los cursos iniciales y a la proximidad de sus evaluaciones.</w:t>
        <w:br w:type="textWrapping"/>
        <w:t xml:space="preserve"> La actividad se diseñó como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ayudantía mixta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compuesta por dos fases: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-283.46456692913375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Primera parte (40 minutos):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Resolución en pizarra de tres ejercicios seleccionados, desarrollados como una ayudantía tipo cátedra.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-283.46456692913375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Segunda parte: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Trabajo autónomo de los estudiantes en dos ejercicios adicionales, acompañados por ayudantes disponibles para resolver dudas de manera personalizada.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material utilizado consistió en dos archivos en formato LaTeX: uno con los cinco ejercicios propuestos y otro con sus soluciones. El archivo de soluciones será distribuido a través de los canales oficiales de comunicación del Centro (correo, WhatsApp e Instagram).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xfbsmko7kk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Fecha y Lugar de Realización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bookmarkStart w:colFirst="0" w:colLast="0" w:name="_d8x01i3mal2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Fecha prevista: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Jueves 29 de mayo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bookmarkStart w:colFirst="0" w:colLast="0" w:name="_iztj4hboouu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Bloque de almuerzo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bookmarkStart w:colFirst="0" w:colLast="0" w:name="_n070f6p8m5i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Lugar: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Salas K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cwl5j3ymm9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Participantes y Equipo de Trabajo</w:t>
      </w:r>
    </w:p>
    <w:p w:rsidR="00000000" w:rsidDel="00000000" w:rsidP="00000000" w:rsidRDefault="00000000" w:rsidRPr="00000000" w14:paraId="0000000F">
      <w:pPr>
        <w:spacing w:after="240" w:before="24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la realización de esta primera edición se contará con un equipo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cuatro ayudantes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Diego Olivares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Ayudante tipo cátedra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Cristóbal Soto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Ayudante tipo cátedra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Diego Parra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Ayudante tipo sala de consulta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Kamila Salas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Ayudante tipo sala de consulta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evento también contempla su difusión mediante la elaboración de un afiche informativo e invitaciones dirigidas a estudiantes de otras carreras que cursan la misma asignatura.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-283.46456692913375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4ocf5wmrnh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Desarrollo de la Actividad</w:t>
      </w:r>
    </w:p>
    <w:p w:rsidR="00000000" w:rsidDel="00000000" w:rsidP="00000000" w:rsidRDefault="00000000" w:rsidRPr="00000000" w14:paraId="00000016">
      <w:pPr>
        <w:spacing w:after="240" w:before="24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Durante la sesión, los estudiantes podrán reforzar los contenidos de: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Límite y convergencia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Límite de sucesiones por definición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-283.46456692913375" w:firstLine="0"/>
        <w:rPr>
          <w:rFonts w:ascii="EB Garamond" w:cs="EB Garamond" w:eastAsia="EB Garamond" w:hAnsi="EB Garamond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 término de la actividad, se solicitará a las y los asistentes completar un formulario en línea para evaluar su experiencia, con el fin de recopilar insumos que permitan mejorar futuras instancias.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-283.46456692913375" w:firstLine="0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Principales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 Organizadores</w:t>
      </w:r>
    </w:p>
    <w:p w:rsidR="00000000" w:rsidDel="00000000" w:rsidP="00000000" w:rsidRDefault="00000000" w:rsidRPr="00000000" w14:paraId="0000001B">
      <w:pPr>
        <w:spacing w:after="0" w:before="0" w:lineRule="auto"/>
        <w:ind w:left="-283.46456692913375" w:firstLine="0"/>
        <w:rPr>
          <w:rFonts w:ascii="EB Garamond" w:cs="EB Garamond" w:eastAsia="EB Garamond" w:hAnsi="EB Garamond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6"/>
          <w:szCs w:val="26"/>
          <w:rtl w:val="0"/>
        </w:rPr>
        <w:t xml:space="preserve">– Diego Parra</w:t>
      </w:r>
    </w:p>
    <w:p w:rsidR="00000000" w:rsidDel="00000000" w:rsidP="00000000" w:rsidRDefault="00000000" w:rsidRPr="00000000" w14:paraId="0000001C">
      <w:pPr>
        <w:spacing w:after="0" w:before="0" w:lineRule="auto"/>
        <w:ind w:left="-283.46456692913375" w:firstLine="0"/>
        <w:rPr>
          <w:rFonts w:ascii="EB Garamond" w:cs="EB Garamond" w:eastAsia="EB Garamond" w:hAnsi="EB Garamond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6"/>
          <w:szCs w:val="26"/>
          <w:rtl w:val="0"/>
        </w:rPr>
        <w:t xml:space="preserve">- Cristobal Soto</w:t>
      </w:r>
    </w:p>
    <w:p w:rsidR="00000000" w:rsidDel="00000000" w:rsidP="00000000" w:rsidRDefault="00000000" w:rsidRPr="00000000" w14:paraId="0000001D">
      <w:pPr>
        <w:spacing w:after="0" w:before="0" w:lineRule="auto"/>
        <w:ind w:left="-283.46456692913375" w:firstLine="0"/>
        <w:rPr>
          <w:rFonts w:ascii="EB Garamond" w:cs="EB Garamond" w:eastAsia="EB Garamond" w:hAnsi="EB Garamond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6"/>
          <w:szCs w:val="26"/>
          <w:rtl w:val="0"/>
        </w:rPr>
        <w:t xml:space="preserve">-Kamila Salas</w:t>
      </w:r>
    </w:p>
    <w:p w:rsidR="00000000" w:rsidDel="00000000" w:rsidP="00000000" w:rsidRDefault="00000000" w:rsidRPr="00000000" w14:paraId="0000001E">
      <w:pPr>
        <w:spacing w:after="0" w:before="0" w:lineRule="auto"/>
        <w:ind w:left="-283.46456692913375" w:firstLine="0"/>
        <w:rPr>
          <w:rFonts w:ascii="EB Garamond" w:cs="EB Garamond" w:eastAsia="EB Garamond" w:hAnsi="EB Garamond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6"/>
          <w:szCs w:val="26"/>
          <w:rtl w:val="0"/>
        </w:rPr>
        <w:t xml:space="preserve">-Diego Olivares</w:t>
      </w:r>
    </w:p>
    <w:p w:rsidR="00000000" w:rsidDel="00000000" w:rsidP="00000000" w:rsidRDefault="00000000" w:rsidRPr="00000000" w14:paraId="0000001F">
      <w:pPr>
        <w:spacing w:after="0" w:before="0" w:lineRule="auto"/>
        <w:ind w:left="-283.46456692913375" w:firstLine="0"/>
        <w:rPr>
          <w:rFonts w:ascii="EB Garamond" w:cs="EB Garamond" w:eastAsia="EB Garamond" w:hAnsi="EB Garamond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6"/>
          <w:szCs w:val="26"/>
          <w:rtl w:val="0"/>
        </w:rPr>
        <w:t xml:space="preserve">-Amelie 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-283.46456692913375" w:firstLine="0"/>
        <w:rPr>
          <w:rFonts w:ascii="EB Garamond" w:cs="EB Garamond" w:eastAsia="EB Garamond" w:hAnsi="EB Garamond"/>
          <w:i w:val="1"/>
          <w:iCs w:val="1"/>
          <w:sz w:val="26"/>
          <w:szCs w:val="26"/>
        </w:rPr>
      </w:pPr>
      <w:bookmarkStart w:colFirst="0" w:colLast="0" w:name="_d0oapnepckh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Respuestas de la encuesta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304800</wp:posOffset>
            </wp:positionV>
            <wp:extent cx="3281363" cy="2027686"/>
            <wp:effectExtent b="0" l="0" r="0" t="0"/>
            <wp:wrapSquare wrapText="bothSides" distB="114300" distT="114300" distL="114300" distR="114300"/>
            <wp:docPr descr="Gráfico" id="1" name="image2.png"/>
            <a:graphic>
              <a:graphicData uri="http://schemas.openxmlformats.org/drawingml/2006/picture">
                <pic:pic>
                  <pic:nvPicPr>
                    <pic:cNvPr descr="Gráfic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0276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219199</wp:posOffset>
            </wp:positionV>
            <wp:extent cx="2995613" cy="1851833"/>
            <wp:effectExtent b="0" l="0" r="0" t="0"/>
            <wp:wrapSquare wrapText="bothSides" distB="114300" distT="114300" distL="114300" distR="114300"/>
            <wp:docPr descr="Gráfico" id="2" name="image1.png"/>
            <a:graphic>
              <a:graphicData uri="http://schemas.openxmlformats.org/drawingml/2006/picture">
                <pic:pic>
                  <pic:nvPicPr>
                    <pic:cNvPr descr="Gráfic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851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