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4.024 (80,5%)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3.974 (79,5%)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3.991 (79,8%)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4.040 (80,8%)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4.034 (80,7%)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3.999 (80,0%)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4.032 (80,6%)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3.960 (79,2%)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449 (9,0%)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858 (17,2%)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2026-08-26T14:56:39Z</dcterms:modified>
  <cp:category/>
</cp:coreProperties>
</file>