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per almeno un giorno tra il 01/01/2016 e il 31/12/2025</w:t>
            </w:r>
          </w:p>
        </w:tc>
        <w:tc>
          <w:p>
            <w:pPr>
              <w:pStyle w:val="Normal"/>
            </w:pPr>
            <w:r>
              <w:t>4.022 (80,4%)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3.958 (79,2%)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3.986 (79,7%)</w:t>
            </w:r>
          </w:p>
        </w:tc>
      </w:tr>
      <w:tr>
        <w:tc>
          <w:p>
            <w:pPr>
              <w:pStyle w:val="Normal"/>
            </w:pPr>
            <w:r>
              <w:t>Soggetti 18+ in almeno un giorno durante il periodo di studio</w:t>
            </w:r>
          </w:p>
        </w:tc>
        <w:tc>
          <w:p>
            <w:pPr>
              <w:pStyle w:val="Normal"/>
            </w:pPr>
            <w:r>
              <w:t>3.994 (79,9%)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nell’istanza</w:t>
            </w:r>
          </w:p>
        </w:tc>
        <w:tc>
          <w:p>
            <w:pPr>
              <w:pStyle w:val="Normal"/>
            </w:pPr>
            <w:r>
              <w:t>3.966 (79,3%)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3.981 (79,6%)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prima data di dispensazione del farmaco di interesse durante il periodo di studio (data indice)</w:t>
            </w:r>
          </w:p>
        </w:tc>
        <w:tc>
          <w:p>
            <w:pPr>
              <w:pStyle w:val="Normal"/>
            </w:pPr>
            <w:r>
              <w:t>3.985 (79,7%)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4.031 (80,6%)</w:t>
            </w:r>
          </w:p>
        </w:tc>
      </w:tr>
      <w:tr>
        <w:tc>
          <w:p>
            <w:pPr>
              <w:pStyle w:val="Normal"/>
            </w:pPr>
            <w:r>
              <w:t>Soggetti con nessuna dispensazione del farmaco di interesse nei due anni precedenti la data indice</w:t>
            </w:r>
          </w:p>
        </w:tc>
        <w:tc>
          <w:p>
            <w:pPr>
              <w:pStyle w:val="Normal"/>
            </w:pPr>
            <w:r>
              <w:t>415 (8,3%)</w:t>
            </w:r>
          </w:p>
        </w:tc>
      </w:tr>
      <w:tr>
        <w:tc>
          <w:p>
            <w:pPr>
              <w:pStyle w:val="Normal"/>
            </w:pPr>
            <w:r>
              <w:t>Totale soggetti inclusi nella coorte di studio</w:t>
            </w:r>
          </w:p>
        </w:tc>
        <w:tc>
          <w:p>
            <w:pPr>
              <w:pStyle w:val="Normal"/>
            </w:pPr>
            <w:r>
              <w:t>832 (16,6%)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2026-08-26T14:56:41Z</dcterms:modified>
  <cp:category/>
</cp:coreProperties>
</file>