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c("Periodo", "ASL", "Totale nuovi utilizzatori", "Età alla data indice,", </w:t>
            </w:r>
          </w:p>
        </w:tc>
        <w:tc>
          <w:p>
            <w:pPr>
              <w:pStyle w:val="Normal"/>
            </w:pPr>
            <w:r>
              <w:t>modifica_CE</w:t>
            </w:r>
          </w:p>
        </w:tc>
        <w:tc>
          <w:p>
            <w:pPr>
              <w:pStyle w:val="Normal"/>
            </w:pPr>
            <w:r>
              <w:t>modifica_NO</w:t>
            </w:r>
          </w:p>
        </w:tc>
        <w:tc>
          <w:p>
            <w:pPr>
              <w:pStyle w:val="Normal"/>
            </w:pPr>
            <w:r>
              <w:t>modifica_SE</w:t>
            </w:r>
          </w:p>
        </w:tc>
        <w:tc>
          <w:p>
            <w:pPr>
              <w:pStyle w:val="Normal"/>
            </w:pPr>
            <w:r>
              <w:t>nota_CE</w:t>
            </w:r>
          </w:p>
        </w:tc>
        <w:tc>
          <w:p>
            <w:pPr>
              <w:pStyle w:val="Normal"/>
            </w:pPr>
            <w:r>
              <w:t>nota_NO</w:t>
            </w:r>
          </w:p>
        </w:tc>
        <w:tc>
          <w:p>
            <w:pPr>
              <w:pStyle w:val="Normal"/>
            </w:pPr>
            <w:r>
              <w:t>nota_SE</w:t>
            </w:r>
          </w:p>
        </w:tc>
        <w:tc>
          <w:p>
            <w:pPr>
              <w:pStyle w:val="Normal"/>
            </w:pPr>
            <w:r>
              <w:t>pre_CE</w:t>
            </w:r>
          </w:p>
        </w:tc>
        <w:tc>
          <w:p>
            <w:pPr>
              <w:pStyle w:val="Normal"/>
            </w:pPr>
            <w:r>
              <w:t>pre_NO</w:t>
            </w:r>
          </w:p>
        </w:tc>
        <w:tc>
          <w:p>
            <w:pPr>
              <w:pStyle w:val="Normal"/>
            </w:pPr>
            <w:r>
              <w:t>pre_SE</w:t>
            </w:r>
          </w:p>
        </w:tc>
      </w:t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modifica</w:t>
            </w:r>
          </w:p>
        </w:tc>
        <w:tc>
          <w:p>
            <w:pPr>
              <w:pStyle w:val="Normal"/>
            </w:pPr>
            <w:r>
              <w:t>modifica</w:t>
            </w:r>
          </w:p>
        </w:tc>
        <w:tc>
          <w:p>
            <w:pPr>
              <w:pStyle w:val="Normal"/>
            </w:pPr>
            <w:r>
              <w:t>modifica</w:t>
            </w:r>
          </w:p>
        </w:tc>
        <w:tc>
          <w:p>
            <w:pPr>
              <w:pStyle w:val="Normal"/>
            </w:pPr>
            <w:r>
              <w:t>nota</w:t>
            </w:r>
          </w:p>
        </w:tc>
        <w:tc>
          <w:p>
            <w:pPr>
              <w:pStyle w:val="Normal"/>
            </w:pPr>
            <w:r>
              <w:t>nota</w:t>
            </w:r>
          </w:p>
        </w:tc>
        <w:tc>
          <w:p>
            <w:pPr>
              <w:pStyle w:val="Normal"/>
            </w:pPr>
            <w:r>
              <w:t>nota</w:t>
            </w:r>
          </w:p>
        </w:tc>
        <w:tc>
          <w:p>
            <w:pPr>
              <w:pStyle w:val="Normal"/>
            </w:pPr>
            <w:r>
              <w:t>pre</w:t>
            </w:r>
          </w:p>
        </w:tc>
        <w:tc>
          <w:p>
            <w:pPr>
              <w:pStyle w:val="Normal"/>
            </w:pPr>
            <w:r>
              <w:t>pre</w:t>
            </w:r>
          </w:p>
        </w:tc>
        <w:tc>
          <w:p>
            <w:pPr>
              <w:pStyle w:val="Normal"/>
            </w:pPr>
            <w:r>
              <w:t>pre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574</w:t>
            </w:r>
          </w:p>
        </w:tc>
        <w:tc>
          <w:p>
            <w:pPr>
              <w:pStyle w:val="Normal"/>
            </w:pPr>
            <w:r>
              <w:t>511</w:t>
            </w:r>
          </w:p>
        </w:tc>
        <w:tc>
          <w:p>
            <w:pPr>
              <w:pStyle w:val="Normal"/>
            </w:pPr>
            <w:r>
              <w:t>582</w:t>
            </w:r>
          </w:p>
        </w:tc>
        <w:tc>
          <w:p>
            <w:pPr>
              <w:pStyle w:val="Normal"/>
            </w:pPr>
            <w:r>
              <w:t>590</w:t>
            </w:r>
          </w:p>
        </w:tc>
        <w:tc>
          <w:p>
            <w:pPr>
              <w:pStyle w:val="Normal"/>
            </w:pPr>
            <w:r>
              <w:t>544</w:t>
            </w:r>
          </w:p>
        </w:tc>
        <w:tc>
          <w:p>
            <w:pPr>
              <w:pStyle w:val="Normal"/>
            </w:pPr>
            <w:r>
              <w:t>548</w:t>
            </w:r>
          </w:p>
        </w:tc>
        <w:tc>
          <w:p>
            <w:pPr>
              <w:pStyle w:val="Normal"/>
            </w:pPr>
            <w:r>
              <w:t>565</w:t>
            </w:r>
          </w:p>
        </w:tc>
        <w:tc>
          <w:p>
            <w:pPr>
              <w:pStyle w:val="Normal"/>
            </w:pPr>
            <w:r>
              <w:t>550</w:t>
            </w:r>
          </w:p>
        </w:tc>
        <w:tc>
          <w:p>
            <w:pPr>
              <w:pStyle w:val="Normal"/>
            </w:pPr>
            <w:r>
              <w:t>536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50.5 (41 - 61)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51 (42 - 59)</w:t>
            </w:r>
          </w:p>
        </w:tc>
        <w:tc>
          <w:p>
            <w:pPr>
              <w:pStyle w:val="Normal"/>
            </w:pPr>
            <w:r>
              <w:t>51 (40 - 61.75)</w:t>
            </w:r>
          </w:p>
        </w:tc>
        <w:tc>
          <w:p>
            <w:pPr>
              <w:pStyle w:val="Normal"/>
            </w:pPr>
            <w:r>
              <w:t>51 (41 - 60.25)</w:t>
            </w:r>
          </w:p>
        </w:tc>
        <w:tc>
          <w:p>
            <w:pPr>
              <w:pStyle w:val="Normal"/>
            </w:pPr>
            <w:r>
              <w:t>50 (41 - 62)</w:t>
            </w:r>
          </w:p>
        </w:tc>
        <w:tc>
          <w:p>
            <w:pPr>
              <w:pStyle w:val="Normal"/>
            </w:pPr>
            <w:r>
              <w:t>50 (40 - 59)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  <w:tc>
          <w:p>
            <w:pPr>
              <w:pStyle w:val="Normal"/>
            </w:pPr>
            <w:r>
              <w:t>50 (39 - 60)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188 (32,8%)</w:t>
            </w:r>
          </w:p>
        </w:tc>
        <w:tc>
          <w:p>
            <w:pPr>
              <w:pStyle w:val="Normal"/>
            </w:pPr>
            <w:r>
              <w:t>182 (35,6%)</w:t>
            </w:r>
          </w:p>
        </w:tc>
        <w:tc>
          <w:p>
            <w:pPr>
              <w:pStyle w:val="Normal"/>
            </w:pPr>
            <w:r>
              <w:t>182 (31,3%)</w:t>
            </w:r>
          </w:p>
        </w:tc>
        <w:tc>
          <w:p>
            <w:pPr>
              <w:pStyle w:val="Normal"/>
            </w:pPr>
            <w:r>
              <w:t>203 (34,4%)</w:t>
            </w:r>
          </w:p>
        </w:tc>
        <w:tc>
          <w:p>
            <w:pPr>
              <w:pStyle w:val="Normal"/>
            </w:pPr>
            <w:r>
              <w:t>187 (34,4%)</w:t>
            </w:r>
          </w:p>
        </w:tc>
        <w:tc>
          <w:p>
            <w:pPr>
              <w:pStyle w:val="Normal"/>
            </w:pPr>
            <w:r>
              <w:t>195 (35,6%)</w:t>
            </w:r>
          </w:p>
        </w:tc>
        <w:tc>
          <w:p>
            <w:pPr>
              <w:pStyle w:val="Normal"/>
            </w:pPr>
            <w:r>
              <w:t>195 (34,5%)</w:t>
            </w:r>
          </w:p>
        </w:tc>
        <w:tc>
          <w:p>
            <w:pPr>
              <w:pStyle w:val="Normal"/>
            </w:pPr>
            <w:r>
              <w:t>201 (36,5%)</w:t>
            </w:r>
          </w:p>
        </w:tc>
        <w:tc>
          <w:p>
            <w:pPr>
              <w:pStyle w:val="Normal"/>
            </w:pPr>
            <w:r>
              <w:t>194 (36,2%)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283 (49,3%)</w:t>
            </w:r>
          </w:p>
        </w:tc>
        <w:tc>
          <w:p>
            <w:pPr>
              <w:pStyle w:val="Normal"/>
            </w:pPr>
            <w:r>
              <w:t>246 (48,1%)</w:t>
            </w:r>
          </w:p>
        </w:tc>
        <w:tc>
          <w:p>
            <w:pPr>
              <w:pStyle w:val="Normal"/>
            </w:pPr>
            <w:r>
              <w:t>313 (53,8%)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266 (48,9%)</w:t>
            </w:r>
          </w:p>
        </w:tc>
        <w:tc>
          <w:p>
            <w:pPr>
              <w:pStyle w:val="Normal"/>
            </w:pPr>
            <w:r>
              <w:t>250 (45,6%)</w:t>
            </w:r>
          </w:p>
        </w:tc>
        <w:tc>
          <w:p>
            <w:pPr>
              <w:pStyle w:val="Normal"/>
            </w:pPr>
            <w:r>
              <w:t>283 (50,1%)</w:t>
            </w:r>
          </w:p>
        </w:tc>
        <w:tc>
          <w:p>
            <w:pPr>
              <w:pStyle w:val="Normal"/>
            </w:pPr>
            <w:r>
              <w:t>258 (46,9%)</w:t>
            </w:r>
          </w:p>
        </w:tc>
        <w:tc>
          <w:p>
            <w:pPr>
              <w:pStyle w:val="Normal"/>
            </w:pPr>
            <w:r>
              <w:t>252 (47,0%)</w:t>
            </w:r>
          </w:p>
        </w:tc>
      </w:tr>
      <w:tr>
        <w:tc>
          <w:p>
            <w:pPr>
              <w:pStyle w:val="Normal"/>
            </w:pPr>
            <w:r>
              <w:t>  65-74, n (%)</w:t>
            </w:r>
          </w:p>
        </w:tc>
        <w:tc>
          <w:p>
            <w:pPr>
              <w:pStyle w:val="Normal"/>
            </w:pPr>
            <w:r>
              <w:t>66 (11,5%)</w:t>
            </w:r>
          </w:p>
        </w:tc>
        <w:tc>
          <w:p>
            <w:pPr>
              <w:pStyle w:val="Normal"/>
            </w:pPr>
            <w:r>
              <w:t>54 (10,6%)</w:t>
            </w:r>
          </w:p>
        </w:tc>
        <w:tc>
          <w:p>
            <w:pPr>
              <w:pStyle w:val="Normal"/>
            </w:pPr>
            <w:r>
              <w:t>62 (10,7%)</w:t>
            </w:r>
          </w:p>
        </w:tc>
        <w:tc>
          <w:p>
            <w:pPr>
              <w:pStyle w:val="Normal"/>
            </w:pPr>
            <w:r>
              <w:t>74 (12,5%)</w:t>
            </w:r>
          </w:p>
        </w:tc>
        <w:tc>
          <w:p>
            <w:pPr>
              <w:pStyle w:val="Normal"/>
            </w:pPr>
            <w:r>
              <w:t>70 (12,9%)</w:t>
            </w:r>
          </w:p>
        </w:tc>
        <w:tc>
          <w:p>
            <w:pPr>
              <w:pStyle w:val="Normal"/>
            </w:pPr>
            <w:r>
              <w:t>75 (13,7%)</w:t>
            </w:r>
          </w:p>
        </w:tc>
        <w:tc>
          <w:p>
            <w:pPr>
              <w:pStyle w:val="Normal"/>
            </w:pPr>
            <w:r>
              <w:t>64 (11,3%)</w:t>
            </w:r>
          </w:p>
        </w:tc>
        <w:tc>
          <w:p>
            <w:pPr>
              <w:pStyle w:val="Normal"/>
            </w:pPr>
            <w:r>
              <w:t>64 (11,6%)</w:t>
            </w:r>
          </w:p>
        </w:tc>
        <w:tc>
          <w:p>
            <w:pPr>
              <w:pStyle w:val="Normal"/>
            </w:pPr>
            <w:r>
              <w:t>65 (12,1%)</w:t>
            </w:r>
          </w:p>
        </w:tc>
      </w:tr>
      <w:tr>
        <w:tc>
          <w:p>
            <w:pPr>
              <w:pStyle w:val="Normal"/>
            </w:pPr>
            <w:r>
              <w:t>  &gt;75, n (%)</w:t>
            </w:r>
          </w:p>
        </w:tc>
        <w:tc>
          <w:p>
            <w:pPr>
              <w:pStyle w:val="Normal"/>
            </w:pPr>
            <w:r>
              <w:t>37 (6,4%)</w:t>
            </w:r>
          </w:p>
        </w:tc>
        <w:tc>
          <w:p>
            <w:pPr>
              <w:pStyle w:val="Normal"/>
            </w:pPr>
            <w:r>
              <w:t>29 (5,7%)</w:t>
            </w:r>
          </w:p>
        </w:tc>
        <w:tc>
          <w:p>
            <w:pPr>
              <w:pStyle w:val="Normal"/>
            </w:pPr>
            <w:r>
              <w:t>25 (4,3%)</w:t>
            </w:r>
          </w:p>
        </w:tc>
        <w:tc>
          <w:p>
            <w:pPr>
              <w:pStyle w:val="Normal"/>
            </w:pPr>
            <w:r>
              <w:t>31 (5,3%)</w:t>
            </w:r>
          </w:p>
        </w:tc>
        <w:tc>
          <w:p>
            <w:pPr>
              <w:pStyle w:val="Normal"/>
            </w:pPr>
            <w:r>
              <w:t>21 (3,9%)</w:t>
            </w:r>
          </w:p>
        </w:tc>
        <w:tc>
          <w:p>
            <w:pPr>
              <w:pStyle w:val="Normal"/>
            </w:pPr>
            <w:r>
              <w:t>28 (5,1%)</w:t>
            </w:r>
          </w:p>
        </w:tc>
        <w:tc>
          <w:p>
            <w:pPr>
              <w:pStyle w:val="Normal"/>
            </w:pPr>
            <w:r>
              <w:t>23 (4,1%)</w:t>
            </w:r>
          </w:p>
        </w:tc>
        <w:tc>
          <w:p>
            <w:pPr>
              <w:pStyle w:val="Normal"/>
            </w:pPr>
            <w:r>
              <w:t>27 (4,9%)</w:t>
            </w:r>
          </w:p>
        </w:tc>
        <w:tc>
          <w:p>
            <w:pPr>
              <w:pStyle w:val="Normal"/>
            </w:pPr>
            <w:r>
              <w:t>25 (4,7%)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282 (49,1%)</w:t>
            </w:r>
          </w:p>
        </w:tc>
        <w:tc>
          <w:p>
            <w:pPr>
              <w:pStyle w:val="Normal"/>
            </w:pPr>
            <w:r>
              <w:t>242 (47,4%)</w:t>
            </w:r>
          </w:p>
        </w:tc>
        <w:tc>
          <w:p>
            <w:pPr>
              <w:pStyle w:val="Normal"/>
            </w:pPr>
            <w:r>
              <w:t>298 (51,2%)</w:t>
            </w:r>
          </w:p>
        </w:tc>
        <w:tc>
          <w:p>
            <w:pPr>
              <w:pStyle w:val="Normal"/>
            </w:pPr>
            <w:r>
              <w:t>282 (47,8%)</w:t>
            </w:r>
          </w:p>
        </w:tc>
        <w:tc>
          <w:p>
            <w:pPr>
              <w:pStyle w:val="Normal"/>
            </w:pPr>
            <w:r>
              <w:t>254 (46,7%)</w:t>
            </w:r>
          </w:p>
        </w:tc>
        <w:tc>
          <w:p>
            <w:pPr>
              <w:pStyle w:val="Normal"/>
            </w:pPr>
            <w:r>
              <w:t>271 (49,5%)</w:t>
            </w:r>
          </w:p>
        </w:tc>
        <w:tc>
          <w:p>
            <w:pPr>
              <w:pStyle w:val="Normal"/>
            </w:pPr>
            <w:r>
              <w:t>291 (51,5%)</w:t>
            </w:r>
          </w:p>
        </w:tc>
        <w:tc>
          <w:p>
            <w:pPr>
              <w:pStyle w:val="Normal"/>
            </w:pPr>
            <w:r>
              <w:t>289 (52,5%)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</w:tr>
      <w:tr>
        <w:tc>
          <w:p>
            <w:pPr>
              <w:pStyle w:val="Normal"/>
            </w:pPr>
            <w:r>
              <w:t>Uso di metformina nei 2 anni precedenti la data indice, n 
(%)</w:t>
            </w:r>
          </w:p>
        </w:tc>
        <w:tc>
          <w:p>
            <w:pPr>
              <w:pStyle w:val="Normal"/>
            </w:pPr>
            <w:r>
              <w:t>398 (69,3%)</w:t>
            </w:r>
          </w:p>
        </w:tc>
        <w:tc>
          <w:p>
            <w:pPr>
              <w:pStyle w:val="Normal"/>
            </w:pPr>
            <w:r>
              <w:t>338 (66,1%)</w:t>
            </w:r>
          </w:p>
        </w:tc>
        <w:tc>
          <w:p>
            <w:pPr>
              <w:pStyle w:val="Normal"/>
            </w:pPr>
            <w:r>
              <w:t>422 (72,5%)</w:t>
            </w:r>
          </w:p>
        </w:tc>
        <w:tc>
          <w:p>
            <w:pPr>
              <w:pStyle w:val="Normal"/>
            </w:pPr>
            <w:r>
              <w:t>402 (68,1%)</w:t>
            </w:r>
          </w:p>
        </w:tc>
        <w:tc>
          <w:p>
            <w:pPr>
              <w:pStyle w:val="Normal"/>
            </w:pPr>
            <w:r>
              <w:t>366 (67,3%)</w:t>
            </w:r>
          </w:p>
        </w:tc>
        <w:tc>
          <w:p>
            <w:pPr>
              <w:pStyle w:val="Normal"/>
            </w:pPr>
            <w:r>
              <w:t>362 (66,1%)</w:t>
            </w:r>
          </w:p>
        </w:tc>
        <w:tc>
          <w:p>
            <w:pPr>
              <w:pStyle w:val="Normal"/>
            </w:pPr>
            <w:r>
              <w:t>379 (67,1%)</w:t>
            </w:r>
          </w:p>
        </w:tc>
        <w:tc>
          <w:p>
            <w:pPr>
              <w:pStyle w:val="Normal"/>
            </w:pPr>
            <w:r>
              <w:t>375 (68,2%)</w:t>
            </w:r>
          </w:p>
        </w:tc>
        <w:tc>
          <w:p>
            <w:pPr>
              <w:pStyle w:val="Normal"/>
            </w:pPr>
            <w:r>
              <w:t>374 (69,8%)</w:t>
            </w:r>
          </w:p>
        </w:tc>
      </w:tr>
      <w:tr>
        <w:tc>
          <w:p>
            <w:pPr>
              <w:pStyle w:val="Normal"/>
            </w:pPr>
            <w:r>
              <w:t>Uso di altri antidiabetici nei 2 anni precedenti la data 
indice (esclusa metformina), n (%)</w:t>
            </w:r>
          </w:p>
        </w:tc>
        <w:tc>
          <w:p>
            <w:pPr>
              <w:pStyle w:val="Normal"/>
            </w:pPr>
            <w:r>
              <w:t>58 (10,1%)</w:t>
            </w:r>
          </w:p>
        </w:tc>
        <w:tc>
          <w:p>
            <w:pPr>
              <w:pStyle w:val="Normal"/>
            </w:pPr>
            <w:r>
              <w:t>44 (8,6%)</w:t>
            </w:r>
          </w:p>
        </w:tc>
        <w:tc>
          <w:p>
            <w:pPr>
              <w:pStyle w:val="Normal"/>
            </w:pPr>
            <w:r>
              <w:t>45 (7,7%)</w:t>
            </w:r>
          </w:p>
        </w:tc>
        <w:tc>
          <w:p>
            <w:pPr>
              <w:pStyle w:val="Normal"/>
            </w:pPr>
            <w:r>
              <w:t>54 (9,2%)</w:t>
            </w:r>
          </w:p>
        </w:tc>
        <w:tc>
          <w:p>
            <w:pPr>
              <w:pStyle w:val="Normal"/>
            </w:pPr>
            <w:r>
              <w:t>44 (8,1%)</w:t>
            </w:r>
          </w:p>
        </w:tc>
        <w:tc>
          <w:p>
            <w:pPr>
              <w:pStyle w:val="Normal"/>
            </w:pPr>
            <w:r>
              <w:t>48 (8,8%)</w:t>
            </w:r>
          </w:p>
        </w:tc>
        <w:tc>
          <w:p>
            <w:pPr>
              <w:pStyle w:val="Normal"/>
            </w:pPr>
            <w:r>
              <w:t>49 (8,7%)</w:t>
            </w:r>
          </w:p>
        </w:tc>
        <w:tc>
          <w:p>
            <w:pPr>
              <w:pStyle w:val="Normal"/>
            </w:pPr>
            <w:r>
              <w:t>38 (6,9%)</w:t>
            </w:r>
          </w:p>
        </w:tc>
        <w:tc>
          <w:p>
            <w:pPr>
              <w:pStyle w:val="Normal"/>
            </w:pPr>
            <w:r>
              <w:t>42 (7,8%)</w:t>
            </w:r>
          </w:p>
        </w:tc>
      </w:tr>
      <w:tr>
        <w:tc>
          <w:p>
            <w:pPr>
              <w:pStyle w:val="Normal"/>
            </w:pPr>
            <w:r>
              <w:t>Comorbidità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Malattia cardiovascolare, n (%)</w:t>
            </w:r>
          </w:p>
        </w:tc>
        <w:tc>
          <w:p>
            <w:pPr>
              <w:pStyle w:val="Normal"/>
            </w:pPr>
            <w:r>
              <w:t>242 (42,2%)</w:t>
            </w:r>
          </w:p>
        </w:tc>
        <w:tc>
          <w:p>
            <w:pPr>
              <w:pStyle w:val="Normal"/>
            </w:pPr>
            <w:r>
              <w:t>232 (45,4%)</w:t>
            </w:r>
          </w:p>
        </w:tc>
        <w:tc>
          <w:p>
            <w:pPr>
              <w:pStyle w:val="Normal"/>
            </w:pPr>
            <w:r>
              <w:t>222 (38,1%)</w:t>
            </w:r>
          </w:p>
        </w:tc>
        <w:tc>
          <w:p>
            <w:pPr>
              <w:pStyle w:val="Normal"/>
            </w:pPr>
            <w:r>
              <w:t>232 (39,3%)</w:t>
            </w:r>
          </w:p>
        </w:tc>
        <w:tc>
          <w:p>
            <w:pPr>
              <w:pStyle w:val="Normal"/>
            </w:pPr>
            <w:r>
              <w:t>212 (39,0%)</w:t>
            </w:r>
          </w:p>
        </w:tc>
        <w:tc>
          <w:p>
            <w:pPr>
              <w:pStyle w:val="Normal"/>
            </w:pPr>
            <w:r>
              <w:t>212 (38,7%)</w:t>
            </w:r>
          </w:p>
        </w:tc>
        <w:tc>
          <w:p>
            <w:pPr>
              <w:pStyle w:val="Normal"/>
            </w:pPr>
            <w:r>
              <w:t>235 (41,6%)</w:t>
            </w:r>
          </w:p>
        </w:tc>
        <w:tc>
          <w:p>
            <w:pPr>
              <w:pStyle w:val="Normal"/>
            </w:pPr>
            <w:r>
              <w:t>230 (41,8%)</w:t>
            </w:r>
          </w:p>
        </w:tc>
        <w:tc>
          <w:p>
            <w:pPr>
              <w:pStyle w:val="Normal"/>
            </w:pPr>
            <w:r>
              <w:t>221 (41,2%)</w:t>
            </w:r>
          </w:p>
        </w:tc>
      </w:tr>
      <w:tr>
        <w:tc>
          <w:p>
            <w:pPr>
              <w:pStyle w:val="Normal"/>
            </w:pPr>
            <w:r>
              <w:t>Malattia cerebrovascolare, n (%)
</w:t>
            </w:r>
          </w:p>
        </w:tc>
        <w:tc>
          <w:p>
            <w:pPr>
              <w:pStyle w:val="Normal"/>
            </w:pPr>
            <w:r>
              <w:t>89 (15,5%)</w:t>
            </w:r>
          </w:p>
        </w:tc>
        <w:tc>
          <w:p>
            <w:pPr>
              <w:pStyle w:val="Normal"/>
            </w:pPr>
            <w:r>
              <w:t>71 (13,9%)</w:t>
            </w:r>
          </w:p>
        </w:tc>
        <w:tc>
          <w:p>
            <w:pPr>
              <w:pStyle w:val="Normal"/>
            </w:pPr>
            <w:r>
              <w:t>77 (13,2%)</w:t>
            </w:r>
          </w:p>
        </w:tc>
        <w:tc>
          <w:p>
            <w:pPr>
              <w:pStyle w:val="Normal"/>
            </w:pPr>
            <w:r>
              <w:t>82 (13,9%)</w:t>
            </w:r>
          </w:p>
        </w:tc>
        <w:tc>
          <w:p>
            <w:pPr>
              <w:pStyle w:val="Normal"/>
            </w:pPr>
            <w:r>
              <w:t>76 (14,0%)</w:t>
            </w:r>
          </w:p>
        </w:tc>
        <w:tc>
          <w:p>
            <w:pPr>
              <w:pStyle w:val="Normal"/>
            </w:pPr>
            <w:r>
              <w:t>67 (12,2%)</w:t>
            </w:r>
          </w:p>
        </w:tc>
        <w:tc>
          <w:p>
            <w:pPr>
              <w:pStyle w:val="Normal"/>
            </w:pPr>
            <w:r>
              <w:t>96 (17,0%)</w:t>
            </w:r>
          </w:p>
        </w:tc>
        <w:tc>
          <w:p>
            <w:pPr>
              <w:pStyle w:val="Normal"/>
            </w:pPr>
            <w:r>
              <w:t>82 (14,9%)</w:t>
            </w:r>
          </w:p>
        </w:tc>
        <w:tc>
          <w:p>
            <w:pPr>
              <w:pStyle w:val="Normal"/>
            </w:pPr>
            <w:r>
              <w:t>72 (13,4%)</w:t>
            </w:r>
          </w:p>
        </w:tc>
      </w:tr>
      <w:tr>
        <w:tc>
          <w:p>
            <w:pPr>
              <w:pStyle w:val="Normal"/>
            </w:pPr>
            <w:r>
              <w:t>Arteriopatia periferica, n (%)</w:t>
            </w:r>
          </w:p>
        </w:tc>
        <w:tc>
          <w:p>
            <w:pPr>
              <w:pStyle w:val="Normal"/>
            </w:pPr>
            <w:r>
              <w:t>478 (83,3%)</w:t>
            </w:r>
          </w:p>
        </w:tc>
        <w:tc>
          <w:p>
            <w:pPr>
              <w:pStyle w:val="Normal"/>
            </w:pPr>
            <w:r>
              <w:t>437 (85,5%)</w:t>
            </w:r>
          </w:p>
        </w:tc>
        <w:tc>
          <w:p>
            <w:pPr>
              <w:pStyle w:val="Normal"/>
            </w:pPr>
            <w:r>
              <w:t>486 (83,5%)</w:t>
            </w:r>
          </w:p>
        </w:tc>
        <w:tc>
          <w:p>
            <w:pPr>
              <w:pStyle w:val="Normal"/>
            </w:pPr>
            <w:r>
              <w:t>497 (84,2%)</w:t>
            </w:r>
          </w:p>
        </w:tc>
        <w:tc>
          <w:p>
            <w:pPr>
              <w:pStyle w:val="Normal"/>
            </w:pPr>
            <w:r>
              <w:t>467 (85,8%)</w:t>
            </w:r>
          </w:p>
        </w:tc>
        <w:tc>
          <w:p>
            <w:pPr>
              <w:pStyle w:val="Normal"/>
            </w:pPr>
            <w:r>
              <w:t>463 (84,5%)</w:t>
            </w:r>
          </w:p>
        </w:tc>
        <w:tc>
          <w:p>
            <w:pPr>
              <w:pStyle w:val="Normal"/>
            </w:pPr>
            <w:r>
              <w:t>476 (84,2%)</w:t>
            </w:r>
          </w:p>
        </w:tc>
        <w:tc>
          <w:p>
            <w:pPr>
              <w:pStyle w:val="Normal"/>
            </w:pPr>
            <w:r>
              <w:t>458 (83,3%)</w:t>
            </w:r>
          </w:p>
        </w:tc>
        <w:tc>
          <w:p>
            <w:pPr>
              <w:pStyle w:val="Normal"/>
            </w:pPr>
            <w:r>
              <w:t>462 (86,2%)</w:t>
            </w:r>
          </w:p>
        </w:tc>
      </w:tr>
      <w:tr>
        <w:tc>
          <w:p>
            <w:pPr>
              <w:pStyle w:val="Normal"/>
            </w:pPr>
            <w:r>
              <w:t>Rischio CV elevato, n (%)</w:t>
            </w:r>
          </w:p>
        </w:tc>
        <w:tc>
          <w:p>
            <w:pPr>
              <w:pStyle w:val="Normal"/>
            </w:pPr>
            <w:r>
              <w:t>488 (85,0%)</w:t>
            </w:r>
          </w:p>
        </w:tc>
        <w:tc>
          <w:p>
            <w:pPr>
              <w:pStyle w:val="Normal"/>
            </w:pPr>
            <w:r>
              <w:t>424 (83,0%)</w:t>
            </w:r>
          </w:p>
        </w:tc>
        <w:tc>
          <w:p>
            <w:pPr>
              <w:pStyle w:val="Normal"/>
            </w:pPr>
            <w:r>
              <w:t>492 (84,5%)</w:t>
            </w:r>
          </w:p>
        </w:tc>
        <w:tc>
          <w:p>
            <w:pPr>
              <w:pStyle w:val="Normal"/>
            </w:pPr>
            <w:r>
              <w:t>503 (85,3%)</w:t>
            </w:r>
          </w:p>
        </w:tc>
        <w:tc>
          <w:p>
            <w:pPr>
              <w:pStyle w:val="Normal"/>
            </w:pPr>
            <w:r>
              <w:t>460 (84,6%)</w:t>
            </w:r>
          </w:p>
        </w:tc>
        <w:tc>
          <w:p>
            <w:pPr>
              <w:pStyle w:val="Normal"/>
            </w:pPr>
            <w:r>
              <w:t>464 (84,7%)</w:t>
            </w:r>
          </w:p>
        </w:tc>
        <w:tc>
          <w:p>
            <w:pPr>
              <w:pStyle w:val="Normal"/>
            </w:pPr>
            <w:r>
              <w:t>483 (85,5%)</w:t>
            </w:r>
          </w:p>
        </w:tc>
        <w:tc>
          <w:p>
            <w:pPr>
              <w:pStyle w:val="Normal"/>
            </w:pPr>
            <w:r>
              <w:t>472 (85,8%)</w:t>
            </w:r>
          </w:p>
        </w:tc>
        <w:tc>
          <w:p>
            <w:pPr>
              <w:pStyle w:val="Normal"/>
            </w:pPr>
            <w:r>
              <w:t>454 (84,7%)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304 (53,0%)</w:t>
            </w:r>
          </w:p>
        </w:tc>
        <w:tc>
          <w:p>
            <w:pPr>
              <w:pStyle w:val="Normal"/>
            </w:pPr>
            <w:r>
              <w:t>290 (56,8%)</w:t>
            </w:r>
          </w:p>
        </w:tc>
        <w:tc>
          <w:p>
            <w:pPr>
              <w:pStyle w:val="Normal"/>
            </w:pPr>
            <w:r>
              <w:t>314 (54,0%)</w:t>
            </w:r>
          </w:p>
        </w:tc>
        <w:tc>
          <w:p>
            <w:pPr>
              <w:pStyle w:val="Normal"/>
            </w:pPr>
            <w:r>
              <w:t>297 (50,3%)</w:t>
            </w:r>
          </w:p>
        </w:tc>
        <w:tc>
          <w:p>
            <w:pPr>
              <w:pStyle w:val="Normal"/>
            </w:pPr>
            <w:r>
              <w:t>287 (52,8%)</w:t>
            </w:r>
          </w:p>
        </w:tc>
        <w:tc>
          <w:p>
            <w:pPr>
              <w:pStyle w:val="Normal"/>
            </w:pPr>
            <w:r>
              <w:t>273 (49,8%)</w:t>
            </w:r>
          </w:p>
        </w:tc>
        <w:tc>
          <w:p>
            <w:pPr>
              <w:pStyle w:val="Normal"/>
            </w:pPr>
            <w:r>
              <w:t>299 (52,9%)</w:t>
            </w:r>
          </w:p>
        </w:tc>
        <w:tc>
          <w:p>
            <w:pPr>
              <w:pStyle w:val="Normal"/>
            </w:pPr>
            <w:r>
              <w:t>312 (56,7%)</w:t>
            </w:r>
          </w:p>
        </w:tc>
        <w:tc>
          <w:p>
            <w:pPr>
              <w:pStyle w:val="Normal"/>
            </w:pPr>
            <w:r>
              <w:t>284 (53,0%)</w:t>
            </w:r>
          </w:p>
        </w:tc>
      </w:tr>
      <w:tr>
        <w:tc>
          <w:p>
            <w:pPr>
              <w:pStyle w:val="Normal"/>
            </w:pPr>
            <w:r>
              <w:t>Malattia renale cronica, n (%)</w:t>
            </w:r>
          </w:p>
        </w:tc>
        <w:tc>
          <w:p>
            <w:pPr>
              <w:pStyle w:val="Normal"/>
            </w:pPr>
            <w:r>
              <w:t>114 (19,9%)</w:t>
            </w:r>
          </w:p>
        </w:tc>
        <w:tc>
          <w:p>
            <w:pPr>
              <w:pStyle w:val="Normal"/>
            </w:pPr>
            <w:r>
              <w:t>88 (17,2%)</w:t>
            </w:r>
          </w:p>
        </w:tc>
        <w:tc>
          <w:p>
            <w:pPr>
              <w:pStyle w:val="Normal"/>
            </w:pPr>
            <w:r>
              <w:t>96 (16,5%)</w:t>
            </w:r>
          </w:p>
        </w:tc>
        <w:tc>
          <w:p>
            <w:pPr>
              <w:pStyle w:val="Normal"/>
            </w:pPr>
            <w:r>
              <w:t>105 (17,8%)</w:t>
            </w:r>
          </w:p>
        </w:tc>
        <w:tc>
          <w:p>
            <w:pPr>
              <w:pStyle w:val="Normal"/>
            </w:pPr>
            <w:r>
              <w:t>105 (19,3%)</w:t>
            </w:r>
          </w:p>
        </w:tc>
        <w:tc>
          <w:p>
            <w:pPr>
              <w:pStyle w:val="Normal"/>
            </w:pPr>
            <w:r>
              <w:t>94 (17,2%)</w:t>
            </w:r>
          </w:p>
        </w:tc>
        <w:tc>
          <w:p>
            <w:pPr>
              <w:pStyle w:val="Normal"/>
            </w:pPr>
            <w:r>
              <w:t>118 (20,9%)</w:t>
            </w:r>
          </w:p>
        </w:tc>
        <w:tc>
          <w:p>
            <w:pPr>
              <w:pStyle w:val="Normal"/>
            </w:pPr>
            <w:r>
              <w:t>109 (19,8%)</w:t>
            </w:r>
          </w:p>
        </w:tc>
        <w:tc>
          <w:p>
            <w:pPr>
              <w:pStyle w:val="Normal"/>
            </w:pPr>
            <w:r>
              <w:t>100 (18,7%)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2026-06-26T15:17:09Z</dcterms:modified>
  <cp:category/>
</cp:coreProperties>
</file>