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 popolazione in studio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al 1 gennaio di ogni anno tra 2016 e 2025</w:t>
            </w:r>
          </w:p>
        </w:tc>
        <w:tc>
          <w:p>
            <w:pPr>
              <w:pStyle w:val="Normal"/>
            </w:pPr>
            <w:r>
              <w:t>1.428 (28,6%)</w:t>
            </w:r>
          </w:p>
        </w:tc>
      </w:tr>
      <w:tr>
        <w:tc>
          <w:p>
            <w:pPr>
              <w:pStyle w:val="Normal"/>
            </w:pPr>
            <w:r>
              <w:t>Soggetti con una finestra di osservazione</w:t>
            </w:r>
          </w:p>
        </w:tc>
        <w:tc>
          <w:p>
            <w:pPr>
              <w:pStyle w:val="Normal"/>
            </w:pPr>
            <w:r>
              <w:t>4.315 (86,3%)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data di ingresso nella coorte di studio</w:t>
            </w:r>
          </w:p>
        </w:tc>
        <w:tc>
          <w:p>
            <w:pPr>
              <w:pStyle w:val="Normal"/>
            </w:pPr>
            <w:r>
              <w:t>4.474 (89,5%)</w:t>
            </w:r>
          </w:p>
        </w:tc>
      </w:tr>
      <w:tr>
        <w:tc>
          <w:p>
            <w:pPr>
              <w:pStyle w:val="Normal"/>
            </w:pPr>
            <w:r>
              <w:t>Soggetti con prima dispensazione di farmaci di interesse nel periodo gen2016 - dic2025</w:t>
            </w:r>
          </w:p>
        </w:tc>
        <w:tc>
          <w:p>
            <w:pPr>
              <w:pStyle w:val="Normal"/>
            </w:pPr>
            <w:r>
              <w:t>3.975 (79,5%)</w:t>
            </w:r>
          </w:p>
        </w:tc>
      </w:tr>
      <w:tr>
        <w:tc>
          <w:p>
            <w:pPr>
              <w:pStyle w:val="Normal"/>
            </w:pPr>
            <w:r>
              <w:t>Soggetti incidenti</w:t>
            </w:r>
          </w:p>
        </w:tc>
        <w:tc>
          <w:p>
            <w:pPr>
              <w:pStyle w:val="Normal"/>
            </w:pPr>
            <w:r>
              <w:t>2.952 (59,0%)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2026-08-07T12:24:24Z</dcterms:modified>
  <cp:category/>
</cp:coreProperties>
</file>