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 popolazione in studio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al 1 gennaio di ogni anno tra 2016 e 2025</w:t>
            </w:r>
          </w:p>
        </w:tc>
        <w:tc>
          <w:p>
            <w:pPr>
              <w:pStyle w:val="Normal"/>
            </w:pPr>
            <w:r>
              <w:t>387 (7,7%)</w:t>
            </w:r>
          </w:p>
        </w:tc>
      </w:tr>
      <w:tr>
        <w:tc>
          <w:p>
            <w:pPr>
              <w:pStyle w:val="Normal"/>
            </w:pPr>
            <w:r>
              <w:t>Soggetti con una finestra di osservazione</w:t>
            </w:r>
          </w:p>
        </w:tc>
        <w:tc>
          <w:p>
            <w:pPr>
              <w:pStyle w:val="Normal"/>
            </w:pPr>
            <w:r>
              <w:t>3.763 (75,3%)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data di ingresso nella coorte di studio</w:t>
            </w:r>
          </w:p>
        </w:tc>
        <w:tc>
          <w:p>
            <w:pPr>
              <w:pStyle w:val="Normal"/>
            </w:pPr>
            <w:r>
              <w:t>1.204 (24,1%)</w:t>
            </w:r>
          </w:p>
        </w:tc>
      </w:tr>
      <w:tr>
        <w:tc>
          <w:p>
            <w:pPr>
              <w:pStyle w:val="Normal"/>
            </w:pPr>
            <w:r>
              <w:t>Soggetti con prima dispensazione di farmaci di interesse nel periodo gen2016 - dic2025</w:t>
            </w:r>
          </w:p>
        </w:tc>
        <w:tc>
          <w:p>
            <w:pPr>
              <w:pStyle w:val="Normal"/>
            </w:pPr>
            <w:r>
              <w:t>973 (19,5%)</w:t>
            </w:r>
          </w:p>
        </w:tc>
      </w:tr>
      <w:tr>
        <w:tc>
          <w:p>
            <w:pPr>
              <w:pStyle w:val="Normal"/>
            </w:pPr>
            <w:r>
              <w:t>Soggetti incidenti</w:t>
            </w:r>
          </w:p>
        </w:tc>
        <w:tc>
          <w:p>
            <w:pPr>
              <w:pStyle w:val="Normal"/>
            </w:pPr>
            <w:r>
              <w:t>1.489 (29,8%)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2026-08-07T12:24:23Z</dcterms:modified>
  <cp:category/>
</cp:coreProperties>
</file>