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639 (12,8%)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2.491 (49,8%)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3.494 (69,9%)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2.297 (45,9%)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2.098 (42,0%)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2026-08-07T12:24:24Z</dcterms:modified>
  <cp:category/>
</cp:coreProperties>
</file>