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Periodo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</w:tr>
      <w:tr>
        <w:tc>
          <w:p>
            <w:pPr>
              <w:pStyle w:val="Normal"/>
            </w:pPr>
            <w:r>
              <w:t>Totale nuovi utilizzatori</w:t>
            </w:r>
          </w:p>
        </w:tc>
        <w:tc>
          <w:p>
            <w:pPr>
              <w:pStyle w:val="Normal"/>
            </w:pPr>
            <w:r>
              <w:t>1651</w:t>
            </w:r>
          </w:p>
        </w:tc>
        <w:tc>
          <w:p>
            <w:pPr>
              <w:pStyle w:val="Normal"/>
            </w:pPr>
            <w:r>
              <w:t>1682</w:t>
            </w:r>
          </w:p>
        </w:tc>
        <w:tc>
          <w:p>
            <w:pPr>
              <w:pStyle w:val="Normal"/>
            </w:pPr>
            <w:r>
              <w:t>1667</w:t>
            </w:r>
          </w:p>
        </w:tc>
      </w:tr>
      <w:tr>
        <w:tc>
          <w:p>
            <w:pPr>
              <w:pStyle w:val="Normal"/>
            </w:pPr>
            <w:r>
              <w:t>Età alla data indice,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mediana (Q1 - Q3)</w:t>
            </w:r>
          </w:p>
        </w:tc>
        <w:tc>
          <w:p>
            <w:pPr>
              <w:pStyle w:val="Normal"/>
            </w:pPr>
            <w:r>
              <w:t>50 (39 - 60)</w:t>
            </w:r>
          </w:p>
        </w:tc>
        <w:tc>
          <w:p>
            <w:pPr>
              <w:pStyle w:val="Normal"/>
            </w:pPr>
            <w:r>
              <w:t>50 (40 - 61)</w:t>
            </w:r>
          </w:p>
        </w:tc>
        <w:tc>
          <w:p>
            <w:pPr>
              <w:pStyle w:val="Normal"/>
            </w:pPr>
            <w:r>
              <w:t>50 (41 - 60)</w:t>
            </w:r>
          </w:p>
        </w:tc>
      </w:tr>
      <w:tr>
        <w:tc>
          <w:p>
            <w:pPr>
              <w:pStyle w:val="Normal"/>
            </w:pPr>
            <w:r>
              <w:t>Classi età alla data indice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18-44, n (%)</w:t>
            </w:r>
          </w:p>
        </w:tc>
        <w:tc>
          <w:p>
            <w:pPr>
              <w:pStyle w:val="Normal"/>
            </w:pPr>
            <w:r>
              <w:t>590 (35,7%)</w:t>
            </w:r>
          </w:p>
        </w:tc>
        <w:tc>
          <w:p>
            <w:pPr>
              <w:pStyle w:val="Normal"/>
            </w:pPr>
            <w:r>
              <w:t>585 (34,8%)</w:t>
            </w:r>
          </w:p>
        </w:tc>
        <w:tc>
          <w:p>
            <w:pPr>
              <w:pStyle w:val="Normal"/>
            </w:pPr>
            <w:r>
              <w:t>552 (33,1%)</w:t>
            </w:r>
          </w:p>
        </w:tc>
      </w:tr>
      <w:tr>
        <w:tc>
          <w:p>
            <w:pPr>
              <w:pStyle w:val="Normal"/>
            </w:pPr>
            <w:r>
              <w:t>  45-64, n (%)</w:t>
            </w:r>
          </w:p>
        </w:tc>
        <w:tc>
          <w:p>
            <w:pPr>
              <w:pStyle w:val="Normal"/>
            </w:pPr>
            <w:r>
              <w:t>793 (48,0%)</w:t>
            </w:r>
          </w:p>
        </w:tc>
        <w:tc>
          <w:p>
            <w:pPr>
              <w:pStyle w:val="Normal"/>
            </w:pPr>
            <w:r>
              <w:t>798 (47,4%)</w:t>
            </w:r>
          </w:p>
        </w:tc>
        <w:tc>
          <w:p>
            <w:pPr>
              <w:pStyle w:val="Normal"/>
            </w:pPr>
            <w:r>
              <w:t>842 (50,5%)</w:t>
            </w:r>
          </w:p>
        </w:tc>
      </w:tr>
      <w:tr>
        <w:tc>
          <w:p>
            <w:pPr>
              <w:pStyle w:val="Normal"/>
            </w:pPr>
            <w:r>
              <w:t>  65-74, n (%)</w:t>
            </w:r>
          </w:p>
        </w:tc>
        <w:tc>
          <w:p>
            <w:pPr>
              <w:pStyle w:val="Normal"/>
            </w:pPr>
            <w:r>
              <w:t>193 (11,7%)</w:t>
            </w:r>
          </w:p>
        </w:tc>
        <w:tc>
          <w:p>
            <w:pPr>
              <w:pStyle w:val="Normal"/>
            </w:pPr>
            <w:r>
              <w:t>219 (13,0%)</w:t>
            </w:r>
          </w:p>
        </w:tc>
        <w:tc>
          <w:p>
            <w:pPr>
              <w:pStyle w:val="Normal"/>
            </w:pPr>
            <w:r>
              <w:t>182 (10,9%)</w:t>
            </w:r>
          </w:p>
        </w:tc>
      </w:tr>
      <w:tr>
        <w:tc>
          <w:p>
            <w:pPr>
              <w:pStyle w:val="Normal"/>
            </w:pPr>
            <w:r>
              <w:t>  &gt;75, n (%)</w:t>
            </w:r>
          </w:p>
        </w:tc>
        <w:tc>
          <w:p>
            <w:pPr>
              <w:pStyle w:val="Normal"/>
            </w:pPr>
            <w:r>
              <w:t>75 (4,5%)</w:t>
            </w:r>
          </w:p>
        </w:tc>
        <w:tc>
          <w:p>
            <w:pPr>
              <w:pStyle w:val="Normal"/>
            </w:pPr>
            <w:r>
              <w:t>80 (4,8%)</w:t>
            </w:r>
          </w:p>
        </w:tc>
        <w:tc>
          <w:p>
            <w:pPr>
              <w:pStyle w:val="Normal"/>
            </w:pPr>
            <w:r>
              <w:t>91 (5,5%)</w:t>
            </w:r>
          </w:p>
        </w:tc>
      </w:tr>
      <w:tr>
        <w:tc>
          <w:p>
            <w:pPr>
              <w:pStyle w:val="Normal"/>
            </w:pPr>
            <w:r>
              <w:t>Genere F registrato alla data indice, n (%)</w:t>
            </w:r>
          </w:p>
        </w:tc>
        <w:tc>
          <w:p>
            <w:pPr>
              <w:pStyle w:val="Normal"/>
            </w:pPr>
            <w:r>
              <w:t>864 (52,3%)</w:t>
            </w:r>
          </w:p>
        </w:tc>
        <w:tc>
          <w:p>
            <w:pPr>
              <w:pStyle w:val="Normal"/>
            </w:pPr>
            <w:r>
              <w:t>807 (48,0%)</w:t>
            </w:r>
          </w:p>
        </w:tc>
        <w:tc>
          <w:p>
            <w:pPr>
              <w:pStyle w:val="Normal"/>
            </w:pPr>
            <w:r>
              <w:t>822 (49,3%)</w:t>
            </w:r>
          </w:p>
        </w:tc>
      </w:tr>
      <w:tr>
        <w:tc>
          <w:p>
            <w:pPr>
              <w:pStyle w:val="Normal"/>
            </w:pPr>
            <w:r>
              <w:t>Uso di metformina nei 2 anni precedenti la data indice, n 
(%)</w:t>
            </w:r>
          </w:p>
        </w:tc>
        <w:tc>
          <w:p>
            <w:pPr>
              <w:pStyle w:val="Normal"/>
            </w:pPr>
            <w:r>
              <w:t>1.128 (68,3%)</w:t>
            </w:r>
          </w:p>
        </w:tc>
        <w:tc>
          <w:p>
            <w:pPr>
              <w:pStyle w:val="Normal"/>
            </w:pPr>
            <w:r>
              <w:t>1.130 (67,2%)</w:t>
            </w:r>
          </w:p>
        </w:tc>
        <w:tc>
          <w:p>
            <w:pPr>
              <w:pStyle w:val="Normal"/>
            </w:pPr>
            <w:r>
              <w:t>1.158 (69,5%)</w:t>
            </w:r>
          </w:p>
        </w:tc>
      </w:tr>
      <w:tr>
        <w:tc>
          <w:p>
            <w:pPr>
              <w:pStyle w:val="Normal"/>
            </w:pPr>
            <w:r>
              <w:t>Uso di altri antidiabetici nei 2 anni precedenti la data 
indice (esclusa metformina), n (%)</w:t>
            </w:r>
          </w:p>
        </w:tc>
        <w:tc>
          <w:p>
            <w:pPr>
              <w:pStyle w:val="Normal"/>
            </w:pPr>
            <w:r>
              <w:t>129 (7,8%)</w:t>
            </w:r>
          </w:p>
        </w:tc>
        <w:tc>
          <w:p>
            <w:pPr>
              <w:pStyle w:val="Normal"/>
            </w:pPr>
            <w:r>
              <w:t>146 (8,7%)</w:t>
            </w:r>
          </w:p>
        </w:tc>
        <w:tc>
          <w:p>
            <w:pPr>
              <w:pStyle w:val="Normal"/>
            </w:pPr>
            <w:r>
              <w:t>147 (8,8%)</w:t>
            </w:r>
          </w:p>
        </w:tc>
      </w:tr>
      <w:tr>
        <w:tc>
          <w:p>
            <w:pPr>
              <w:pStyle w:val="Normal"/>
            </w:pPr>
            <w:r>
              <w:t>Comorbidità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Malattia cardiovascolare, n (%)</w:t>
            </w:r>
          </w:p>
        </w:tc>
        <w:tc>
          <w:p>
            <w:pPr>
              <w:pStyle w:val="Normal"/>
            </w:pPr>
            <w:r>
              <w:t>686 (41,6%)</w:t>
            </w:r>
          </w:p>
        </w:tc>
        <w:tc>
          <w:p>
            <w:pPr>
              <w:pStyle w:val="Normal"/>
            </w:pPr>
            <w:r>
              <w:t>656 (39,0%)</w:t>
            </w:r>
          </w:p>
        </w:tc>
        <w:tc>
          <w:p>
            <w:pPr>
              <w:pStyle w:val="Normal"/>
            </w:pPr>
            <w:r>
              <w:t>696 (41,8%)</w:t>
            </w:r>
          </w:p>
        </w:tc>
      </w:tr>
      <w:tr>
        <w:tc>
          <w:p>
            <w:pPr>
              <w:pStyle w:val="Normal"/>
            </w:pPr>
            <w:r>
              <w:t>Malattia cerebrovascolare, n (%)</w:t>
            </w:r>
          </w:p>
        </w:tc>
        <w:tc>
          <w:p>
            <w:pPr>
              <w:pStyle w:val="Normal"/>
            </w:pPr>
            <w:r>
              <w:t>250 (15,1%)</w:t>
            </w:r>
          </w:p>
        </w:tc>
        <w:tc>
          <w:p>
            <w:pPr>
              <w:pStyle w:val="Normal"/>
            </w:pPr>
            <w:r>
              <w:t>225 (13,4%)</w:t>
            </w:r>
          </w:p>
        </w:tc>
        <w:tc>
          <w:p>
            <w:pPr>
              <w:pStyle w:val="Normal"/>
            </w:pPr>
            <w:r>
              <w:t>237 (14,2%)</w:t>
            </w:r>
          </w:p>
        </w:tc>
      </w:tr>
      <w:tr>
        <w:tc>
          <w:p>
            <w:pPr>
              <w:pStyle w:val="Normal"/>
            </w:pPr>
            <w:r>
              <w:t>Arteriopatia periferica, n (%)</w:t>
            </w:r>
          </w:p>
        </w:tc>
        <w:tc>
          <w:p>
            <w:pPr>
              <w:pStyle w:val="Normal"/>
            </w:pPr>
            <w:r>
              <w:t>1.396 (84,6%)</w:t>
            </w:r>
          </w:p>
        </w:tc>
        <w:tc>
          <w:p>
            <w:pPr>
              <w:pStyle w:val="Normal"/>
            </w:pPr>
            <w:r>
              <w:t>1.427 (84,8%)</w:t>
            </w:r>
          </w:p>
        </w:tc>
        <w:tc>
          <w:p>
            <w:pPr>
              <w:pStyle w:val="Normal"/>
            </w:pPr>
            <w:r>
              <w:t>1.401 (84,0%)</w:t>
            </w:r>
          </w:p>
        </w:tc>
      </w:tr>
      <w:tr>
        <w:tc>
          <w:p>
            <w:pPr>
              <w:pStyle w:val="Normal"/>
            </w:pPr>
            <w:r>
              <w:t>Rischio CV elevato, n (%)</w:t>
            </w:r>
          </w:p>
        </w:tc>
        <w:tc>
          <w:p>
            <w:pPr>
              <w:pStyle w:val="Normal"/>
            </w:pPr>
            <w:r>
              <w:t>1.409 (85,3%)</w:t>
            </w:r>
          </w:p>
        </w:tc>
        <w:tc>
          <w:p>
            <w:pPr>
              <w:pStyle w:val="Normal"/>
            </w:pPr>
            <w:r>
              <w:t>1.427 (84,8%)</w:t>
            </w:r>
          </w:p>
        </w:tc>
        <w:tc>
          <w:p>
            <w:pPr>
              <w:pStyle w:val="Normal"/>
            </w:pPr>
            <w:r>
              <w:t>1.404 (84,2%)</w:t>
            </w:r>
          </w:p>
        </w:tc>
      </w:tr>
      <w:tr>
        <w:tc>
          <w:p>
            <w:pPr>
              <w:pStyle w:val="Normal"/>
            </w:pPr>
            <w:r>
              <w:t>Scompenso cardiaco, n (%)</w:t>
            </w:r>
          </w:p>
        </w:tc>
        <w:tc>
          <w:p>
            <w:pPr>
              <w:pStyle w:val="Normal"/>
            </w:pPr>
            <w:r>
              <w:t>895 (54,2%)</w:t>
            </w:r>
          </w:p>
        </w:tc>
        <w:tc>
          <w:p>
            <w:pPr>
              <w:pStyle w:val="Normal"/>
            </w:pPr>
            <w:r>
              <w:t>857 (51,0%)</w:t>
            </w:r>
          </w:p>
        </w:tc>
        <w:tc>
          <w:p>
            <w:pPr>
              <w:pStyle w:val="Normal"/>
            </w:pPr>
            <w:r>
              <w:t>908 (54,5%)</w:t>
            </w:r>
          </w:p>
        </w:tc>
      </w:tr>
      <w:tr>
        <w:tc>
          <w:p>
            <w:pPr>
              <w:pStyle w:val="Normal"/>
            </w:pPr>
            <w:r>
              <w:t>Malattia renale cronica, n (%)</w:t>
            </w:r>
          </w:p>
        </w:tc>
        <w:tc>
          <w:p>
            <w:pPr>
              <w:pStyle w:val="Normal"/>
            </w:pPr>
            <w:r>
              <w:t>327 (19,8%)</w:t>
            </w:r>
          </w:p>
        </w:tc>
        <w:tc>
          <w:p>
            <w:pPr>
              <w:pStyle w:val="Normal"/>
            </w:pPr>
            <w:r>
              <w:t>304 (18,1%)</w:t>
            </w:r>
          </w:p>
        </w:tc>
        <w:tc>
          <w:p>
            <w:pPr>
              <w:pStyle w:val="Normal"/>
            </w:pPr>
            <w:r>
              <w:t>298 (17,9%)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2026-09-08T15:11:30Z</dcterms:modified>
  <cp:category/>
</cp:coreProperties>
</file>