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585</w:t>
            </w:r>
          </w:p>
        </w:tc>
        <w:tc>
          <w:p>
            <w:pPr>
              <w:pStyle w:val="Normal"/>
            </w:pPr>
            <w:r>
              <w:t>552</w:t>
            </w:r>
          </w:p>
        </w:tc>
        <w:tc>
          <w:p>
            <w:pPr>
              <w:pStyle w:val="Normal"/>
            </w:pPr>
            <w:r>
              <w:t>528</w:t>
            </w:r>
          </w:p>
        </w:tc>
        <w:tc>
          <w:p>
            <w:pPr>
              <w:pStyle w:val="Normal"/>
            </w:pPr>
            <w:r>
              <w:t>549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512</w:t>
            </w:r>
          </w:p>
        </w:tc>
        <w:tc>
          <w:p>
            <w:pPr>
              <w:pStyle w:val="Normal"/>
            </w:pPr>
            <w:r>
              <w:t>579</w:t>
            </w:r>
          </w:p>
        </w:tc>
        <w:tc>
          <w:p>
            <w:pPr>
              <w:pStyle w:val="Normal"/>
            </w:pPr>
            <w:r>
              <w:t>582</w:t>
            </w:r>
          </w:p>
        </w:tc>
        <w:tc>
          <w:p>
            <w:pPr>
              <w:pStyle w:val="Normal"/>
            </w:pPr>
            <w:r>
              <w:t>539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(41 - 61)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52 (41 - 61)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49 (40.25 - 60)</w:t>
            </w:r>
          </w:p>
        </w:tc>
        <w:tc>
          <w:p>
            <w:pPr>
              <w:pStyle w:val="Normal"/>
            </w:pPr>
            <w:r>
              <w:t>51 (42 - 61)</w:t>
            </w:r>
          </w:p>
        </w:tc>
        <w:tc>
          <w:p>
            <w:pPr>
              <w:pStyle w:val="Normal"/>
            </w:pPr>
            <w:r>
              <w:t>50 (42 - 60)</w:t>
            </w:r>
          </w:p>
        </w:tc>
        <w:tc>
          <w:p>
            <w:pPr>
              <w:pStyle w:val="Normal"/>
            </w:pPr>
            <w:r>
              <w:t>51 (40 - 61)</w:t>
            </w:r>
          </w:p>
        </w:tc>
        <w:tc>
          <w:p>
            <w:pPr>
              <w:pStyle w:val="Normal"/>
            </w:pPr>
            <w:r>
              <w:t>50 (41 - 61)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206 (35,2%)</w:t>
            </w:r>
          </w:p>
        </w:tc>
        <w:tc>
          <w:p>
            <w:pPr>
              <w:pStyle w:val="Normal"/>
            </w:pPr>
            <w:r>
              <w:t>181 (32,8%)</w:t>
            </w:r>
          </w:p>
        </w:tc>
        <w:tc>
          <w:p>
            <w:pPr>
              <w:pStyle w:val="Normal"/>
            </w:pPr>
            <w:r>
              <w:t>176 (33,3%)</w:t>
            </w:r>
          </w:p>
        </w:tc>
        <w:tc>
          <w:p>
            <w:pPr>
              <w:pStyle w:val="Normal"/>
            </w:pPr>
            <w:r>
              <w:t>192 (35,0%)</w:t>
            </w:r>
          </w:p>
        </w:tc>
        <w:tc>
          <w:p>
            <w:pPr>
              <w:pStyle w:val="Normal"/>
            </w:pPr>
            <w:r>
              <w:t>212 (36,9%)</w:t>
            </w:r>
          </w:p>
        </w:tc>
        <w:tc>
          <w:p>
            <w:pPr>
              <w:pStyle w:val="Normal"/>
            </w:pPr>
            <w:r>
              <w:t>162 (31,6%)</w:t>
            </w:r>
          </w:p>
        </w:tc>
        <w:tc>
          <w:p>
            <w:pPr>
              <w:pStyle w:val="Normal"/>
            </w:pPr>
            <w:r>
              <w:t>198 (34,2%)</w:t>
            </w:r>
          </w:p>
        </w:tc>
        <w:tc>
          <w:p>
            <w:pPr>
              <w:pStyle w:val="Normal"/>
            </w:pPr>
            <w:r>
              <w:t>197 (33,8%)</w:t>
            </w:r>
          </w:p>
        </w:tc>
        <w:tc>
          <w:p>
            <w:pPr>
              <w:pStyle w:val="Normal"/>
            </w:pPr>
            <w:r>
              <w:t>189 (35,1%)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280 (47,9%)</w:t>
            </w:r>
          </w:p>
        </w:tc>
        <w:tc>
          <w:p>
            <w:pPr>
              <w:pStyle w:val="Normal"/>
            </w:pPr>
            <w:r>
              <w:t>269 (48,7%)</w:t>
            </w:r>
          </w:p>
        </w:tc>
        <w:tc>
          <w:p>
            <w:pPr>
              <w:pStyle w:val="Normal"/>
            </w:pPr>
            <w:r>
              <w:t>250 (47,3%)</w:t>
            </w:r>
          </w:p>
        </w:tc>
        <w:tc>
          <w:p>
            <w:pPr>
              <w:pStyle w:val="Normal"/>
            </w:pPr>
            <w:r>
              <w:t>269 (49,0%)</w:t>
            </w:r>
          </w:p>
        </w:tc>
        <w:tc>
          <w:p>
            <w:pPr>
              <w:pStyle w:val="Normal"/>
            </w:pPr>
            <w:r>
              <w:t>274 (47,7%)</w:t>
            </w:r>
          </w:p>
        </w:tc>
        <w:tc>
          <w:p>
            <w:pPr>
              <w:pStyle w:val="Normal"/>
            </w:pPr>
            <w:r>
              <w:t>268 (52,3%)</w:t>
            </w:r>
          </w:p>
        </w:tc>
        <w:tc>
          <w:p>
            <w:pPr>
              <w:pStyle w:val="Normal"/>
            </w:pPr>
            <w:r>
              <w:t>281 (48,5%)</w:t>
            </w:r>
          </w:p>
        </w:tc>
        <w:tc>
          <w:p>
            <w:pPr>
              <w:pStyle w:val="Normal"/>
            </w:pPr>
            <w:r>
              <w:t>280 (48,1%)</w:t>
            </w:r>
          </w:p>
        </w:tc>
        <w:tc>
          <w:p>
            <w:pPr>
              <w:pStyle w:val="Normal"/>
            </w:pPr>
            <w:r>
              <w:t>259 (48,1%)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301 (51,5%)</w:t>
            </w:r>
          </w:p>
        </w:tc>
        <w:tc>
          <w:p>
            <w:pPr>
              <w:pStyle w:val="Normal"/>
            </w:pPr>
            <w:r>
              <w:t>270 (48,9%)</w:t>
            </w:r>
          </w:p>
        </w:tc>
        <w:tc>
          <w:p>
            <w:pPr>
              <w:pStyle w:val="Normal"/>
            </w:pPr>
            <w:r>
              <w:t>262 (49,6%)</w:t>
            </w:r>
          </w:p>
        </w:tc>
        <w:tc>
          <w:p>
            <w:pPr>
              <w:pStyle w:val="Normal"/>
            </w:pPr>
            <w:r>
              <w:t>264 (48,1%)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274 (53,5%)</w:t>
            </w:r>
          </w:p>
        </w:tc>
        <w:tc>
          <w:p>
            <w:pPr>
              <w:pStyle w:val="Normal"/>
            </w:pPr>
            <w:r>
              <w:t>299 (51,6%)</w:t>
            </w:r>
          </w:p>
        </w:tc>
        <w:tc>
          <w:p>
            <w:pPr>
              <w:pStyle w:val="Normal"/>
            </w:pPr>
            <w:r>
              <w:t>286 (49,1%)</w:t>
            </w:r>
          </w:p>
        </w:tc>
        <w:tc>
          <w:p>
            <w:pPr>
              <w:pStyle w:val="Normal"/>
            </w:pPr>
            <w:r>
              <w:t>281 (52,1%)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258 (44,1%)</w:t>
            </w:r>
          </w:p>
        </w:tc>
        <w:tc>
          <w:p>
            <w:pPr>
              <w:pStyle w:val="Normal"/>
            </w:pPr>
            <w:r>
              <w:t>260 (47,1%)</w:t>
            </w:r>
          </w:p>
        </w:tc>
        <w:tc>
          <w:p>
            <w:pPr>
              <w:pStyle w:val="Normal"/>
            </w:pPr>
            <w:r>
              <w:t>240 (45,5%)</w:t>
            </w:r>
          </w:p>
        </w:tc>
        <w:tc>
          <w:p>
            <w:pPr>
              <w:pStyle w:val="Normal"/>
            </w:pPr>
            <w:r>
              <w:t>256 (46,6%)</w:t>
            </w:r>
          </w:p>
        </w:tc>
        <w:tc>
          <w:p>
            <w:pPr>
              <w:pStyle w:val="Normal"/>
            </w:pPr>
            <w:r>
              <w:t>265 (46,2%)</w:t>
            </w:r>
          </w:p>
        </w:tc>
        <w:tc>
          <w:p>
            <w:pPr>
              <w:pStyle w:val="Normal"/>
            </w:pPr>
            <w:r>
              <w:t>218 (42,6%)</w:t>
            </w:r>
          </w:p>
        </w:tc>
        <w:tc>
          <w:p>
            <w:pPr>
              <w:pStyle w:val="Normal"/>
            </w:pPr>
            <w:r>
              <w:t>259 (44,7%)</w:t>
            </w:r>
          </w:p>
        </w:tc>
        <w:tc>
          <w:p>
            <w:pPr>
              <w:pStyle w:val="Normal"/>
            </w:pPr>
            <w:r>
              <w:t>274 (47,1%)</w:t>
            </w:r>
          </w:p>
        </w:tc>
        <w:tc>
          <w:p>
            <w:pPr>
              <w:pStyle w:val="Normal"/>
            </w:pPr>
            <w:r>
              <w:t>233 (43,2%)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26 (4,4%)</w:t>
            </w:r>
          </w:p>
        </w:tc>
        <w:tc>
          <w:p>
            <w:pPr>
              <w:pStyle w:val="Normal"/>
            </w:pPr>
            <w:r>
              <w:t>22 (4,0%)</w:t>
            </w:r>
          </w:p>
        </w:tc>
        <w:tc>
          <w:p>
            <w:pPr>
              <w:pStyle w:val="Normal"/>
            </w:pPr>
            <w:r>
              <w:t>26 (4,9%)</w:t>
            </w:r>
          </w:p>
        </w:tc>
        <w:tc>
          <w:p>
            <w:pPr>
              <w:pStyle w:val="Normal"/>
            </w:pPr>
            <w:r>
              <w:t>29 (5,3%)</w:t>
            </w:r>
          </w:p>
        </w:tc>
        <w:tc>
          <w:p>
            <w:pPr>
              <w:pStyle w:val="Normal"/>
            </w:pPr>
            <w:r>
              <w:t>27 (4,7%)</w:t>
            </w:r>
          </w:p>
        </w:tc>
        <w:tc>
          <w:p>
            <w:pPr>
              <w:pStyle w:val="Normal"/>
            </w:pPr>
            <w:r>
              <w:t>20 (3,9%)</w:t>
            </w:r>
          </w:p>
        </w:tc>
        <w:tc>
          <w:p>
            <w:pPr>
              <w:pStyle w:val="Normal"/>
            </w:pPr>
            <w:r>
              <w:t>21 (3,6%)</w:t>
            </w:r>
          </w:p>
        </w:tc>
        <w:tc>
          <w:p>
            <w:pPr>
              <w:pStyle w:val="Normal"/>
            </w:pPr>
            <w:r>
              <w:t>22 (3,8%)</w:t>
            </w:r>
          </w:p>
        </w:tc>
        <w:tc>
          <w:p>
            <w:pPr>
              <w:pStyle w:val="Normal"/>
            </w:pPr>
            <w:r>
              <w:t>25 (4,6%)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163 (27,9%)</w:t>
            </w:r>
          </w:p>
        </w:tc>
        <w:tc>
          <w:p>
            <w:pPr>
              <w:pStyle w:val="Normal"/>
            </w:pPr>
            <w:r>
              <w:t>149 (27,0%)</w:t>
            </w:r>
          </w:p>
        </w:tc>
        <w:tc>
          <w:p>
            <w:pPr>
              <w:pStyle w:val="Normal"/>
            </w:pPr>
            <w:r>
              <w:t>155 (29,4%)</w:t>
            </w:r>
          </w:p>
        </w:tc>
        <w:tc>
          <w:p>
            <w:pPr>
              <w:pStyle w:val="Normal"/>
            </w:pPr>
            <w:r>
              <w:t>151 (27,5%)</w:t>
            </w:r>
          </w:p>
        </w:tc>
        <w:tc>
          <w:p>
            <w:pPr>
              <w:pStyle w:val="Normal"/>
            </w:pPr>
            <w:r>
              <w:t>144 (25,1%)</w:t>
            </w:r>
          </w:p>
        </w:tc>
        <w:tc>
          <w:p>
            <w:pPr>
              <w:pStyle w:val="Normal"/>
            </w:pPr>
            <w:r>
              <w:t>161 (31,4%)</w:t>
            </w:r>
          </w:p>
        </w:tc>
        <w:tc>
          <w:p>
            <w:pPr>
              <w:pStyle w:val="Normal"/>
            </w:pPr>
            <w:r>
              <w:t>155 (26,8%)</w:t>
            </w:r>
          </w:p>
        </w:tc>
        <w:tc>
          <w:p>
            <w:pPr>
              <w:pStyle w:val="Normal"/>
            </w:pPr>
            <w:r>
              <w:t>175 (30,1%)</w:t>
            </w:r>
          </w:p>
        </w:tc>
        <w:tc>
          <w:p>
            <w:pPr>
              <w:pStyle w:val="Normal"/>
            </w:pPr>
            <w:r>
              <w:t>148 (27,5%)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492 (84,1%)</w:t>
            </w:r>
          </w:p>
        </w:tc>
        <w:tc>
          <w:p>
            <w:pPr>
              <w:pStyle w:val="Normal"/>
            </w:pPr>
            <w:r>
              <w:t>446 (80,8%)</w:t>
            </w:r>
          </w:p>
        </w:tc>
        <w:tc>
          <w:p>
            <w:pPr>
              <w:pStyle w:val="Normal"/>
            </w:pPr>
            <w:r>
              <w:t>440 (83,3%)</w:t>
            </w:r>
          </w:p>
        </w:tc>
        <w:tc>
          <w:p>
            <w:pPr>
              <w:pStyle w:val="Normal"/>
            </w:pPr>
            <w:r>
              <w:t>453 (82,5%)</w:t>
            </w:r>
          </w:p>
        </w:tc>
        <w:tc>
          <w:p>
            <w:pPr>
              <w:pStyle w:val="Normal"/>
            </w:pPr>
            <w:r>
              <w:t>457 (79,6%)</w:t>
            </w:r>
          </w:p>
        </w:tc>
        <w:tc>
          <w:p>
            <w:pPr>
              <w:pStyle w:val="Normal"/>
            </w:pPr>
            <w:r>
              <w:t>420 (82,0%)</w:t>
            </w:r>
          </w:p>
        </w:tc>
        <w:tc>
          <w:p>
            <w:pPr>
              <w:pStyle w:val="Normal"/>
            </w:pPr>
            <w:r>
              <w:t>483 (83,4%)</w:t>
            </w:r>
          </w:p>
        </w:tc>
        <w:tc>
          <w:p>
            <w:pPr>
              <w:pStyle w:val="Normal"/>
            </w:pPr>
            <w:r>
              <w:t>474 (81,4%)</w:t>
            </w:r>
          </w:p>
        </w:tc>
        <w:tc>
          <w:p>
            <w:pPr>
              <w:pStyle w:val="Normal"/>
            </w:pPr>
            <w:r>
              <w:t>446 (82,7%)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2026-09-08T15:40:30Z</dcterms:modified>
  <cp:category/>
</cp:coreProperties>
</file>