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Periodo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</w:tr>
      <w:tr>
        <w:tc>
          <w:p>
            <w:pPr>
              <w:pStyle w:val="Normal"/>
            </w:pPr>
            <w:r>
              <w:t>ASL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</w:tr>
      <w:tr>
        <w:tc>
          <w:p>
            <w:pPr>
              <w:pStyle w:val="Normal"/>
            </w:pPr>
            <w:r>
              <w:t>Totale sottopopolazione CAP</w:t>
            </w:r>
          </w:p>
        </w:tc>
        <w:tc>
          <w:p>
            <w:pPr>
              <w:pStyle w:val="Normal"/>
            </w:pPr>
            <w:r>
              <w:t>557</w:t>
            </w:r>
          </w:p>
        </w:tc>
        <w:tc>
          <w:p>
            <w:pPr>
              <w:pStyle w:val="Normal"/>
            </w:pPr>
            <w:r>
              <w:t>532</w:t>
            </w:r>
          </w:p>
        </w:tc>
        <w:tc>
          <w:p>
            <w:pPr>
              <w:pStyle w:val="Normal"/>
            </w:pPr>
            <w:r>
              <w:t>495</w:t>
            </w:r>
          </w:p>
        </w:tc>
        <w:tc>
          <w:p>
            <w:pPr>
              <w:pStyle w:val="Normal"/>
            </w:pPr>
            <w:r>
              <w:t>594</w:t>
            </w:r>
          </w:p>
        </w:tc>
        <w:tc>
          <w:p>
            <w:pPr>
              <w:pStyle w:val="Normal"/>
            </w:pPr>
            <w:r>
              <w:t>546</w:t>
            </w:r>
          </w:p>
        </w:tc>
        <w:tc>
          <w:p>
            <w:pPr>
              <w:pStyle w:val="Normal"/>
            </w:pPr>
            <w:r>
              <w:t>622</w:t>
            </w:r>
          </w:p>
        </w:tc>
        <w:tc>
          <w:p>
            <w:pPr>
              <w:pStyle w:val="Normal"/>
            </w:pPr>
            <w:r>
              <w:t>575</w:t>
            </w:r>
          </w:p>
        </w:tc>
        <w:tc>
          <w:p>
            <w:pPr>
              <w:pStyle w:val="Normal"/>
            </w:pPr>
            <w:r>
              <w:t>533</w:t>
            </w:r>
          </w:p>
        </w:tc>
        <w:tc>
          <w:p>
            <w:pPr>
              <w:pStyle w:val="Normal"/>
            </w:pPr>
            <w:r>
              <w:t>546</w:t>
            </w:r>
          </w:p>
        </w:tc>
      </w:tr>
      <w:tr>
        <w:tc>
          <w:p>
            <w:pPr>
              <w:pStyle w:val="Normal"/>
            </w:pPr>
            <w:r>
              <w:t>Età alla data indice,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mediana (Q1 - Q3)</w:t>
            </w:r>
          </w:p>
        </w:tc>
        <w:tc>
          <w:p>
            <w:pPr>
              <w:pStyle w:val="Normal"/>
            </w:pPr>
            <w:r>
              <w:t>51 (41 - 62)</w:t>
            </w:r>
          </w:p>
        </w:tc>
        <w:tc>
          <w:p>
            <w:pPr>
              <w:pStyle w:val="Normal"/>
            </w:pPr>
            <w:r>
              <w:t>50.5 (40 - 59.25)</w:t>
            </w:r>
          </w:p>
        </w:tc>
        <w:tc>
          <w:p>
            <w:pPr>
              <w:pStyle w:val="Normal"/>
            </w:pPr>
            <w:r>
              <w:t>50 (41 - 60)</w:t>
            </w:r>
          </w:p>
        </w:tc>
        <w:tc>
          <w:p>
            <w:pPr>
              <w:pStyle w:val="Normal"/>
            </w:pPr>
            <w:r>
              <w:t>48 (39.25 - 60)</w:t>
            </w:r>
          </w:p>
        </w:tc>
        <w:tc>
          <w:p>
            <w:pPr>
              <w:pStyle w:val="Normal"/>
            </w:pPr>
            <w:r>
              <w:t>51 (42 - 60)</w:t>
            </w:r>
          </w:p>
        </w:tc>
        <w:tc>
          <w:p>
            <w:pPr>
              <w:pStyle w:val="Normal"/>
            </w:pPr>
            <w:r>
              <w:t>51 (41 - 61)</w:t>
            </w:r>
          </w:p>
        </w:tc>
        <w:tc>
          <w:p>
            <w:pPr>
              <w:pStyle w:val="Normal"/>
            </w:pPr>
            <w:r>
              <w:t>49 (39 - 60)</w:t>
            </w:r>
          </w:p>
        </w:tc>
        <w:tc>
          <w:p>
            <w:pPr>
              <w:pStyle w:val="Normal"/>
            </w:pPr>
            <w:r>
              <w:t>50 (40 - 60)</w:t>
            </w:r>
          </w:p>
        </w:tc>
        <w:tc>
          <w:p>
            <w:pPr>
              <w:pStyle w:val="Normal"/>
            </w:pPr>
            <w:r>
              <w:t>50 (40 - 60)</w:t>
            </w:r>
          </w:p>
        </w:tc>
      </w:tr>
      <w:tr>
        <w:tc>
          <w:p>
            <w:pPr>
              <w:pStyle w:val="Normal"/>
            </w:pPr>
            <w:r>
              <w:t>Classi età alla data indice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18-44, n (%)</w:t>
            </w:r>
          </w:p>
        </w:tc>
        <w:tc>
          <w:p>
            <w:pPr>
              <w:pStyle w:val="Normal"/>
            </w:pPr>
            <w:r>
              <w:t>197 (35,4%)</w:t>
            </w:r>
          </w:p>
        </w:tc>
        <w:tc>
          <w:p>
            <w:pPr>
              <w:pStyle w:val="Normal"/>
            </w:pPr>
            <w:r>
              <w:t>184 (34,6%)</w:t>
            </w:r>
          </w:p>
        </w:tc>
        <w:tc>
          <w:p>
            <w:pPr>
              <w:pStyle w:val="Normal"/>
            </w:pPr>
            <w:r>
              <w:t>169 (34,1%)</w:t>
            </w:r>
          </w:p>
        </w:tc>
        <w:tc>
          <w:p>
            <w:pPr>
              <w:pStyle w:val="Normal"/>
            </w:pPr>
            <w:r>
              <w:t>230 (38,7%)</w:t>
            </w:r>
          </w:p>
        </w:tc>
        <w:tc>
          <w:p>
            <w:pPr>
              <w:pStyle w:val="Normal"/>
            </w:pPr>
            <w:r>
              <w:t>186 (34,1%)</w:t>
            </w:r>
          </w:p>
        </w:tc>
        <w:tc>
          <w:p>
            <w:pPr>
              <w:pStyle w:val="Normal"/>
            </w:pPr>
            <w:r>
              <w:t>205 (33,0%)</w:t>
            </w:r>
          </w:p>
        </w:tc>
        <w:tc>
          <w:p>
            <w:pPr>
              <w:pStyle w:val="Normal"/>
            </w:pPr>
            <w:r>
              <w:t>212 (36,9%)</w:t>
            </w:r>
          </w:p>
        </w:tc>
        <w:tc>
          <w:p>
            <w:pPr>
              <w:pStyle w:val="Normal"/>
            </w:pPr>
            <w:r>
              <w:t>186 (34,9%)</w:t>
            </w:r>
          </w:p>
        </w:tc>
        <w:tc>
          <w:p>
            <w:pPr>
              <w:pStyle w:val="Normal"/>
            </w:pPr>
            <w:r>
              <w:t>193 (35,3%)</w:t>
            </w:r>
          </w:p>
        </w:tc>
      </w:tr>
      <w:tr>
        <w:tc>
          <w:p>
            <w:pPr>
              <w:pStyle w:val="Normal"/>
            </w:pPr>
            <w:r>
              <w:t>  45-64, n (%)</w:t>
            </w:r>
          </w:p>
        </w:tc>
        <w:tc>
          <w:p>
            <w:pPr>
              <w:pStyle w:val="Normal"/>
            </w:pPr>
            <w:r>
              <w:t>249 (44,7%)</w:t>
            </w:r>
          </w:p>
        </w:tc>
        <w:tc>
          <w:p>
            <w:pPr>
              <w:pStyle w:val="Normal"/>
            </w:pPr>
            <w:r>
              <w:t>266 (50,0%)</w:t>
            </w:r>
          </w:p>
        </w:tc>
        <w:tc>
          <w:p>
            <w:pPr>
              <w:pStyle w:val="Normal"/>
            </w:pPr>
            <w:r>
              <w:t>246 (49,7%)</w:t>
            </w:r>
          </w:p>
        </w:tc>
        <w:tc>
          <w:p>
            <w:pPr>
              <w:pStyle w:val="Normal"/>
            </w:pPr>
            <w:r>
              <w:t>266 (44,8%)</w:t>
            </w:r>
          </w:p>
        </w:tc>
        <w:tc>
          <w:p>
            <w:pPr>
              <w:pStyle w:val="Normal"/>
            </w:pPr>
            <w:r>
              <w:t>260 (47,6%)</w:t>
            </w:r>
          </w:p>
        </w:tc>
        <w:tc>
          <w:p>
            <w:pPr>
              <w:pStyle w:val="Normal"/>
            </w:pPr>
            <w:r>
              <w:t>305 (49,0%)</w:t>
            </w:r>
          </w:p>
        </w:tc>
        <w:tc>
          <w:p>
            <w:pPr>
              <w:pStyle w:val="Normal"/>
            </w:pPr>
            <w:r>
              <w:t>271 (47,1%)</w:t>
            </w:r>
          </w:p>
        </w:tc>
        <w:tc>
          <w:p>
            <w:pPr>
              <w:pStyle w:val="Normal"/>
            </w:pPr>
            <w:r>
              <w:t>260 (48,8%)</w:t>
            </w:r>
          </w:p>
        </w:tc>
        <w:tc>
          <w:p>
            <w:pPr>
              <w:pStyle w:val="Normal"/>
            </w:pPr>
            <w:r>
              <w:t>268 (49,1%)</w:t>
            </w:r>
          </w:p>
        </w:tc>
      </w:tr>
      <w:tr>
        <w:tc>
          <w:p>
            <w:pPr>
              <w:pStyle w:val="Normal"/>
            </w:pPr>
            <w:r>
              <w:t>BMI pregravidico basso (&lt;18,5), n (%)</w:t>
            </w:r>
          </w:p>
        </w:tc>
        <w:tc>
          <w:p>
            <w:pPr>
              <w:pStyle w:val="Normal"/>
            </w:pPr>
            <w:r>
              <w:t>17 (3,1%)</w:t>
            </w:r>
          </w:p>
        </w:tc>
        <w:tc>
          <w:p>
            <w:pPr>
              <w:pStyle w:val="Normal"/>
            </w:pPr>
            <w:r>
              <w:t>14 (2,6%)</w:t>
            </w:r>
          </w:p>
        </w:tc>
        <w:tc>
          <w:p>
            <w:pPr>
              <w:pStyle w:val="Normal"/>
            </w:pPr>
            <w:r>
              <w:t>13 (2,6%)</w:t>
            </w:r>
          </w:p>
        </w:tc>
        <w:tc>
          <w:p>
            <w:pPr>
              <w:pStyle w:val="Normal"/>
            </w:pPr>
            <w:r>
              <w:t>14 (2,4%)</w:t>
            </w:r>
          </w:p>
        </w:tc>
        <w:tc>
          <w:p>
            <w:pPr>
              <w:pStyle w:val="Normal"/>
            </w:pPr>
            <w:r>
              <w:t>12 (2,2%)</w:t>
            </w:r>
          </w:p>
        </w:tc>
        <w:tc>
          <w:p>
            <w:pPr>
              <w:pStyle w:val="Normal"/>
            </w:pPr>
            <w:r>
              <w:t>14 (2,3%)</w:t>
            </w:r>
          </w:p>
        </w:tc>
        <w:tc>
          <w:p>
            <w:pPr>
              <w:pStyle w:val="Normal"/>
            </w:pPr>
            <w:r>
              <w:t>11 (1,9%)</w:t>
            </w:r>
          </w:p>
        </w:tc>
        <w:tc>
          <w:p>
            <w:pPr>
              <w:pStyle w:val="Normal"/>
            </w:pPr>
            <w:r>
              <w:t>19 (3,6%)</w:t>
            </w:r>
          </w:p>
        </w:tc>
        <w:tc>
          <w:p>
            <w:pPr>
              <w:pStyle w:val="Normal"/>
            </w:pPr>
            <w:r>
              <w:t>10 (1,8%)</w:t>
            </w:r>
          </w:p>
        </w:tc>
      </w:tr>
      <w:tr>
        <w:tc>
          <w:p>
            <w:pPr>
              <w:pStyle w:val="Normal"/>
            </w:pPr>
            <w:r>
              <w:t>BMI pregravidico medio (18,5-24,9), n (%)</w:t>
            </w:r>
          </w:p>
        </w:tc>
        <w:tc>
          <w:p>
            <w:pPr>
              <w:pStyle w:val="Normal"/>
            </w:pPr>
            <w:r>
              <w:t>34 (6,1%)</w:t>
            </w:r>
          </w:p>
        </w:tc>
        <w:tc>
          <w:p>
            <w:pPr>
              <w:pStyle w:val="Normal"/>
            </w:pPr>
            <w:r>
              <w:t>34 (6,4%)</w:t>
            </w:r>
          </w:p>
        </w:tc>
        <w:tc>
          <w:p>
            <w:pPr>
              <w:pStyle w:val="Normal"/>
            </w:pPr>
            <w:r>
              <w:t>30 (6,1%)</w:t>
            </w:r>
          </w:p>
        </w:tc>
        <w:tc>
          <w:p>
            <w:pPr>
              <w:pStyle w:val="Normal"/>
            </w:pPr>
            <w:r>
              <w:t>34 (5,7%)</w:t>
            </w:r>
          </w:p>
        </w:tc>
        <w:tc>
          <w:p>
            <w:pPr>
              <w:pStyle w:val="Normal"/>
            </w:pPr>
            <w:r>
              <w:t>37 (6,8%)</w:t>
            </w:r>
          </w:p>
        </w:tc>
        <w:tc>
          <w:p>
            <w:pPr>
              <w:pStyle w:val="Normal"/>
            </w:pPr>
            <w:r>
              <w:t>29 (4,7%)</w:t>
            </w:r>
          </w:p>
        </w:tc>
        <w:tc>
          <w:p>
            <w:pPr>
              <w:pStyle w:val="Normal"/>
            </w:pPr>
            <w:r>
              <w:t>46 (8,0%)</w:t>
            </w:r>
          </w:p>
        </w:tc>
        <w:tc>
          <w:p>
            <w:pPr>
              <w:pStyle w:val="Normal"/>
            </w:pPr>
            <w:r>
              <w:t>27 (5,1%)</w:t>
            </w:r>
          </w:p>
        </w:tc>
        <w:tc>
          <w:p>
            <w:pPr>
              <w:pStyle w:val="Normal"/>
            </w:pPr>
            <w:r>
              <w:t>39 (7,1%)</w:t>
            </w:r>
          </w:p>
        </w:tc>
      </w:tr>
      <w:tr>
        <w:tc>
          <w:p>
            <w:pPr>
              <w:pStyle w:val="Normal"/>
            </w:pPr>
            <w:r>
              <w:t>BMI pregravidico alto (&gt;24,9), n (%)</w:t>
            </w:r>
          </w:p>
        </w:tc>
        <w:tc>
          <w:p>
            <w:pPr>
              <w:pStyle w:val="Normal"/>
            </w:pPr>
            <w:r>
              <w:t>506 (90,8%)</w:t>
            </w:r>
          </w:p>
        </w:tc>
        <w:tc>
          <w:p>
            <w:pPr>
              <w:pStyle w:val="Normal"/>
            </w:pPr>
            <w:r>
              <w:t>484 (91,0%)</w:t>
            </w:r>
          </w:p>
        </w:tc>
        <w:tc>
          <w:p>
            <w:pPr>
              <w:pStyle w:val="Normal"/>
            </w:pPr>
            <w:r>
              <w:t>452 (91,3%)</w:t>
            </w:r>
          </w:p>
        </w:tc>
        <w:tc>
          <w:p>
            <w:pPr>
              <w:pStyle w:val="Normal"/>
            </w:pPr>
            <w:r>
              <w:t>546 (91,9%)</w:t>
            </w:r>
          </w:p>
        </w:tc>
        <w:tc>
          <w:p>
            <w:pPr>
              <w:pStyle w:val="Normal"/>
            </w:pPr>
            <w:r>
              <w:t>497 (91,0%)</w:t>
            </w:r>
          </w:p>
        </w:tc>
        <w:tc>
          <w:p>
            <w:pPr>
              <w:pStyle w:val="Normal"/>
            </w:pPr>
            <w:r>
              <w:t>579 (93,1%)</w:t>
            </w:r>
          </w:p>
        </w:tc>
        <w:tc>
          <w:p>
            <w:pPr>
              <w:pStyle w:val="Normal"/>
            </w:pPr>
            <w:r>
              <w:t>518 (90,1%)</w:t>
            </w:r>
          </w:p>
        </w:tc>
        <w:tc>
          <w:p>
            <w:pPr>
              <w:pStyle w:val="Normal"/>
            </w:pPr>
            <w:r>
              <w:t>487 (91,4%)</w:t>
            </w:r>
          </w:p>
        </w:tc>
        <w:tc>
          <w:p>
            <w:pPr>
              <w:pStyle w:val="Normal"/>
            </w:pPr>
            <w:r>
              <w:t>497 (91,0%)</w:t>
            </w:r>
          </w:p>
        </w:tc>
      </w:tr>
      <w:tr>
        <w:tc>
          <w:p>
            <w:pPr>
              <w:pStyle w:val="Normal"/>
            </w:pPr>
            <w:r>
              <w:t>Diabete gestazionale, n (%)</w:t>
            </w:r>
          </w:p>
        </w:tc>
        <w:tc>
          <w:p>
            <w:pPr>
              <w:pStyle w:val="Normal"/>
            </w:pPr>
            <w:r>
              <w:t>304 (54,6%)</w:t>
            </w:r>
          </w:p>
        </w:tc>
        <w:tc>
          <w:p>
            <w:pPr>
              <w:pStyle w:val="Normal"/>
            </w:pPr>
            <w:r>
              <w:t>281 (52,8%)</w:t>
            </w:r>
          </w:p>
        </w:tc>
        <w:tc>
          <w:p>
            <w:pPr>
              <w:pStyle w:val="Normal"/>
            </w:pPr>
            <w:r>
              <w:t>251 (50,7%)</w:t>
            </w:r>
          </w:p>
        </w:tc>
        <w:tc>
          <w:p>
            <w:pPr>
              <w:pStyle w:val="Normal"/>
            </w:pPr>
            <w:r>
              <w:t>322 (54,2%)</w:t>
            </w:r>
          </w:p>
        </w:tc>
        <w:tc>
          <w:p>
            <w:pPr>
              <w:pStyle w:val="Normal"/>
            </w:pPr>
            <w:r>
              <w:t>299 (54,8%)</w:t>
            </w:r>
          </w:p>
        </w:tc>
        <w:tc>
          <w:p>
            <w:pPr>
              <w:pStyle w:val="Normal"/>
            </w:pPr>
            <w:r>
              <w:t>335 (53,9%)</w:t>
            </w:r>
          </w:p>
        </w:tc>
        <w:tc>
          <w:p>
            <w:pPr>
              <w:pStyle w:val="Normal"/>
            </w:pPr>
            <w:r>
              <w:t>321 (55,8%)</w:t>
            </w:r>
          </w:p>
        </w:tc>
        <w:tc>
          <w:p>
            <w:pPr>
              <w:pStyle w:val="Normal"/>
            </w:pPr>
            <w:r>
              <w:t>287 (53,8%)</w:t>
            </w:r>
          </w:p>
        </w:tc>
        <w:tc>
          <w:p>
            <w:pPr>
              <w:pStyle w:val="Normal"/>
            </w:pPr>
            <w:r>
              <w:t>313 (57,3%)</w:t>
            </w:r>
          </w:p>
        </w:tc>
      </w:tr>
      <w:tr>
        <w:tc>
          <w:p>
            <w:pPr>
              <w:pStyle w:val="Normal"/>
            </w:pPr>
            <w:r>
              <w:t>Diabete pregravidico, n (%)</w:t>
            </w:r>
          </w:p>
        </w:tc>
        <w:tc>
          <w:p>
            <w:pPr>
              <w:pStyle w:val="Normal"/>
            </w:pPr>
            <w:r>
              <w:t>203 (36,4%)</w:t>
            </w:r>
          </w:p>
        </w:tc>
        <w:tc>
          <w:p>
            <w:pPr>
              <w:pStyle w:val="Normal"/>
            </w:pPr>
            <w:r>
              <w:t>237 (44,5%)</w:t>
            </w:r>
          </w:p>
        </w:tc>
        <w:tc>
          <w:p>
            <w:pPr>
              <w:pStyle w:val="Normal"/>
            </w:pPr>
            <w:r>
              <w:t>196 (39,6%)</w:t>
            </w:r>
          </w:p>
        </w:tc>
        <w:tc>
          <w:p>
            <w:pPr>
              <w:pStyle w:val="Normal"/>
            </w:pPr>
            <w:r>
              <w:t>227 (38,2%)</w:t>
            </w:r>
          </w:p>
        </w:tc>
        <w:tc>
          <w:p>
            <w:pPr>
              <w:pStyle w:val="Normal"/>
            </w:pPr>
            <w:r>
              <w:t>233 (42,7%)</w:t>
            </w:r>
          </w:p>
        </w:tc>
        <w:tc>
          <w:p>
            <w:pPr>
              <w:pStyle w:val="Normal"/>
            </w:pPr>
            <w:r>
              <w:t>267 (42,9%)</w:t>
            </w:r>
          </w:p>
        </w:tc>
        <w:tc>
          <w:p>
            <w:pPr>
              <w:pStyle w:val="Normal"/>
            </w:pPr>
            <w:r>
              <w:t>240 (41,7%)</w:t>
            </w:r>
          </w:p>
        </w:tc>
        <w:tc>
          <w:p>
            <w:pPr>
              <w:pStyle w:val="Normal"/>
            </w:pPr>
            <w:r>
              <w:t>211 (39,6%)</w:t>
            </w:r>
          </w:p>
        </w:tc>
        <w:tc>
          <w:p>
            <w:pPr>
              <w:pStyle w:val="Normal"/>
            </w:pPr>
            <w:r>
              <w:t>215 (39,4%)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2026-09-08T15:40:30Z</dcterms:modified>
  <cp:category/>
</cp:coreProperties>
</file>